
<file path=[Content_Types].xml><?xml version="1.0" encoding="utf-8"?>
<Types xmlns="http://schemas.openxmlformats.org/package/2006/content-types">
  <Default Extension="bin" ContentType="image/pn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extElement"/>
        <w:tag w:val="{&quot;templafy&quot;:{&quot;id&quot;:&quot;65d751f8-e13a-4a4b-9d59-87184e74ce0b&quot;}}"/>
        <w:id w:val="172385171"/>
        <w:placeholder>
          <w:docPart w:val="A2A3A97163934989B6037909F78EBE39"/>
        </w:placeholder>
      </w:sdtPr>
      <w:sdtEndPr/>
      <w:sdtContent>
        <w:p w14:paraId="2977F108" w14:textId="3BC7DC23" w:rsidR="00A171D7" w:rsidRDefault="00A171D7"/>
        <w:p w14:paraId="5A4F3691" w14:textId="7EE931B6" w:rsidR="001705A3" w:rsidRPr="00A171D7" w:rsidRDefault="00A171D7">
          <w:r>
            <w:rPr>
              <w:noProof/>
            </w:rPr>
            <w:drawing>
              <wp:anchor distT="0" distB="0" distL="114300" distR="114300" simplePos="0" relativeHeight="251658244" behindDoc="0" locked="0" layoutInCell="1" allowOverlap="1" wp14:anchorId="7D7B05E9" wp14:editId="67CBAF49">
                <wp:simplePos x="0" y="0"/>
                <wp:positionH relativeFrom="margin">
                  <wp:align>right</wp:align>
                </wp:positionH>
                <wp:positionV relativeFrom="paragraph">
                  <wp:posOffset>184150</wp:posOffset>
                </wp:positionV>
                <wp:extent cx="1332000" cy="350315"/>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a:stretch>
                          <a:fillRect/>
                        </a:stretch>
                      </pic:blipFill>
                      <pic:spPr>
                        <a:xfrm>
                          <a:off x="0" y="0"/>
                          <a:ext cx="1332000" cy="350315"/>
                        </a:xfrm>
                        <a:prstGeom prst="rect">
                          <a:avLst/>
                        </a:prstGeom>
                      </pic:spPr>
                    </pic:pic>
                  </a:graphicData>
                </a:graphic>
                <wp14:sizeRelH relativeFrom="page">
                  <wp14:pctWidth>0</wp14:pctWidth>
                </wp14:sizeRelH>
                <wp14:sizeRelV relativeFrom="page">
                  <wp14:pctHeight>0</wp14:pctHeight>
                </wp14:sizeRelV>
              </wp:anchor>
            </w:drawing>
          </w:r>
          <w:r w:rsidR="008662D6">
            <w:rPr>
              <w:noProof/>
            </w:rPr>
            <w:drawing>
              <wp:inline distT="0" distB="0" distL="0" distR="0" wp14:anchorId="532502E9" wp14:editId="6CB4FBAF">
                <wp:extent cx="8430016" cy="5619750"/>
                <wp:effectExtent l="0" t="0" r="3175" b="0"/>
                <wp:docPr id="38009157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91576" name="Picture 5">
                          <a:extLst>
                            <a:ext uri="{C183D7F6-B498-43B3-948B-1728B52AA6E4}">
                              <adec:decorative xmlns:adec="http://schemas.microsoft.com/office/drawing/2017/decorative" val="1"/>
                            </a:ext>
                          </a:extLst>
                        </pic:cNvPr>
                        <pic:cNvPicPr/>
                      </pic:nvPicPr>
                      <pic:blipFill>
                        <a:blip r:embed="rId15"/>
                        <a:stretch>
                          <a:fillRect/>
                        </a:stretch>
                      </pic:blipFill>
                      <pic:spPr>
                        <a:xfrm>
                          <a:off x="0" y="0"/>
                          <a:ext cx="8444118" cy="5629151"/>
                        </a:xfrm>
                        <a:prstGeom prst="rect">
                          <a:avLst/>
                        </a:prstGeom>
                      </pic:spPr>
                    </pic:pic>
                  </a:graphicData>
                </a:graphic>
              </wp:inline>
            </w:drawing>
          </w:r>
          <w:r>
            <w:rPr>
              <w:noProof/>
            </w:rPr>
            <w:drawing>
              <wp:anchor distT="0" distB="0" distL="114300" distR="114300" simplePos="0" relativeHeight="251658243" behindDoc="1" locked="1" layoutInCell="1" allowOverlap="1" wp14:anchorId="54FEF84E" wp14:editId="407A90CD">
                <wp:simplePos x="0" y="0"/>
                <wp:positionH relativeFrom="margin">
                  <wp:posOffset>5926455</wp:posOffset>
                </wp:positionH>
                <wp:positionV relativeFrom="page">
                  <wp:posOffset>9400540</wp:posOffset>
                </wp:positionV>
                <wp:extent cx="907200" cy="907200"/>
                <wp:effectExtent l="0" t="0" r="7620" b="7620"/>
                <wp:wrapNone/>
                <wp:docPr id="4" name="Picture 4" descr="MartinJenkins logo showing overlapping magenta rounded cross and cyan four-point diamond outlines on a white transparent background.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rtinJenkins logo showing overlapping magenta rounded cross and cyan four-point diamond outlines on a white transparent background. &#10;&#10;"/>
                        <pic:cNvPicPr/>
                      </pic:nvPicPr>
                      <pic:blipFill>
                        <a:blip r:embed="rId16"/>
                        <a:stretch>
                          <a:fillRect/>
                        </a:stretch>
                      </pic:blipFill>
                      <pic:spPr>
                        <a:xfrm>
                          <a:off x="0" y="0"/>
                          <a:ext cx="907200" cy="9072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0" locked="1" layoutInCell="1" allowOverlap="1" wp14:anchorId="19ED5C92" wp14:editId="42051FD6">
                    <wp:simplePos x="0" y="0"/>
                    <wp:positionH relativeFrom="margin">
                      <wp:align>left</wp:align>
                    </wp:positionH>
                    <wp:positionV relativeFrom="margin">
                      <wp:posOffset>6955155</wp:posOffset>
                    </wp:positionV>
                    <wp:extent cx="5396400" cy="1652400"/>
                    <wp:effectExtent l="0" t="0" r="0" b="5080"/>
                    <wp:wrapSquare wrapText="bothSides"/>
                    <wp:docPr id="2" name="Text Box 2"/>
                    <wp:cNvGraphicFramePr/>
                    <a:graphic xmlns:a="http://schemas.openxmlformats.org/drawingml/2006/main">
                      <a:graphicData uri="http://schemas.microsoft.com/office/word/2010/wordprocessingShape">
                        <wps:wsp>
                          <wps:cNvSpPr txBox="1"/>
                          <wps:spPr>
                            <a:xfrm>
                              <a:off x="0" y="0"/>
                              <a:ext cx="5396400" cy="1652400"/>
                            </a:xfrm>
                            <a:prstGeom prst="rect">
                              <a:avLst/>
                            </a:prstGeom>
                            <a:noFill/>
                            <a:ln w="6350">
                              <a:noFill/>
                            </a:ln>
                          </wps:spPr>
                          <wps:txbx>
                            <w:txbxContent>
                              <w:sdt>
                                <w:sdtPr>
                                  <w:alias w:val="{{Form.ReportTitle}}"/>
                                  <w:tag w:val="{&quot;templafy&quot;:{&quot;id&quot;:&quot;28974119-7c28-4daf-9333-6def4d213aac&quot;}}"/>
                                  <w:id w:val="1924526722"/>
                                </w:sdtPr>
                                <w:sdtEndPr/>
                                <w:sdtContent>
                                  <w:p w14:paraId="5C61BC2C" w14:textId="3CC45047" w:rsidR="00A171D7" w:rsidRPr="00E53C61" w:rsidRDefault="00A171D7">
                                    <w:pPr>
                                      <w:pStyle w:val="CoverHeading1"/>
                                      <w:spacing w:after="120"/>
                                    </w:pPr>
                                    <w:r>
                                      <w:t>Review of Initial Teacher Education Programme Requirements</w:t>
                                    </w:r>
                                  </w:p>
                                </w:sdtContent>
                              </w:sdt>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ED5C92" id="_x0000_t202" coordsize="21600,21600" o:spt="202" path="m,l,21600r21600,l21600,xe">
                    <v:stroke joinstyle="miter"/>
                    <v:path gradientshapeok="t" o:connecttype="rect"/>
                  </v:shapetype>
                  <v:shape id="Text Box 2" o:spid="_x0000_s1026" type="#_x0000_t202" style="position:absolute;margin-left:0;margin-top:547.65pt;width:424.9pt;height:130.1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" filled="f" stroked="f" strokeweight=".5pt">
                    <v:textbox inset="1mm,1mm,1mm,1mm">
                      <w:txbxContent>
                        <w:sdt>
                          <w:sdtPr>
                            <w:alias w:val="{{Form.ReportTitle}}"/>
                            <w:tag w:val="{&quot;templafy&quot;:{&quot;id&quot;:&quot;28974119-7c28-4daf-9333-6def4d213aac&quot;}}"/>
                            <w:id w:val="1924526722"/>
                          </w:sdtPr>
                          <w:sdtEndPr/>
                          <w:sdtContent>
                            <w:p w14:paraId="5C61BC2C" w14:textId="3CC45047" w:rsidR="00A171D7" w:rsidRPr="00E53C61" w:rsidRDefault="00A171D7">
                              <w:pPr>
                                <w:pStyle w:val="CoverHeading1"/>
                                <w:spacing w:after="120"/>
                              </w:pPr>
                              <w:r>
                                <w:t>Review of Initial Teacher Education Programme Requirements</w:t>
                              </w:r>
                            </w:p>
                          </w:sdtContent>
                        </w:sdt>
                      </w:txbxContent>
                    </v:textbox>
                    <w10:wrap type="square" anchorx="margin" anchory="margin"/>
                    <w10:anchorlock/>
                  </v:shape>
                </w:pict>
              </mc:Fallback>
            </mc:AlternateContent>
          </w:r>
          <w:r>
            <w:rPr>
              <w:noProof/>
            </w:rPr>
            <mc:AlternateContent>
              <mc:Choice Requires="wps">
                <w:drawing>
                  <wp:anchor distT="0" distB="0" distL="114300" distR="114300" simplePos="0" relativeHeight="251658241" behindDoc="0" locked="1" layoutInCell="1" allowOverlap="1" wp14:anchorId="59A32391" wp14:editId="2A44B512">
                    <wp:simplePos x="0" y="0"/>
                    <wp:positionH relativeFrom="margin">
                      <wp:align>left</wp:align>
                    </wp:positionH>
                    <wp:positionV relativeFrom="margin">
                      <wp:align>bottom</wp:align>
                    </wp:positionV>
                    <wp:extent cx="5364480" cy="1036320"/>
                    <wp:effectExtent l="0" t="0" r="7620" b="0"/>
                    <wp:wrapSquare wrapText="bothSides"/>
                    <wp:docPr id="17" name="Text Box 17"/>
                    <wp:cNvGraphicFramePr/>
                    <a:graphic xmlns:a="http://schemas.openxmlformats.org/drawingml/2006/main">
                      <a:graphicData uri="http://schemas.microsoft.com/office/word/2010/wordprocessingShape">
                        <wps:wsp>
                          <wps:cNvSpPr txBox="1"/>
                          <wps:spPr>
                            <a:xfrm>
                              <a:off x="0" y="0"/>
                              <a:ext cx="5364480" cy="1036320"/>
                            </a:xfrm>
                            <a:prstGeom prst="rect">
                              <a:avLst/>
                            </a:prstGeom>
                            <a:noFill/>
                            <a:ln w="6350">
                              <a:noFill/>
                            </a:ln>
                          </wps:spPr>
                          <wps:txbx>
                            <w:txbxContent>
                              <w:p w14:paraId="48575BA7" w14:textId="491236D9" w:rsidR="00A171D7" w:rsidRPr="007F2C22" w:rsidRDefault="001922EC" w:rsidP="0089291B">
                                <w:pPr>
                                  <w:pStyle w:val="CoverSubheading"/>
                                </w:pPr>
                                <w:r w:rsidRPr="007F2C22">
                                  <w:t xml:space="preserve">Discussion </w:t>
                                </w:r>
                                <w:r w:rsidR="00E4782E">
                                  <w:t>Document</w:t>
                                </w:r>
                              </w:p>
                              <w:p w14:paraId="5A63EC82" w14:textId="77777777" w:rsidR="00A171D7" w:rsidRPr="007F2C22" w:rsidRDefault="00A171D7">
                                <w:pPr>
                                  <w:ind w:right="10205"/>
                                </w:pPr>
                              </w:p>
                              <w:sdt>
                                <w:sdtPr>
                                  <w:alias w:val="{{FormatDateTime(Form.Date, &quot;dd MMMM yyyy&quot;, &quot;en-NZ&quot;)}}"/>
                                  <w:tag w:val="{&quot;templafy&quot;:{&quot;id&quot;:&quot;de39c528-9c00-4439-b31d-724eb56d54ee&quot;}}"/>
                                  <w:id w:val="-68417196"/>
                                </w:sdtPr>
                                <w:sdtEndPr/>
                                <w:sdtContent>
                                  <w:p w14:paraId="46752512" w14:textId="2E058DCD" w:rsidR="00A171D7" w:rsidRPr="007F2C22" w:rsidRDefault="003F71BA">
                                    <w:pPr>
                                      <w:pStyle w:val="CoverDate"/>
                                      <w:spacing w:before="0" w:after="0"/>
                                    </w:pPr>
                                    <w:r>
                                      <w:t>September</w:t>
                                    </w:r>
                                    <w:r w:rsidR="00605FD8" w:rsidRPr="007F2C22">
                                      <w:t xml:space="preserve"> </w:t>
                                    </w:r>
                                    <w:r w:rsidR="00A171D7" w:rsidRPr="007F2C22">
                                      <w:t>2026</w:t>
                                    </w:r>
                                  </w:p>
                                </w:sdtContent>
                              </w:sdt>
                              <w:p w14:paraId="171C0852" w14:textId="51306A9F" w:rsidR="00A171D7" w:rsidRPr="00E53C61" w:rsidRDefault="00990680">
                                <w:pPr>
                                  <w:pStyle w:val="CoverDate"/>
                                  <w:spacing w:before="0" w:after="0"/>
                                  <w:rPr>
                                    <w:color w:val="FFFFFF" w:themeColor="background1"/>
                                  </w:rPr>
                                </w:pPr>
                                <w:sdt>
                                  <w:sdtPr>
                                    <w:alias w:val="{{Form.Footer}}"/>
                                    <w:tag w:val="{&quot;templafy&quot;:{&quot;id&quot;:&quot;fb2fff8d-6ec5-4a9c-8e76-3466fb3b8e6e&quot;}}"/>
                                    <w:id w:val="1623189634"/>
                                    <w:showingPlcHdr/>
                                  </w:sdtPr>
                                  <w:sdtEndPr/>
                                  <w:sdtContent>
                                    <w:r w:rsidR="00E4782E">
                                      <w:t xml:space="preserve">     </w:t>
                                    </w:r>
                                  </w:sdtContent>
                                </w:sdt>
                              </w:p>
                            </w:txbxContent>
                          </wps:txbx>
                          <wps:bodyPr rot="0" spcFirstLastPara="0" vertOverflow="overflow" horzOverflow="overflow" vert="horz" wrap="square" lIns="36000" tIns="36000" rIns="36000" bIns="36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9A32391" id="Text Box 17" o:spid="_x0000_s1027" type="#_x0000_t202" style="position:absolute;margin-left:0;margin-top:0;width:422.4pt;height:81.6pt;z-index:251658241;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" filled="f" stroked="f" strokeweight=".5pt">
                    <v:textbox style="mso-fit-shape-to-text:t" inset="1mm,1mm,1mm,1mm">
                      <w:txbxContent>
                        <w:p w14:paraId="48575BA7" w14:textId="491236D9" w:rsidR="00A171D7" w:rsidRPr="007F2C22" w:rsidRDefault="001922EC" w:rsidP="0089291B">
                          <w:pPr>
                            <w:pStyle w:val="CoverSubheading"/>
                          </w:pPr>
                          <w:r w:rsidRPr="007F2C22">
                            <w:t xml:space="preserve">Discussion </w:t>
                          </w:r>
                          <w:r w:rsidR="00E4782E">
                            <w:t>Document</w:t>
                          </w:r>
                        </w:p>
                        <w:p w14:paraId="5A63EC82" w14:textId="77777777" w:rsidR="00A171D7" w:rsidRPr="007F2C22" w:rsidRDefault="00A171D7">
                          <w:pPr>
                            <w:ind w:right="10205"/>
                          </w:pPr>
                        </w:p>
                        <w:sdt>
                          <w:sdtPr>
                            <w:alias w:val="{{FormatDateTime(Form.Date, &quot;dd MMMM yyyy&quot;, &quot;en-NZ&quot;)}}"/>
                            <w:tag w:val="{&quot;templafy&quot;:{&quot;id&quot;:&quot;de39c528-9c00-4439-b31d-724eb56d54ee&quot;}}"/>
                            <w:id w:val="-68417196"/>
                          </w:sdtPr>
                          <w:sdtEndPr/>
                          <w:sdtContent>
                            <w:p w14:paraId="46752512" w14:textId="2E058DCD" w:rsidR="00A171D7" w:rsidRPr="007F2C22" w:rsidRDefault="003F71BA">
                              <w:pPr>
                                <w:pStyle w:val="CoverDate"/>
                                <w:spacing w:before="0" w:after="0"/>
                              </w:pPr>
                              <w:r>
                                <w:t>September</w:t>
                              </w:r>
                              <w:r w:rsidR="00605FD8" w:rsidRPr="007F2C22">
                                <w:t xml:space="preserve"> </w:t>
                              </w:r>
                              <w:r w:rsidR="00A171D7" w:rsidRPr="007F2C22">
                                <w:t>2026</w:t>
                              </w:r>
                            </w:p>
                          </w:sdtContent>
                        </w:sdt>
                        <w:p w14:paraId="171C0852" w14:textId="51306A9F" w:rsidR="00A171D7" w:rsidRPr="00E53C61" w:rsidRDefault="00990680">
                          <w:pPr>
                            <w:pStyle w:val="CoverDate"/>
                            <w:spacing w:before="0" w:after="0"/>
                            <w:rPr>
                              <w:color w:val="FFFFFF" w:themeColor="background1"/>
                            </w:rPr>
                          </w:pPr>
                          <w:sdt>
                            <w:sdtPr>
                              <w:alias w:val="{{Form.Footer}}"/>
                              <w:tag w:val="{&quot;templafy&quot;:{&quot;id&quot;:&quot;fb2fff8d-6ec5-4a9c-8e76-3466fb3b8e6e&quot;}}"/>
                              <w:id w:val="1623189634"/>
                              <w:showingPlcHdr/>
                            </w:sdtPr>
                            <w:sdtEndPr/>
                            <w:sdtContent>
                              <w:r w:rsidR="00E4782E">
                                <w:t xml:space="preserve">     </w:t>
                              </w:r>
                            </w:sdtContent>
                          </w:sdt>
                        </w:p>
                      </w:txbxContent>
                    </v:textbox>
                    <w10:wrap type="square" anchorx="margin" anchory="margin"/>
                    <w10:anchorlock/>
                  </v:shape>
                </w:pict>
              </mc:Fallback>
            </mc:AlternateContent>
          </w:r>
          <w:r>
            <w:t xml:space="preserve"> </w:t>
          </w:r>
        </w:p>
      </w:sdtContent>
    </w:sdt>
    <w:p w14:paraId="2BED500A" w14:textId="77777777" w:rsidR="009528D3" w:rsidRDefault="009528D3">
      <w:bookmarkStart w:id="0" w:name="GoToContents"/>
      <w:bookmarkStart w:id="1" w:name="TOCSection"/>
      <w:bookmarkEnd w:id="0"/>
    </w:p>
    <w:p w14:paraId="4A2450AC" w14:textId="5509670A" w:rsidR="009528D3" w:rsidRDefault="007F2C22">
      <w:pPr>
        <w:sectPr w:rsidR="009528D3" w:rsidSect="008A6239">
          <w:headerReference w:type="even" r:id="rId17"/>
          <w:headerReference w:type="default" r:id="rId18"/>
          <w:footerReference w:type="even" r:id="rId19"/>
          <w:footerReference w:type="default" r:id="rId20"/>
          <w:headerReference w:type="first" r:id="rId21"/>
          <w:footerReference w:type="first" r:id="rId22"/>
          <w:type w:val="oddPage"/>
          <w:pgSz w:w="11906" w:h="16838" w:code="9"/>
          <w:pgMar w:top="567" w:right="567" w:bottom="567" w:left="567" w:header="283" w:footer="283" w:gutter="0"/>
          <w:cols w:space="708"/>
          <w:docGrid w:linePitch="360"/>
        </w:sectPr>
      </w:pPr>
      <w:r>
        <w:t xml:space="preserve"> </w:t>
      </w:r>
    </w:p>
    <w:p w14:paraId="6E37A36F" w14:textId="77777777" w:rsidR="001C7CCA" w:rsidRPr="001C7CCA" w:rsidRDefault="001C7CCA" w:rsidP="001C7CCA">
      <w:r>
        <w:rPr>
          <w:noProof/>
        </w:rPr>
        <w:lastRenderedPageBreak/>
        <mc:AlternateContent>
          <mc:Choice Requires="wps">
            <w:drawing>
              <wp:anchor distT="0" distB="0" distL="114300" distR="114300" simplePos="0" relativeHeight="251658240" behindDoc="0" locked="0" layoutInCell="1" allowOverlap="1" wp14:anchorId="598DA292" wp14:editId="79546063">
                <wp:simplePos x="0" y="0"/>
                <wp:positionH relativeFrom="page">
                  <wp:align>center</wp:align>
                </wp:positionH>
                <wp:positionV relativeFrom="margin">
                  <wp:align>bottom</wp:align>
                </wp:positionV>
                <wp:extent cx="5752800" cy="4813200"/>
                <wp:effectExtent l="0" t="0" r="0" b="6350"/>
                <wp:wrapSquare wrapText="bothSides"/>
                <wp:docPr id="7" name="Text Box 6"/>
                <wp:cNvGraphicFramePr/>
                <a:graphic xmlns:a="http://schemas.openxmlformats.org/drawingml/2006/main">
                  <a:graphicData uri="http://schemas.microsoft.com/office/word/2010/wordprocessingShape">
                    <wps:wsp>
                      <wps:cNvSpPr txBox="1"/>
                      <wps:spPr>
                        <a:xfrm>
                          <a:off x="0" y="0"/>
                          <a:ext cx="5752800" cy="4813200"/>
                        </a:xfrm>
                        <a:prstGeom prst="rect">
                          <a:avLst/>
                        </a:prstGeom>
                        <a:noFill/>
                        <a:ln w="6350">
                          <a:noFill/>
                        </a:ln>
                      </wps:spPr>
                      <wps:txbx>
                        <w:txbxContent>
                          <w:p w14:paraId="1397507A" w14:textId="77777777" w:rsidR="001C7CCA" w:rsidRPr="002B3A6F" w:rsidRDefault="001C7CCA" w:rsidP="00D27FBB">
                            <w:pPr>
                              <w:pStyle w:val="Heading5"/>
                            </w:pPr>
                            <w:r w:rsidRPr="002B3A6F">
                              <w:t>Disclaimer</w:t>
                            </w:r>
                          </w:p>
                          <w:p w14:paraId="2EF707D4" w14:textId="77777777" w:rsidR="001C7CCA" w:rsidRPr="002B3A6F" w:rsidRDefault="001C7CCA" w:rsidP="009528D3">
                            <w:pPr>
                              <w:pStyle w:val="USBodyText"/>
                              <w:ind w:right="24"/>
                            </w:pPr>
                            <w:r w:rsidRPr="002B3A6F">
                              <w:t>This report has been prepared solely for the purposes stated in it. It should not be relied on for any other purpose.</w:t>
                            </w:r>
                          </w:p>
                          <w:p w14:paraId="55F409A2" w14:textId="77777777" w:rsidR="001C7CCA" w:rsidRPr="002B3A6F" w:rsidRDefault="001C7CCA" w:rsidP="009528D3">
                            <w:pPr>
                              <w:pStyle w:val="USBodyText"/>
                              <w:ind w:right="24"/>
                            </w:pPr>
                            <w:r w:rsidRPr="002B3A6F">
                              <w:t>No part of this report should be reproduced, distributed, or communicated to any third party, unless we explicitly consent to this in advance. We do not accept any liability if this report is used for some other purpose for which it was not intended, nor any liability to any third party in respect of this report.</w:t>
                            </w:r>
                          </w:p>
                          <w:p w14:paraId="0E227FD8" w14:textId="77777777" w:rsidR="001C7CCA" w:rsidRPr="002B3A6F" w:rsidRDefault="001C7CCA" w:rsidP="009528D3">
                            <w:pPr>
                              <w:pStyle w:val="USBodyText"/>
                              <w:ind w:right="24"/>
                            </w:pPr>
                            <w:r w:rsidRPr="002B3A6F">
                              <w:t>Information provided by the client or others for this assignment has not been independently verified or audited.</w:t>
                            </w:r>
                          </w:p>
                          <w:p w14:paraId="5C8F3BD6" w14:textId="3EC46CC8" w:rsidR="001C7CCA" w:rsidRPr="002B3A6F" w:rsidRDefault="001C7CCA" w:rsidP="009528D3">
                            <w:pPr>
                              <w:pStyle w:val="USBodyText"/>
                              <w:ind w:right="24"/>
                            </w:pPr>
                            <w:r w:rsidRPr="002B3A6F">
                              <w:t>Any financial projections included in this document (including budgets or forecasts) are prospective financial information. Those projections are based on information provided by the client and on assumptions about future events and management action that are outside our control and that may or may not occur.</w:t>
                            </w:r>
                            <w:r w:rsidR="00F65692">
                              <w:t xml:space="preserve"> </w:t>
                            </w:r>
                          </w:p>
                          <w:p w14:paraId="7DF76DAF" w14:textId="77777777" w:rsidR="001C7CCA" w:rsidRPr="002B3A6F" w:rsidRDefault="001C7CCA" w:rsidP="009528D3">
                            <w:pPr>
                              <w:pStyle w:val="USBodyText"/>
                              <w:ind w:right="24"/>
                            </w:pPr>
                            <w:r w:rsidRPr="002B3A6F">
                              <w:t>We have made reasonable efforts to ensure that the information contained in this report was up to date as at the time the report was published. That information may become out of date quickly, including as a result of events that are outside our control.</w:t>
                            </w:r>
                          </w:p>
                          <w:p w14:paraId="1837D6D3" w14:textId="77777777" w:rsidR="001C7CCA" w:rsidRPr="002B3A6F" w:rsidRDefault="001C7CCA" w:rsidP="009528D3">
                            <w:pPr>
                              <w:pStyle w:val="USBodyText"/>
                              <w:ind w:right="24"/>
                            </w:pPr>
                            <w:r w:rsidRPr="002B3A6F">
                              <w:t>MartinJenkins, and its directors, officers, employees, agents, consultants, and advisers, will not have any liability arising from or otherwise in connection with this report (or any omissions from it), whether in contract, tort (including for negligence, breach of statutory duty, or otherwise), or any other form of legal liability (except for any liability that by law may not be excluded). The client irrevocably waives all claims against them in connection with any such liability.</w:t>
                            </w:r>
                          </w:p>
                          <w:p w14:paraId="3139270F" w14:textId="77777777" w:rsidR="001C7CCA" w:rsidRPr="002B3A6F" w:rsidRDefault="001C7CCA" w:rsidP="009528D3">
                            <w:pPr>
                              <w:pStyle w:val="USBodyText"/>
                              <w:ind w:right="24"/>
                            </w:pPr>
                            <w:r w:rsidRPr="002B3A6F">
                              <w:t>This Disclaimer supplements and does not replace the Terms and Conditions of our engagement contained in the Engagement Letter for this assignment.</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98DA292" id="Text Box 6" o:spid="_x0000_s1028" type="#_x0000_t202" style="position:absolute;margin-left:0;margin-top:0;width:453pt;height:379pt;z-index:251658240;visibility:visible;mso-wrap-style:square;mso-width-percent:0;mso-height-percent:0;mso-wrap-distance-left:9pt;mso-wrap-distance-top:0;mso-wrap-distance-right:9pt;mso-wrap-distance-bottom:0;mso-position-horizontal:center;mso-position-horizontal-relative:page;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" filled="f" stroked="f" strokeweight=".5pt">
                <v:textbox style="mso-fit-shape-to-text:t" inset="2mm,0,2mm,0">
                  <w:txbxContent>
                    <w:p w14:paraId="1397507A" w14:textId="77777777" w:rsidR="001C7CCA" w:rsidRPr="002B3A6F" w:rsidRDefault="001C7CCA" w:rsidP="00D27FBB">
                      <w:pPr>
                        <w:pStyle w:val="Heading5"/>
                      </w:pPr>
                      <w:r w:rsidRPr="002B3A6F">
                        <w:t>Disclaimer</w:t>
                      </w:r>
                    </w:p>
                    <w:p w14:paraId="2EF707D4" w14:textId="77777777" w:rsidR="001C7CCA" w:rsidRPr="002B3A6F" w:rsidRDefault="001C7CCA" w:rsidP="009528D3">
                      <w:pPr>
                        <w:pStyle w:val="USBodyText"/>
                        <w:ind w:right="24"/>
                      </w:pPr>
                      <w:r w:rsidRPr="002B3A6F">
                        <w:t>This report has been prepared solely for the purposes stated in it. It should not be relied on for any other purpose.</w:t>
                      </w:r>
                    </w:p>
                    <w:p w14:paraId="55F409A2" w14:textId="77777777" w:rsidR="001C7CCA" w:rsidRPr="002B3A6F" w:rsidRDefault="001C7CCA" w:rsidP="009528D3">
                      <w:pPr>
                        <w:pStyle w:val="USBodyText"/>
                        <w:ind w:right="24"/>
                      </w:pPr>
                      <w:r w:rsidRPr="002B3A6F">
                        <w:t>No part of this report should be reproduced, distributed, or communicated to any third party, unless we explicitly consent to this in advance. We do not accept any liability if this report is used for some other purpose for which it was not intended, nor any liability to any third party in respect of this report.</w:t>
                      </w:r>
                    </w:p>
                    <w:p w14:paraId="0E227FD8" w14:textId="77777777" w:rsidR="001C7CCA" w:rsidRPr="002B3A6F" w:rsidRDefault="001C7CCA" w:rsidP="009528D3">
                      <w:pPr>
                        <w:pStyle w:val="USBodyText"/>
                        <w:ind w:right="24"/>
                      </w:pPr>
                      <w:r w:rsidRPr="002B3A6F">
                        <w:t>Information provided by the client or others for this assignment has not been independently verified or audited.</w:t>
                      </w:r>
                    </w:p>
                    <w:p w14:paraId="5C8F3BD6" w14:textId="3EC46CC8" w:rsidR="001C7CCA" w:rsidRPr="002B3A6F" w:rsidRDefault="001C7CCA" w:rsidP="009528D3">
                      <w:pPr>
                        <w:pStyle w:val="USBodyText"/>
                        <w:ind w:right="24"/>
                      </w:pPr>
                      <w:r w:rsidRPr="002B3A6F">
                        <w:t>Any financial projections included in this document (including budgets or forecasts) are prospective financial information. Those projections are based on information provided by the client and on assumptions about future events and management action that are outside our control and that may or may not occur.</w:t>
                      </w:r>
                      <w:r w:rsidR="00F65692">
                        <w:t xml:space="preserve"> </w:t>
                      </w:r>
                    </w:p>
                    <w:p w14:paraId="7DF76DAF" w14:textId="77777777" w:rsidR="001C7CCA" w:rsidRPr="002B3A6F" w:rsidRDefault="001C7CCA" w:rsidP="009528D3">
                      <w:pPr>
                        <w:pStyle w:val="USBodyText"/>
                        <w:ind w:right="24"/>
                      </w:pPr>
                      <w:r w:rsidRPr="002B3A6F">
                        <w:t>We have made reasonable efforts to ensure that the information contained in this report was up to date as at the time the report was published. That information may become out of date quickly, including as a result of events that are outside our control.</w:t>
                      </w:r>
                    </w:p>
                    <w:p w14:paraId="1837D6D3" w14:textId="77777777" w:rsidR="001C7CCA" w:rsidRPr="002B3A6F" w:rsidRDefault="001C7CCA" w:rsidP="009528D3">
                      <w:pPr>
                        <w:pStyle w:val="USBodyText"/>
                        <w:ind w:right="24"/>
                      </w:pPr>
                      <w:r w:rsidRPr="002B3A6F">
                        <w:t>MartinJenkins, and its directors, officers, employees, agents, consultants, and advisers, will not have any liability arising from or otherwise in connection with this report (or any omissions from it), whether in contract, tort (including for negligence, breach of statutory duty, or otherwise), or any other form of legal liability (except for any liability that by law may not be excluded). The client irrevocably waives all claims against them in connection with any such liability.</w:t>
                      </w:r>
                    </w:p>
                    <w:p w14:paraId="3139270F" w14:textId="77777777" w:rsidR="001C7CCA" w:rsidRPr="002B3A6F" w:rsidRDefault="001C7CCA" w:rsidP="009528D3">
                      <w:pPr>
                        <w:pStyle w:val="USBodyText"/>
                        <w:ind w:right="24"/>
                      </w:pPr>
                      <w:r w:rsidRPr="002B3A6F">
                        <w:t>This Disclaimer supplements and does not replace the Terms and Conditions of our engagement contained in the Engagement Letter for this assignment.</w:t>
                      </w:r>
                    </w:p>
                  </w:txbxContent>
                </v:textbox>
                <w10:wrap type="square" anchorx="page" anchory="margin"/>
              </v:shape>
            </w:pict>
          </mc:Fallback>
        </mc:AlternateContent>
      </w:r>
    </w:p>
    <w:p w14:paraId="6785C811" w14:textId="77777777" w:rsidR="001C7CCA" w:rsidRPr="001C7CCA" w:rsidRDefault="001C7CCA" w:rsidP="001C7CCA">
      <w:pPr>
        <w:sectPr w:rsidR="001C7CCA" w:rsidRPr="001C7CCA" w:rsidSect="008A6239">
          <w:headerReference w:type="even" r:id="rId23"/>
          <w:headerReference w:type="default" r:id="rId24"/>
          <w:footerReference w:type="even" r:id="rId25"/>
          <w:footerReference w:type="default" r:id="rId26"/>
          <w:headerReference w:type="first" r:id="rId27"/>
          <w:footerReference w:type="first" r:id="rId28"/>
          <w:pgSz w:w="11906" w:h="16838" w:code="9"/>
          <w:pgMar w:top="2835" w:right="1418" w:bottom="2268" w:left="1418" w:header="283" w:footer="283" w:gutter="0"/>
          <w:cols w:space="708"/>
          <w:docGrid w:linePitch="360"/>
        </w:sectPr>
      </w:pPr>
    </w:p>
    <w:bookmarkEnd w:id="1"/>
    <w:p w14:paraId="12592000" w14:textId="77777777" w:rsidR="006A7563" w:rsidRDefault="006A7563" w:rsidP="00D47977">
      <w:pPr>
        <w:pStyle w:val="HeadingContents"/>
      </w:pPr>
      <w:r>
        <w:lastRenderedPageBreak/>
        <w:t>Contents</w:t>
      </w:r>
    </w:p>
    <w:tbl>
      <w:tblPr>
        <w:tblStyle w:val="PlainTable3"/>
        <w:tblW w:w="9354" w:type="dxa"/>
        <w:tblLayout w:type="fixed"/>
        <w:tblCellMar>
          <w:left w:w="0" w:type="dxa"/>
          <w:right w:w="0" w:type="dxa"/>
        </w:tblCellMar>
        <w:tblLook w:val="0600" w:firstRow="0" w:lastRow="0" w:firstColumn="0" w:lastColumn="0" w:noHBand="1" w:noVBand="1"/>
      </w:tblPr>
      <w:tblGrid>
        <w:gridCol w:w="9354"/>
      </w:tblGrid>
      <w:tr w:rsidR="006A7563" w14:paraId="19B4D259" w14:textId="77777777" w:rsidTr="045E5A3E">
        <w:tc>
          <w:tcPr>
            <w:tcW w:w="9354" w:type="dxa"/>
          </w:tcPr>
          <w:bookmarkStart w:id="2" w:name="TOCMain"/>
          <w:p w14:paraId="5AD4D656" w14:textId="5EB34440" w:rsidR="00C820D7" w:rsidRDefault="006A7563">
            <w:pPr>
              <w:pStyle w:val="TOC1"/>
              <w:rPr>
                <w:rFonts w:asciiTheme="minorHAnsi" w:eastAsiaTheme="minorEastAsia" w:hAnsiTheme="minorHAnsi"/>
                <w:b w:val="0"/>
                <w:noProof/>
                <w:kern w:val="2"/>
                <w:sz w:val="24"/>
                <w:szCs w:val="24"/>
                <w:lang w:val="en-AU" w:eastAsia="en-GB"/>
                <w14:ligatures w14:val="standardContextual"/>
              </w:rPr>
            </w:pPr>
            <w:r>
              <w:rPr>
                <w:sz w:val="24"/>
                <w:szCs w:val="24"/>
              </w:rPr>
              <w:fldChar w:fldCharType="begin"/>
            </w:r>
            <w:r>
              <w:instrText xml:space="preserve"> TOC \t "Heading 1,1, Heading 2,2, Heading 3,3, NH Heading 1,7, NH Heading 2,8, NH Heading 3,9, SN Heading 1,6,SN Heading 2,2, SN Heading 3,3, LN Heading 1,6, LN Heading 2,2, LN Heading 3,3" \h \z \u </w:instrText>
            </w:r>
            <w:r>
              <w:rPr>
                <w:sz w:val="24"/>
                <w:szCs w:val="24"/>
              </w:rPr>
              <w:fldChar w:fldCharType="separate"/>
            </w:r>
            <w:hyperlink w:anchor="_Toc241658013" w:history="1">
              <w:r w:rsidR="00C820D7" w:rsidRPr="009D44D8">
                <w:rPr>
                  <w:rStyle w:val="Hyperlink"/>
                  <w:noProof/>
                </w:rPr>
                <w:t>Purpose of this discussion document</w:t>
              </w:r>
              <w:r w:rsidR="00C820D7">
                <w:rPr>
                  <w:noProof/>
                  <w:webHidden/>
                </w:rPr>
                <w:tab/>
              </w:r>
              <w:r w:rsidR="00C820D7">
                <w:rPr>
                  <w:noProof/>
                  <w:webHidden/>
                </w:rPr>
                <w:fldChar w:fldCharType="begin"/>
              </w:r>
              <w:r w:rsidR="00C820D7">
                <w:rPr>
                  <w:noProof/>
                  <w:webHidden/>
                </w:rPr>
                <w:instrText xml:space="preserve"> PAGEREF _Toc241658013 \h </w:instrText>
              </w:r>
              <w:r w:rsidR="00C820D7">
                <w:rPr>
                  <w:noProof/>
                  <w:webHidden/>
                </w:rPr>
              </w:r>
              <w:r w:rsidR="00C820D7">
                <w:rPr>
                  <w:noProof/>
                  <w:webHidden/>
                </w:rPr>
                <w:fldChar w:fldCharType="separate"/>
              </w:r>
              <w:r w:rsidR="00C820D7">
                <w:rPr>
                  <w:noProof/>
                  <w:webHidden/>
                </w:rPr>
                <w:t>1</w:t>
              </w:r>
              <w:r w:rsidR="00C820D7">
                <w:rPr>
                  <w:noProof/>
                  <w:webHidden/>
                </w:rPr>
                <w:fldChar w:fldCharType="end"/>
              </w:r>
            </w:hyperlink>
          </w:p>
          <w:p w14:paraId="322F874C" w14:textId="395E9918" w:rsidR="00C820D7" w:rsidRDefault="00C820D7">
            <w:pPr>
              <w:pStyle w:val="TOC1"/>
              <w:rPr>
                <w:rFonts w:asciiTheme="minorHAnsi" w:eastAsiaTheme="minorEastAsia" w:hAnsiTheme="minorHAnsi"/>
                <w:b w:val="0"/>
                <w:noProof/>
                <w:kern w:val="2"/>
                <w:sz w:val="24"/>
                <w:szCs w:val="24"/>
                <w:lang w:val="en-AU" w:eastAsia="en-GB"/>
                <w14:ligatures w14:val="standardContextual"/>
              </w:rPr>
            </w:pPr>
            <w:hyperlink w:anchor="_Toc241658014" w:history="1">
              <w:r w:rsidRPr="009D44D8">
                <w:rPr>
                  <w:rStyle w:val="Hyperlink"/>
                  <w:noProof/>
                </w:rPr>
                <w:t>Executive summary</w:t>
              </w:r>
              <w:r>
                <w:rPr>
                  <w:noProof/>
                  <w:webHidden/>
                </w:rPr>
                <w:tab/>
              </w:r>
              <w:r>
                <w:rPr>
                  <w:noProof/>
                  <w:webHidden/>
                </w:rPr>
                <w:fldChar w:fldCharType="begin"/>
              </w:r>
              <w:r>
                <w:rPr>
                  <w:noProof/>
                  <w:webHidden/>
                </w:rPr>
                <w:instrText xml:space="preserve"> PAGEREF _Toc241658014 \h </w:instrText>
              </w:r>
              <w:r>
                <w:rPr>
                  <w:noProof/>
                  <w:webHidden/>
                </w:rPr>
              </w:r>
              <w:r>
                <w:rPr>
                  <w:noProof/>
                  <w:webHidden/>
                </w:rPr>
                <w:fldChar w:fldCharType="separate"/>
              </w:r>
              <w:r>
                <w:rPr>
                  <w:noProof/>
                  <w:webHidden/>
                </w:rPr>
                <w:t>3</w:t>
              </w:r>
              <w:r>
                <w:rPr>
                  <w:noProof/>
                  <w:webHidden/>
                </w:rPr>
                <w:fldChar w:fldCharType="end"/>
              </w:r>
            </w:hyperlink>
          </w:p>
          <w:p w14:paraId="64663138" w14:textId="690698D8"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15" w:history="1">
              <w:r w:rsidRPr="009D44D8">
                <w:rPr>
                  <w:rStyle w:val="Hyperlink"/>
                  <w:noProof/>
                </w:rPr>
                <w:t>About this review</w:t>
              </w:r>
              <w:r>
                <w:rPr>
                  <w:noProof/>
                  <w:webHidden/>
                </w:rPr>
                <w:tab/>
              </w:r>
              <w:r>
                <w:rPr>
                  <w:noProof/>
                  <w:webHidden/>
                </w:rPr>
                <w:fldChar w:fldCharType="begin"/>
              </w:r>
              <w:r>
                <w:rPr>
                  <w:noProof/>
                  <w:webHidden/>
                </w:rPr>
                <w:instrText xml:space="preserve"> PAGEREF _Toc241658015 \h </w:instrText>
              </w:r>
              <w:r>
                <w:rPr>
                  <w:noProof/>
                  <w:webHidden/>
                </w:rPr>
              </w:r>
              <w:r>
                <w:rPr>
                  <w:noProof/>
                  <w:webHidden/>
                </w:rPr>
                <w:fldChar w:fldCharType="separate"/>
              </w:r>
              <w:r>
                <w:rPr>
                  <w:noProof/>
                  <w:webHidden/>
                </w:rPr>
                <w:t>3</w:t>
              </w:r>
              <w:r>
                <w:rPr>
                  <w:noProof/>
                  <w:webHidden/>
                </w:rPr>
                <w:fldChar w:fldCharType="end"/>
              </w:r>
            </w:hyperlink>
          </w:p>
          <w:p w14:paraId="3F7B1D8A" w14:textId="71DBA316"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16" w:history="1">
              <w:r w:rsidRPr="009D44D8">
                <w:rPr>
                  <w:rStyle w:val="Hyperlink"/>
                  <w:noProof/>
                </w:rPr>
                <w:t>Review Framework</w:t>
              </w:r>
              <w:r>
                <w:rPr>
                  <w:noProof/>
                  <w:webHidden/>
                </w:rPr>
                <w:tab/>
              </w:r>
              <w:r>
                <w:rPr>
                  <w:noProof/>
                  <w:webHidden/>
                </w:rPr>
                <w:fldChar w:fldCharType="begin"/>
              </w:r>
              <w:r>
                <w:rPr>
                  <w:noProof/>
                  <w:webHidden/>
                </w:rPr>
                <w:instrText xml:space="preserve"> PAGEREF _Toc241658016 \h </w:instrText>
              </w:r>
              <w:r>
                <w:rPr>
                  <w:noProof/>
                  <w:webHidden/>
                </w:rPr>
              </w:r>
              <w:r>
                <w:rPr>
                  <w:noProof/>
                  <w:webHidden/>
                </w:rPr>
                <w:fldChar w:fldCharType="separate"/>
              </w:r>
              <w:r>
                <w:rPr>
                  <w:noProof/>
                  <w:webHidden/>
                </w:rPr>
                <w:t>3</w:t>
              </w:r>
              <w:r>
                <w:rPr>
                  <w:noProof/>
                  <w:webHidden/>
                </w:rPr>
                <w:fldChar w:fldCharType="end"/>
              </w:r>
            </w:hyperlink>
          </w:p>
          <w:p w14:paraId="71291C0F" w14:textId="038538C3"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17" w:history="1">
              <w:r w:rsidRPr="009D44D8">
                <w:rPr>
                  <w:rStyle w:val="Hyperlink"/>
                  <w:noProof/>
                </w:rPr>
                <w:t>Trigger and wider context of review</w:t>
              </w:r>
              <w:r>
                <w:rPr>
                  <w:noProof/>
                  <w:webHidden/>
                </w:rPr>
                <w:tab/>
              </w:r>
              <w:r>
                <w:rPr>
                  <w:noProof/>
                  <w:webHidden/>
                </w:rPr>
                <w:fldChar w:fldCharType="begin"/>
              </w:r>
              <w:r>
                <w:rPr>
                  <w:noProof/>
                  <w:webHidden/>
                </w:rPr>
                <w:instrText xml:space="preserve"> PAGEREF _Toc241658017 \h </w:instrText>
              </w:r>
              <w:r>
                <w:rPr>
                  <w:noProof/>
                  <w:webHidden/>
                </w:rPr>
              </w:r>
              <w:r>
                <w:rPr>
                  <w:noProof/>
                  <w:webHidden/>
                </w:rPr>
                <w:fldChar w:fldCharType="separate"/>
              </w:r>
              <w:r>
                <w:rPr>
                  <w:noProof/>
                  <w:webHidden/>
                </w:rPr>
                <w:t>4</w:t>
              </w:r>
              <w:r>
                <w:rPr>
                  <w:noProof/>
                  <w:webHidden/>
                </w:rPr>
                <w:fldChar w:fldCharType="end"/>
              </w:r>
            </w:hyperlink>
          </w:p>
          <w:p w14:paraId="51265EFD" w14:textId="1844097D"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18" w:history="1">
              <w:r w:rsidRPr="009D44D8">
                <w:rPr>
                  <w:rStyle w:val="Hyperlink"/>
                  <w:noProof/>
                </w:rPr>
                <w:t>Opportunities for improvement</w:t>
              </w:r>
              <w:r>
                <w:rPr>
                  <w:noProof/>
                  <w:webHidden/>
                </w:rPr>
                <w:tab/>
              </w:r>
              <w:r>
                <w:rPr>
                  <w:noProof/>
                  <w:webHidden/>
                </w:rPr>
                <w:fldChar w:fldCharType="begin"/>
              </w:r>
              <w:r>
                <w:rPr>
                  <w:noProof/>
                  <w:webHidden/>
                </w:rPr>
                <w:instrText xml:space="preserve"> PAGEREF _Toc241658018 \h </w:instrText>
              </w:r>
              <w:r>
                <w:rPr>
                  <w:noProof/>
                  <w:webHidden/>
                </w:rPr>
              </w:r>
              <w:r>
                <w:rPr>
                  <w:noProof/>
                  <w:webHidden/>
                </w:rPr>
                <w:fldChar w:fldCharType="separate"/>
              </w:r>
              <w:r>
                <w:rPr>
                  <w:noProof/>
                  <w:webHidden/>
                </w:rPr>
                <w:t>6</w:t>
              </w:r>
              <w:r>
                <w:rPr>
                  <w:noProof/>
                  <w:webHidden/>
                </w:rPr>
                <w:fldChar w:fldCharType="end"/>
              </w:r>
            </w:hyperlink>
          </w:p>
          <w:p w14:paraId="4816ED32" w14:textId="20C6E893"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19" w:history="1">
              <w:r w:rsidRPr="009D44D8">
                <w:rPr>
                  <w:rStyle w:val="Hyperlink"/>
                  <w:noProof/>
                </w:rPr>
                <w:t>Opportunities to improve the ITE Programme Requirements</w:t>
              </w:r>
              <w:r>
                <w:rPr>
                  <w:noProof/>
                  <w:webHidden/>
                </w:rPr>
                <w:tab/>
              </w:r>
              <w:r>
                <w:rPr>
                  <w:noProof/>
                  <w:webHidden/>
                </w:rPr>
                <w:fldChar w:fldCharType="begin"/>
              </w:r>
              <w:r>
                <w:rPr>
                  <w:noProof/>
                  <w:webHidden/>
                </w:rPr>
                <w:instrText xml:space="preserve"> PAGEREF _Toc241658019 \h </w:instrText>
              </w:r>
              <w:r>
                <w:rPr>
                  <w:noProof/>
                  <w:webHidden/>
                </w:rPr>
              </w:r>
              <w:r>
                <w:rPr>
                  <w:noProof/>
                  <w:webHidden/>
                </w:rPr>
                <w:fldChar w:fldCharType="separate"/>
              </w:r>
              <w:r>
                <w:rPr>
                  <w:noProof/>
                  <w:webHidden/>
                </w:rPr>
                <w:t>6</w:t>
              </w:r>
              <w:r>
                <w:rPr>
                  <w:noProof/>
                  <w:webHidden/>
                </w:rPr>
                <w:fldChar w:fldCharType="end"/>
              </w:r>
            </w:hyperlink>
          </w:p>
          <w:p w14:paraId="32967679" w14:textId="5114E746" w:rsidR="00C820D7" w:rsidRDefault="00C820D7">
            <w:pPr>
              <w:pStyle w:val="TOC1"/>
              <w:rPr>
                <w:rFonts w:asciiTheme="minorHAnsi" w:eastAsiaTheme="minorEastAsia" w:hAnsiTheme="minorHAnsi"/>
                <w:b w:val="0"/>
                <w:noProof/>
                <w:kern w:val="2"/>
                <w:sz w:val="24"/>
                <w:szCs w:val="24"/>
                <w:lang w:val="en-AU" w:eastAsia="en-GB"/>
                <w14:ligatures w14:val="standardContextual"/>
              </w:rPr>
            </w:pPr>
            <w:hyperlink w:anchor="_Toc241658020" w:history="1">
              <w:r w:rsidRPr="009D44D8">
                <w:rPr>
                  <w:rStyle w:val="Hyperlink"/>
                  <w:noProof/>
                </w:rPr>
                <w:t>Project context</w:t>
              </w:r>
              <w:r>
                <w:rPr>
                  <w:noProof/>
                  <w:webHidden/>
                </w:rPr>
                <w:tab/>
              </w:r>
              <w:r>
                <w:rPr>
                  <w:noProof/>
                  <w:webHidden/>
                </w:rPr>
                <w:fldChar w:fldCharType="begin"/>
              </w:r>
              <w:r>
                <w:rPr>
                  <w:noProof/>
                  <w:webHidden/>
                </w:rPr>
                <w:instrText xml:space="preserve"> PAGEREF _Toc241658020 \h </w:instrText>
              </w:r>
              <w:r>
                <w:rPr>
                  <w:noProof/>
                  <w:webHidden/>
                </w:rPr>
              </w:r>
              <w:r>
                <w:rPr>
                  <w:noProof/>
                  <w:webHidden/>
                </w:rPr>
                <w:fldChar w:fldCharType="separate"/>
              </w:r>
              <w:r>
                <w:rPr>
                  <w:noProof/>
                  <w:webHidden/>
                </w:rPr>
                <w:t>10</w:t>
              </w:r>
              <w:r>
                <w:rPr>
                  <w:noProof/>
                  <w:webHidden/>
                </w:rPr>
                <w:fldChar w:fldCharType="end"/>
              </w:r>
            </w:hyperlink>
          </w:p>
          <w:p w14:paraId="514BDB98" w14:textId="5AA6C048"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21" w:history="1">
              <w:r w:rsidRPr="009D44D8">
                <w:rPr>
                  <w:rStyle w:val="Hyperlink"/>
                  <w:noProof/>
                </w:rPr>
                <w:t>Project scope</w:t>
              </w:r>
              <w:r>
                <w:rPr>
                  <w:noProof/>
                  <w:webHidden/>
                </w:rPr>
                <w:tab/>
              </w:r>
              <w:r>
                <w:rPr>
                  <w:noProof/>
                  <w:webHidden/>
                </w:rPr>
                <w:fldChar w:fldCharType="begin"/>
              </w:r>
              <w:r>
                <w:rPr>
                  <w:noProof/>
                  <w:webHidden/>
                </w:rPr>
                <w:instrText xml:space="preserve"> PAGEREF _Toc241658021 \h </w:instrText>
              </w:r>
              <w:r>
                <w:rPr>
                  <w:noProof/>
                  <w:webHidden/>
                </w:rPr>
              </w:r>
              <w:r>
                <w:rPr>
                  <w:noProof/>
                  <w:webHidden/>
                </w:rPr>
                <w:fldChar w:fldCharType="separate"/>
              </w:r>
              <w:r>
                <w:rPr>
                  <w:noProof/>
                  <w:webHidden/>
                </w:rPr>
                <w:t>10</w:t>
              </w:r>
              <w:r>
                <w:rPr>
                  <w:noProof/>
                  <w:webHidden/>
                </w:rPr>
                <w:fldChar w:fldCharType="end"/>
              </w:r>
            </w:hyperlink>
          </w:p>
          <w:p w14:paraId="663435AD" w14:textId="7D5A62CC"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22" w:history="1">
              <w:r w:rsidRPr="009D44D8">
                <w:rPr>
                  <w:rStyle w:val="Hyperlink"/>
                  <w:noProof/>
                </w:rPr>
                <w:t>Methodology</w:t>
              </w:r>
              <w:r>
                <w:rPr>
                  <w:noProof/>
                  <w:webHidden/>
                </w:rPr>
                <w:tab/>
              </w:r>
              <w:r>
                <w:rPr>
                  <w:noProof/>
                  <w:webHidden/>
                </w:rPr>
                <w:fldChar w:fldCharType="begin"/>
              </w:r>
              <w:r>
                <w:rPr>
                  <w:noProof/>
                  <w:webHidden/>
                </w:rPr>
                <w:instrText xml:space="preserve"> PAGEREF _Toc241658022 \h </w:instrText>
              </w:r>
              <w:r>
                <w:rPr>
                  <w:noProof/>
                  <w:webHidden/>
                </w:rPr>
              </w:r>
              <w:r>
                <w:rPr>
                  <w:noProof/>
                  <w:webHidden/>
                </w:rPr>
                <w:fldChar w:fldCharType="separate"/>
              </w:r>
              <w:r>
                <w:rPr>
                  <w:noProof/>
                  <w:webHidden/>
                </w:rPr>
                <w:t>10</w:t>
              </w:r>
              <w:r>
                <w:rPr>
                  <w:noProof/>
                  <w:webHidden/>
                </w:rPr>
                <w:fldChar w:fldCharType="end"/>
              </w:r>
            </w:hyperlink>
          </w:p>
          <w:p w14:paraId="7BFC176B" w14:textId="3545F21B"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23" w:history="1">
              <w:r w:rsidRPr="009D44D8">
                <w:rPr>
                  <w:rStyle w:val="Hyperlink"/>
                  <w:noProof/>
                </w:rPr>
                <w:t>Te Whare o Rongotauira</w:t>
              </w:r>
              <w:r>
                <w:rPr>
                  <w:noProof/>
                  <w:webHidden/>
                </w:rPr>
                <w:tab/>
              </w:r>
              <w:r>
                <w:rPr>
                  <w:noProof/>
                  <w:webHidden/>
                </w:rPr>
                <w:fldChar w:fldCharType="begin"/>
              </w:r>
              <w:r>
                <w:rPr>
                  <w:noProof/>
                  <w:webHidden/>
                </w:rPr>
                <w:instrText xml:space="preserve"> PAGEREF _Toc241658023 \h </w:instrText>
              </w:r>
              <w:r>
                <w:rPr>
                  <w:noProof/>
                  <w:webHidden/>
                </w:rPr>
              </w:r>
              <w:r>
                <w:rPr>
                  <w:noProof/>
                  <w:webHidden/>
                </w:rPr>
                <w:fldChar w:fldCharType="separate"/>
              </w:r>
              <w:r>
                <w:rPr>
                  <w:noProof/>
                  <w:webHidden/>
                </w:rPr>
                <w:t>11</w:t>
              </w:r>
              <w:r>
                <w:rPr>
                  <w:noProof/>
                  <w:webHidden/>
                </w:rPr>
                <w:fldChar w:fldCharType="end"/>
              </w:r>
            </w:hyperlink>
          </w:p>
          <w:p w14:paraId="111B6174" w14:textId="787FBD9A"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24" w:history="1">
              <w:r w:rsidRPr="009D44D8">
                <w:rPr>
                  <w:rStyle w:val="Hyperlink"/>
                  <w:noProof/>
                </w:rPr>
                <w:t>Engagement with expert advisory panel</w:t>
              </w:r>
              <w:r>
                <w:rPr>
                  <w:noProof/>
                  <w:webHidden/>
                </w:rPr>
                <w:tab/>
              </w:r>
              <w:r>
                <w:rPr>
                  <w:noProof/>
                  <w:webHidden/>
                </w:rPr>
                <w:fldChar w:fldCharType="begin"/>
              </w:r>
              <w:r>
                <w:rPr>
                  <w:noProof/>
                  <w:webHidden/>
                </w:rPr>
                <w:instrText xml:space="preserve"> PAGEREF _Toc241658024 \h </w:instrText>
              </w:r>
              <w:r>
                <w:rPr>
                  <w:noProof/>
                  <w:webHidden/>
                </w:rPr>
              </w:r>
              <w:r>
                <w:rPr>
                  <w:noProof/>
                  <w:webHidden/>
                </w:rPr>
                <w:fldChar w:fldCharType="separate"/>
              </w:r>
              <w:r>
                <w:rPr>
                  <w:noProof/>
                  <w:webHidden/>
                </w:rPr>
                <w:t>11</w:t>
              </w:r>
              <w:r>
                <w:rPr>
                  <w:noProof/>
                  <w:webHidden/>
                </w:rPr>
                <w:fldChar w:fldCharType="end"/>
              </w:r>
            </w:hyperlink>
          </w:p>
          <w:p w14:paraId="62766319" w14:textId="3F33D566" w:rsidR="00C820D7" w:rsidRDefault="00C820D7">
            <w:pPr>
              <w:pStyle w:val="TOC1"/>
              <w:rPr>
                <w:rFonts w:asciiTheme="minorHAnsi" w:eastAsiaTheme="minorEastAsia" w:hAnsiTheme="minorHAnsi"/>
                <w:b w:val="0"/>
                <w:noProof/>
                <w:kern w:val="2"/>
                <w:sz w:val="24"/>
                <w:szCs w:val="24"/>
                <w:lang w:val="en-AU" w:eastAsia="en-GB"/>
                <w14:ligatures w14:val="standardContextual"/>
              </w:rPr>
            </w:pPr>
            <w:hyperlink w:anchor="_Toc241658025" w:history="1">
              <w:r w:rsidRPr="009D44D8">
                <w:rPr>
                  <w:rStyle w:val="Hyperlink"/>
                  <w:noProof/>
                </w:rPr>
                <w:t>Review Framework</w:t>
              </w:r>
              <w:r>
                <w:rPr>
                  <w:noProof/>
                  <w:webHidden/>
                </w:rPr>
                <w:tab/>
              </w:r>
              <w:r>
                <w:rPr>
                  <w:noProof/>
                  <w:webHidden/>
                </w:rPr>
                <w:fldChar w:fldCharType="begin"/>
              </w:r>
              <w:r>
                <w:rPr>
                  <w:noProof/>
                  <w:webHidden/>
                </w:rPr>
                <w:instrText xml:space="preserve"> PAGEREF _Toc241658025 \h </w:instrText>
              </w:r>
              <w:r>
                <w:rPr>
                  <w:noProof/>
                  <w:webHidden/>
                </w:rPr>
              </w:r>
              <w:r>
                <w:rPr>
                  <w:noProof/>
                  <w:webHidden/>
                </w:rPr>
                <w:fldChar w:fldCharType="separate"/>
              </w:r>
              <w:r>
                <w:rPr>
                  <w:noProof/>
                  <w:webHidden/>
                </w:rPr>
                <w:t>12</w:t>
              </w:r>
              <w:r>
                <w:rPr>
                  <w:noProof/>
                  <w:webHidden/>
                </w:rPr>
                <w:fldChar w:fldCharType="end"/>
              </w:r>
            </w:hyperlink>
          </w:p>
          <w:p w14:paraId="72C4AC9E" w14:textId="72B3FF59" w:rsidR="00C820D7" w:rsidRDefault="00C820D7">
            <w:pPr>
              <w:pStyle w:val="TOC1"/>
              <w:rPr>
                <w:rFonts w:asciiTheme="minorHAnsi" w:eastAsiaTheme="minorEastAsia" w:hAnsiTheme="minorHAnsi"/>
                <w:b w:val="0"/>
                <w:noProof/>
                <w:kern w:val="2"/>
                <w:sz w:val="24"/>
                <w:szCs w:val="24"/>
                <w:lang w:val="en-AU" w:eastAsia="en-GB"/>
                <w14:ligatures w14:val="standardContextual"/>
              </w:rPr>
            </w:pPr>
            <w:hyperlink w:anchor="_Toc241658026" w:history="1">
              <w:r w:rsidRPr="009D44D8">
                <w:rPr>
                  <w:rStyle w:val="Hyperlink"/>
                  <w:noProof/>
                </w:rPr>
                <w:t>Context of ITE in Aotearoa New Zealand</w:t>
              </w:r>
              <w:r>
                <w:rPr>
                  <w:noProof/>
                  <w:webHidden/>
                </w:rPr>
                <w:tab/>
              </w:r>
              <w:r>
                <w:rPr>
                  <w:noProof/>
                  <w:webHidden/>
                </w:rPr>
                <w:fldChar w:fldCharType="begin"/>
              </w:r>
              <w:r>
                <w:rPr>
                  <w:noProof/>
                  <w:webHidden/>
                </w:rPr>
                <w:instrText xml:space="preserve"> PAGEREF _Toc241658026 \h </w:instrText>
              </w:r>
              <w:r>
                <w:rPr>
                  <w:noProof/>
                  <w:webHidden/>
                </w:rPr>
              </w:r>
              <w:r>
                <w:rPr>
                  <w:noProof/>
                  <w:webHidden/>
                </w:rPr>
                <w:fldChar w:fldCharType="separate"/>
              </w:r>
              <w:r>
                <w:rPr>
                  <w:noProof/>
                  <w:webHidden/>
                </w:rPr>
                <w:t>14</w:t>
              </w:r>
              <w:r>
                <w:rPr>
                  <w:noProof/>
                  <w:webHidden/>
                </w:rPr>
                <w:fldChar w:fldCharType="end"/>
              </w:r>
            </w:hyperlink>
          </w:p>
          <w:p w14:paraId="7E1F10DF" w14:textId="0FDBF0A5"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27" w:history="1">
              <w:r w:rsidRPr="009D44D8">
                <w:rPr>
                  <w:rStyle w:val="Hyperlink"/>
                  <w:noProof/>
                </w:rPr>
                <w:t>The role of ITE</w:t>
              </w:r>
              <w:r>
                <w:rPr>
                  <w:noProof/>
                  <w:webHidden/>
                </w:rPr>
                <w:tab/>
              </w:r>
              <w:r>
                <w:rPr>
                  <w:noProof/>
                  <w:webHidden/>
                </w:rPr>
                <w:fldChar w:fldCharType="begin"/>
              </w:r>
              <w:r>
                <w:rPr>
                  <w:noProof/>
                  <w:webHidden/>
                </w:rPr>
                <w:instrText xml:space="preserve"> PAGEREF _Toc241658027 \h </w:instrText>
              </w:r>
              <w:r>
                <w:rPr>
                  <w:noProof/>
                  <w:webHidden/>
                </w:rPr>
              </w:r>
              <w:r>
                <w:rPr>
                  <w:noProof/>
                  <w:webHidden/>
                </w:rPr>
                <w:fldChar w:fldCharType="separate"/>
              </w:r>
              <w:r>
                <w:rPr>
                  <w:noProof/>
                  <w:webHidden/>
                </w:rPr>
                <w:t>14</w:t>
              </w:r>
              <w:r>
                <w:rPr>
                  <w:noProof/>
                  <w:webHidden/>
                </w:rPr>
                <w:fldChar w:fldCharType="end"/>
              </w:r>
            </w:hyperlink>
          </w:p>
          <w:p w14:paraId="08D73560" w14:textId="68B4AFB3"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28" w:history="1">
              <w:r w:rsidRPr="009D44D8">
                <w:rPr>
                  <w:rStyle w:val="Hyperlink"/>
                  <w:noProof/>
                </w:rPr>
                <w:t>The ITE Programme Requirements and the Standards for the Teaching Profession</w:t>
              </w:r>
              <w:r>
                <w:rPr>
                  <w:noProof/>
                  <w:webHidden/>
                </w:rPr>
                <w:tab/>
              </w:r>
              <w:r>
                <w:rPr>
                  <w:noProof/>
                  <w:webHidden/>
                </w:rPr>
                <w:fldChar w:fldCharType="begin"/>
              </w:r>
              <w:r>
                <w:rPr>
                  <w:noProof/>
                  <w:webHidden/>
                </w:rPr>
                <w:instrText xml:space="preserve"> PAGEREF _Toc241658028 \h </w:instrText>
              </w:r>
              <w:r>
                <w:rPr>
                  <w:noProof/>
                  <w:webHidden/>
                </w:rPr>
              </w:r>
              <w:r>
                <w:rPr>
                  <w:noProof/>
                  <w:webHidden/>
                </w:rPr>
                <w:fldChar w:fldCharType="separate"/>
              </w:r>
              <w:r>
                <w:rPr>
                  <w:noProof/>
                  <w:webHidden/>
                </w:rPr>
                <w:t>15</w:t>
              </w:r>
              <w:r>
                <w:rPr>
                  <w:noProof/>
                  <w:webHidden/>
                </w:rPr>
                <w:fldChar w:fldCharType="end"/>
              </w:r>
            </w:hyperlink>
          </w:p>
          <w:p w14:paraId="432748D1" w14:textId="08AE73A2"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29" w:history="1">
              <w:r w:rsidRPr="009D44D8">
                <w:rPr>
                  <w:rStyle w:val="Hyperlink"/>
                  <w:noProof/>
                </w:rPr>
                <w:t>Providers and delivery models</w:t>
              </w:r>
              <w:r>
                <w:rPr>
                  <w:noProof/>
                  <w:webHidden/>
                </w:rPr>
                <w:tab/>
              </w:r>
              <w:r>
                <w:rPr>
                  <w:noProof/>
                  <w:webHidden/>
                </w:rPr>
                <w:fldChar w:fldCharType="begin"/>
              </w:r>
              <w:r>
                <w:rPr>
                  <w:noProof/>
                  <w:webHidden/>
                </w:rPr>
                <w:instrText xml:space="preserve"> PAGEREF _Toc241658029 \h </w:instrText>
              </w:r>
              <w:r>
                <w:rPr>
                  <w:noProof/>
                  <w:webHidden/>
                </w:rPr>
              </w:r>
              <w:r>
                <w:rPr>
                  <w:noProof/>
                  <w:webHidden/>
                </w:rPr>
                <w:fldChar w:fldCharType="separate"/>
              </w:r>
              <w:r>
                <w:rPr>
                  <w:noProof/>
                  <w:webHidden/>
                </w:rPr>
                <w:t>16</w:t>
              </w:r>
              <w:r>
                <w:rPr>
                  <w:noProof/>
                  <w:webHidden/>
                </w:rPr>
                <w:fldChar w:fldCharType="end"/>
              </w:r>
            </w:hyperlink>
          </w:p>
          <w:p w14:paraId="55214275" w14:textId="5F04B3DB"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30" w:history="1">
              <w:r w:rsidRPr="009D44D8">
                <w:rPr>
                  <w:rStyle w:val="Hyperlink"/>
                  <w:noProof/>
                </w:rPr>
                <w:t>System roles and responsibilities</w:t>
              </w:r>
              <w:r>
                <w:rPr>
                  <w:noProof/>
                  <w:webHidden/>
                </w:rPr>
                <w:tab/>
              </w:r>
              <w:r>
                <w:rPr>
                  <w:noProof/>
                  <w:webHidden/>
                </w:rPr>
                <w:fldChar w:fldCharType="begin"/>
              </w:r>
              <w:r>
                <w:rPr>
                  <w:noProof/>
                  <w:webHidden/>
                </w:rPr>
                <w:instrText xml:space="preserve"> PAGEREF _Toc241658030 \h </w:instrText>
              </w:r>
              <w:r>
                <w:rPr>
                  <w:noProof/>
                  <w:webHidden/>
                </w:rPr>
              </w:r>
              <w:r>
                <w:rPr>
                  <w:noProof/>
                  <w:webHidden/>
                </w:rPr>
                <w:fldChar w:fldCharType="separate"/>
              </w:r>
              <w:r>
                <w:rPr>
                  <w:noProof/>
                  <w:webHidden/>
                </w:rPr>
                <w:t>16</w:t>
              </w:r>
              <w:r>
                <w:rPr>
                  <w:noProof/>
                  <w:webHidden/>
                </w:rPr>
                <w:fldChar w:fldCharType="end"/>
              </w:r>
            </w:hyperlink>
          </w:p>
          <w:p w14:paraId="77FF55BF" w14:textId="65569D69" w:rsidR="00C820D7" w:rsidRDefault="00C820D7">
            <w:pPr>
              <w:pStyle w:val="TOC1"/>
              <w:rPr>
                <w:rFonts w:asciiTheme="minorHAnsi" w:eastAsiaTheme="minorEastAsia" w:hAnsiTheme="minorHAnsi"/>
                <w:b w:val="0"/>
                <w:noProof/>
                <w:kern w:val="2"/>
                <w:sz w:val="24"/>
                <w:szCs w:val="24"/>
                <w:lang w:val="en-AU" w:eastAsia="en-GB"/>
                <w14:ligatures w14:val="standardContextual"/>
              </w:rPr>
            </w:pPr>
            <w:hyperlink w:anchor="_Toc241658031" w:history="1">
              <w:r w:rsidRPr="009D44D8">
                <w:rPr>
                  <w:rStyle w:val="Hyperlink"/>
                  <w:noProof/>
                </w:rPr>
                <w:t>Trigger for this review</w:t>
              </w:r>
              <w:r>
                <w:rPr>
                  <w:noProof/>
                  <w:webHidden/>
                </w:rPr>
                <w:tab/>
              </w:r>
              <w:r>
                <w:rPr>
                  <w:noProof/>
                  <w:webHidden/>
                </w:rPr>
                <w:fldChar w:fldCharType="begin"/>
              </w:r>
              <w:r>
                <w:rPr>
                  <w:noProof/>
                  <w:webHidden/>
                </w:rPr>
                <w:instrText xml:space="preserve"> PAGEREF _Toc241658031 \h </w:instrText>
              </w:r>
              <w:r>
                <w:rPr>
                  <w:noProof/>
                  <w:webHidden/>
                </w:rPr>
              </w:r>
              <w:r>
                <w:rPr>
                  <w:noProof/>
                  <w:webHidden/>
                </w:rPr>
                <w:fldChar w:fldCharType="separate"/>
              </w:r>
              <w:r>
                <w:rPr>
                  <w:noProof/>
                  <w:webHidden/>
                </w:rPr>
                <w:t>18</w:t>
              </w:r>
              <w:r>
                <w:rPr>
                  <w:noProof/>
                  <w:webHidden/>
                </w:rPr>
                <w:fldChar w:fldCharType="end"/>
              </w:r>
            </w:hyperlink>
          </w:p>
          <w:p w14:paraId="19897906" w14:textId="5A85A53B" w:rsidR="00C820D7" w:rsidRDefault="00C820D7">
            <w:pPr>
              <w:pStyle w:val="TOC1"/>
              <w:rPr>
                <w:rFonts w:asciiTheme="minorHAnsi" w:eastAsiaTheme="minorEastAsia" w:hAnsiTheme="minorHAnsi"/>
                <w:b w:val="0"/>
                <w:noProof/>
                <w:kern w:val="2"/>
                <w:sz w:val="24"/>
                <w:szCs w:val="24"/>
                <w:lang w:val="en-AU" w:eastAsia="en-GB"/>
                <w14:ligatures w14:val="standardContextual"/>
              </w:rPr>
            </w:pPr>
            <w:hyperlink w:anchor="_Toc241658032" w:history="1">
              <w:r w:rsidRPr="009D44D8">
                <w:rPr>
                  <w:rStyle w:val="Hyperlink"/>
                  <w:noProof/>
                </w:rPr>
                <w:t>Wider context</w:t>
              </w:r>
              <w:r>
                <w:rPr>
                  <w:noProof/>
                  <w:webHidden/>
                </w:rPr>
                <w:tab/>
              </w:r>
              <w:r>
                <w:rPr>
                  <w:noProof/>
                  <w:webHidden/>
                </w:rPr>
                <w:fldChar w:fldCharType="begin"/>
              </w:r>
              <w:r>
                <w:rPr>
                  <w:noProof/>
                  <w:webHidden/>
                </w:rPr>
                <w:instrText xml:space="preserve"> PAGEREF _Toc241658032 \h </w:instrText>
              </w:r>
              <w:r>
                <w:rPr>
                  <w:noProof/>
                  <w:webHidden/>
                </w:rPr>
              </w:r>
              <w:r>
                <w:rPr>
                  <w:noProof/>
                  <w:webHidden/>
                </w:rPr>
                <w:fldChar w:fldCharType="separate"/>
              </w:r>
              <w:r>
                <w:rPr>
                  <w:noProof/>
                  <w:webHidden/>
                </w:rPr>
                <w:t>20</w:t>
              </w:r>
              <w:r>
                <w:rPr>
                  <w:noProof/>
                  <w:webHidden/>
                </w:rPr>
                <w:fldChar w:fldCharType="end"/>
              </w:r>
            </w:hyperlink>
          </w:p>
          <w:p w14:paraId="49F49F97" w14:textId="072B78FF" w:rsidR="00C820D7" w:rsidRDefault="00C820D7">
            <w:pPr>
              <w:pStyle w:val="TOC1"/>
              <w:rPr>
                <w:rFonts w:asciiTheme="minorHAnsi" w:eastAsiaTheme="minorEastAsia" w:hAnsiTheme="minorHAnsi"/>
                <w:b w:val="0"/>
                <w:noProof/>
                <w:kern w:val="2"/>
                <w:sz w:val="24"/>
                <w:szCs w:val="24"/>
                <w:lang w:val="en-AU" w:eastAsia="en-GB"/>
                <w14:ligatures w14:val="standardContextual"/>
              </w:rPr>
            </w:pPr>
            <w:hyperlink w:anchor="_Toc241658033" w:history="1">
              <w:r w:rsidRPr="009D44D8">
                <w:rPr>
                  <w:rStyle w:val="Hyperlink"/>
                  <w:noProof/>
                </w:rPr>
                <w:t>Principles informing the review</w:t>
              </w:r>
              <w:r>
                <w:rPr>
                  <w:noProof/>
                  <w:webHidden/>
                </w:rPr>
                <w:tab/>
              </w:r>
              <w:r>
                <w:rPr>
                  <w:noProof/>
                  <w:webHidden/>
                </w:rPr>
                <w:fldChar w:fldCharType="begin"/>
              </w:r>
              <w:r>
                <w:rPr>
                  <w:noProof/>
                  <w:webHidden/>
                </w:rPr>
                <w:instrText xml:space="preserve"> PAGEREF _Toc241658033 \h </w:instrText>
              </w:r>
              <w:r>
                <w:rPr>
                  <w:noProof/>
                  <w:webHidden/>
                </w:rPr>
              </w:r>
              <w:r>
                <w:rPr>
                  <w:noProof/>
                  <w:webHidden/>
                </w:rPr>
                <w:fldChar w:fldCharType="separate"/>
              </w:r>
              <w:r>
                <w:rPr>
                  <w:noProof/>
                  <w:webHidden/>
                </w:rPr>
                <w:t>25</w:t>
              </w:r>
              <w:r>
                <w:rPr>
                  <w:noProof/>
                  <w:webHidden/>
                </w:rPr>
                <w:fldChar w:fldCharType="end"/>
              </w:r>
            </w:hyperlink>
          </w:p>
          <w:p w14:paraId="489B377A" w14:textId="4C2DA265"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34" w:history="1">
              <w:r w:rsidRPr="009D44D8">
                <w:rPr>
                  <w:rStyle w:val="Hyperlink"/>
                  <w:noProof/>
                </w:rPr>
                <w:t>Aligning with contemporary evidence in effective teaching</w:t>
              </w:r>
              <w:r>
                <w:rPr>
                  <w:noProof/>
                  <w:webHidden/>
                </w:rPr>
                <w:tab/>
              </w:r>
              <w:r>
                <w:rPr>
                  <w:noProof/>
                  <w:webHidden/>
                </w:rPr>
                <w:fldChar w:fldCharType="begin"/>
              </w:r>
              <w:r>
                <w:rPr>
                  <w:noProof/>
                  <w:webHidden/>
                </w:rPr>
                <w:instrText xml:space="preserve"> PAGEREF _Toc241658034 \h </w:instrText>
              </w:r>
              <w:r>
                <w:rPr>
                  <w:noProof/>
                  <w:webHidden/>
                </w:rPr>
              </w:r>
              <w:r>
                <w:rPr>
                  <w:noProof/>
                  <w:webHidden/>
                </w:rPr>
                <w:fldChar w:fldCharType="separate"/>
              </w:r>
              <w:r>
                <w:rPr>
                  <w:noProof/>
                  <w:webHidden/>
                </w:rPr>
                <w:t>25</w:t>
              </w:r>
              <w:r>
                <w:rPr>
                  <w:noProof/>
                  <w:webHidden/>
                </w:rPr>
                <w:fldChar w:fldCharType="end"/>
              </w:r>
            </w:hyperlink>
          </w:p>
          <w:p w14:paraId="05AC1213" w14:textId="7CEAD100"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35" w:history="1">
              <w:r w:rsidRPr="009D44D8">
                <w:rPr>
                  <w:rStyle w:val="Hyperlink"/>
                  <w:noProof/>
                </w:rPr>
                <w:t>Responding to the Aotearoa New Zealand context with a genuine commitment to te ao Māori</w:t>
              </w:r>
              <w:r>
                <w:rPr>
                  <w:noProof/>
                  <w:webHidden/>
                </w:rPr>
                <w:tab/>
              </w:r>
              <w:r>
                <w:rPr>
                  <w:noProof/>
                  <w:webHidden/>
                </w:rPr>
                <w:fldChar w:fldCharType="begin"/>
              </w:r>
              <w:r>
                <w:rPr>
                  <w:noProof/>
                  <w:webHidden/>
                </w:rPr>
                <w:instrText xml:space="preserve"> PAGEREF _Toc241658035 \h </w:instrText>
              </w:r>
              <w:r>
                <w:rPr>
                  <w:noProof/>
                  <w:webHidden/>
                </w:rPr>
              </w:r>
              <w:r>
                <w:rPr>
                  <w:noProof/>
                  <w:webHidden/>
                </w:rPr>
                <w:fldChar w:fldCharType="separate"/>
              </w:r>
              <w:r>
                <w:rPr>
                  <w:noProof/>
                  <w:webHidden/>
                </w:rPr>
                <w:t>26</w:t>
              </w:r>
              <w:r>
                <w:rPr>
                  <w:noProof/>
                  <w:webHidden/>
                </w:rPr>
                <w:fldChar w:fldCharType="end"/>
              </w:r>
            </w:hyperlink>
          </w:p>
          <w:p w14:paraId="353E12B5" w14:textId="3E785E9E"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36" w:history="1">
              <w:r w:rsidRPr="009D44D8">
                <w:rPr>
                  <w:rStyle w:val="Hyperlink"/>
                  <w:noProof/>
                </w:rPr>
                <w:t>Ensuring ITE recognises the diversity of learners</w:t>
              </w:r>
              <w:r>
                <w:rPr>
                  <w:noProof/>
                  <w:webHidden/>
                </w:rPr>
                <w:tab/>
              </w:r>
              <w:r>
                <w:rPr>
                  <w:noProof/>
                  <w:webHidden/>
                </w:rPr>
                <w:fldChar w:fldCharType="begin"/>
              </w:r>
              <w:r>
                <w:rPr>
                  <w:noProof/>
                  <w:webHidden/>
                </w:rPr>
                <w:instrText xml:space="preserve"> PAGEREF _Toc241658036 \h </w:instrText>
              </w:r>
              <w:r>
                <w:rPr>
                  <w:noProof/>
                  <w:webHidden/>
                </w:rPr>
              </w:r>
              <w:r>
                <w:rPr>
                  <w:noProof/>
                  <w:webHidden/>
                </w:rPr>
                <w:fldChar w:fldCharType="separate"/>
              </w:r>
              <w:r>
                <w:rPr>
                  <w:noProof/>
                  <w:webHidden/>
                </w:rPr>
                <w:t>27</w:t>
              </w:r>
              <w:r>
                <w:rPr>
                  <w:noProof/>
                  <w:webHidden/>
                </w:rPr>
                <w:fldChar w:fldCharType="end"/>
              </w:r>
            </w:hyperlink>
          </w:p>
          <w:p w14:paraId="29607F40" w14:textId="6F94AB99"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37" w:history="1">
              <w:r w:rsidRPr="009D44D8">
                <w:rPr>
                  <w:rStyle w:val="Hyperlink"/>
                  <w:noProof/>
                </w:rPr>
                <w:t>Balancing programme consistency with contextualisation</w:t>
              </w:r>
              <w:r>
                <w:rPr>
                  <w:noProof/>
                  <w:webHidden/>
                </w:rPr>
                <w:tab/>
              </w:r>
              <w:r>
                <w:rPr>
                  <w:noProof/>
                  <w:webHidden/>
                </w:rPr>
                <w:fldChar w:fldCharType="begin"/>
              </w:r>
              <w:r>
                <w:rPr>
                  <w:noProof/>
                  <w:webHidden/>
                </w:rPr>
                <w:instrText xml:space="preserve"> PAGEREF _Toc241658037 \h </w:instrText>
              </w:r>
              <w:r>
                <w:rPr>
                  <w:noProof/>
                  <w:webHidden/>
                </w:rPr>
              </w:r>
              <w:r>
                <w:rPr>
                  <w:noProof/>
                  <w:webHidden/>
                </w:rPr>
                <w:fldChar w:fldCharType="separate"/>
              </w:r>
              <w:r>
                <w:rPr>
                  <w:noProof/>
                  <w:webHidden/>
                </w:rPr>
                <w:t>28</w:t>
              </w:r>
              <w:r>
                <w:rPr>
                  <w:noProof/>
                  <w:webHidden/>
                </w:rPr>
                <w:fldChar w:fldCharType="end"/>
              </w:r>
            </w:hyperlink>
          </w:p>
          <w:p w14:paraId="75FE7763" w14:textId="3B5D1ADC"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38" w:history="1">
              <w:r w:rsidRPr="009D44D8">
                <w:rPr>
                  <w:rStyle w:val="Hyperlink"/>
                  <w:noProof/>
                </w:rPr>
                <w:t>Applying good regulatory practice</w:t>
              </w:r>
              <w:r>
                <w:rPr>
                  <w:noProof/>
                  <w:webHidden/>
                </w:rPr>
                <w:tab/>
              </w:r>
              <w:r>
                <w:rPr>
                  <w:noProof/>
                  <w:webHidden/>
                </w:rPr>
                <w:fldChar w:fldCharType="begin"/>
              </w:r>
              <w:r>
                <w:rPr>
                  <w:noProof/>
                  <w:webHidden/>
                </w:rPr>
                <w:instrText xml:space="preserve"> PAGEREF _Toc241658038 \h </w:instrText>
              </w:r>
              <w:r>
                <w:rPr>
                  <w:noProof/>
                  <w:webHidden/>
                </w:rPr>
              </w:r>
              <w:r>
                <w:rPr>
                  <w:noProof/>
                  <w:webHidden/>
                </w:rPr>
                <w:fldChar w:fldCharType="separate"/>
              </w:r>
              <w:r>
                <w:rPr>
                  <w:noProof/>
                  <w:webHidden/>
                </w:rPr>
                <w:t>29</w:t>
              </w:r>
              <w:r>
                <w:rPr>
                  <w:noProof/>
                  <w:webHidden/>
                </w:rPr>
                <w:fldChar w:fldCharType="end"/>
              </w:r>
            </w:hyperlink>
          </w:p>
          <w:p w14:paraId="3E37198F" w14:textId="0811AB24" w:rsidR="00C820D7" w:rsidRDefault="00C820D7">
            <w:pPr>
              <w:pStyle w:val="TOC1"/>
              <w:rPr>
                <w:rFonts w:asciiTheme="minorHAnsi" w:eastAsiaTheme="minorEastAsia" w:hAnsiTheme="minorHAnsi"/>
                <w:b w:val="0"/>
                <w:noProof/>
                <w:kern w:val="2"/>
                <w:sz w:val="24"/>
                <w:szCs w:val="24"/>
                <w:lang w:val="en-AU" w:eastAsia="en-GB"/>
                <w14:ligatures w14:val="standardContextual"/>
              </w:rPr>
            </w:pPr>
            <w:hyperlink w:anchor="_Toc241658039" w:history="1">
              <w:r w:rsidRPr="009D44D8">
                <w:rPr>
                  <w:rStyle w:val="Hyperlink"/>
                  <w:noProof/>
                </w:rPr>
                <w:t>Opportunities to improve the ITE Programme Requirements</w:t>
              </w:r>
              <w:r>
                <w:rPr>
                  <w:noProof/>
                  <w:webHidden/>
                </w:rPr>
                <w:tab/>
              </w:r>
              <w:r>
                <w:rPr>
                  <w:noProof/>
                  <w:webHidden/>
                </w:rPr>
                <w:fldChar w:fldCharType="begin"/>
              </w:r>
              <w:r>
                <w:rPr>
                  <w:noProof/>
                  <w:webHidden/>
                </w:rPr>
                <w:instrText xml:space="preserve"> PAGEREF _Toc241658039 \h </w:instrText>
              </w:r>
              <w:r>
                <w:rPr>
                  <w:noProof/>
                  <w:webHidden/>
                </w:rPr>
              </w:r>
              <w:r>
                <w:rPr>
                  <w:noProof/>
                  <w:webHidden/>
                </w:rPr>
                <w:fldChar w:fldCharType="separate"/>
              </w:r>
              <w:r>
                <w:rPr>
                  <w:noProof/>
                  <w:webHidden/>
                </w:rPr>
                <w:t>31</w:t>
              </w:r>
              <w:r>
                <w:rPr>
                  <w:noProof/>
                  <w:webHidden/>
                </w:rPr>
                <w:fldChar w:fldCharType="end"/>
              </w:r>
            </w:hyperlink>
          </w:p>
          <w:p w14:paraId="62DC61E2" w14:textId="18B8F95C" w:rsidR="00C820D7" w:rsidRDefault="00C820D7">
            <w:pPr>
              <w:pStyle w:val="TOC2"/>
              <w:rPr>
                <w:rFonts w:asciiTheme="minorHAnsi" w:eastAsiaTheme="minorEastAsia" w:hAnsiTheme="minorHAnsi"/>
                <w:noProof/>
                <w:kern w:val="2"/>
                <w:sz w:val="24"/>
                <w:szCs w:val="24"/>
                <w:lang w:val="en-AU" w:eastAsia="en-GB"/>
                <w14:ligatures w14:val="standardContextual"/>
              </w:rPr>
            </w:pPr>
            <w:hyperlink w:anchor="_Toc241658040" w:history="1">
              <w:r w:rsidRPr="009D44D8">
                <w:rPr>
                  <w:rStyle w:val="Hyperlink"/>
                  <w:noProof/>
                </w:rPr>
                <w:t>Improving programme design</w:t>
              </w:r>
              <w:r>
                <w:rPr>
                  <w:noProof/>
                  <w:webHidden/>
                </w:rPr>
                <w:tab/>
              </w:r>
              <w:r>
                <w:rPr>
                  <w:noProof/>
                  <w:webHidden/>
                </w:rPr>
                <w:fldChar w:fldCharType="begin"/>
              </w:r>
              <w:r>
                <w:rPr>
                  <w:noProof/>
                  <w:webHidden/>
                </w:rPr>
                <w:instrText xml:space="preserve"> PAGEREF _Toc241658040 \h </w:instrText>
              </w:r>
              <w:r>
                <w:rPr>
                  <w:noProof/>
                  <w:webHidden/>
                </w:rPr>
              </w:r>
              <w:r>
                <w:rPr>
                  <w:noProof/>
                  <w:webHidden/>
                </w:rPr>
                <w:fldChar w:fldCharType="separate"/>
              </w:r>
              <w:r>
                <w:rPr>
                  <w:noProof/>
                  <w:webHidden/>
                </w:rPr>
                <w:t>32</w:t>
              </w:r>
              <w:r>
                <w:rPr>
                  <w:noProof/>
                  <w:webHidden/>
                </w:rPr>
                <w:fldChar w:fldCharType="end"/>
              </w:r>
            </w:hyperlink>
          </w:p>
          <w:p w14:paraId="3BA3FA43" w14:textId="25FB6B8D"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41" w:history="1">
              <w:r w:rsidRPr="009D44D8">
                <w:rPr>
                  <w:rStyle w:val="Hyperlink"/>
                  <w:noProof/>
                </w:rPr>
                <w:t>Opportunity 1: Clarify what constitutes evidence, and how it should inform programme design.</w:t>
              </w:r>
              <w:r>
                <w:rPr>
                  <w:noProof/>
                  <w:webHidden/>
                </w:rPr>
                <w:tab/>
              </w:r>
              <w:r>
                <w:rPr>
                  <w:noProof/>
                  <w:webHidden/>
                </w:rPr>
                <w:fldChar w:fldCharType="begin"/>
              </w:r>
              <w:r>
                <w:rPr>
                  <w:noProof/>
                  <w:webHidden/>
                </w:rPr>
                <w:instrText xml:space="preserve"> PAGEREF _Toc241658041 \h </w:instrText>
              </w:r>
              <w:r>
                <w:rPr>
                  <w:noProof/>
                  <w:webHidden/>
                </w:rPr>
              </w:r>
              <w:r>
                <w:rPr>
                  <w:noProof/>
                  <w:webHidden/>
                </w:rPr>
                <w:fldChar w:fldCharType="separate"/>
              </w:r>
              <w:r>
                <w:rPr>
                  <w:noProof/>
                  <w:webHidden/>
                </w:rPr>
                <w:t>32</w:t>
              </w:r>
              <w:r>
                <w:rPr>
                  <w:noProof/>
                  <w:webHidden/>
                </w:rPr>
                <w:fldChar w:fldCharType="end"/>
              </w:r>
            </w:hyperlink>
          </w:p>
          <w:p w14:paraId="1CC4AA0B" w14:textId="44690801"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42" w:history="1">
              <w:r w:rsidRPr="009D44D8">
                <w:rPr>
                  <w:rStyle w:val="Hyperlink"/>
                  <w:noProof/>
                </w:rPr>
                <w:t>Opportunity 2: Reframe staff capability away from research production.</w:t>
              </w:r>
              <w:r>
                <w:rPr>
                  <w:noProof/>
                  <w:webHidden/>
                </w:rPr>
                <w:tab/>
              </w:r>
              <w:r>
                <w:rPr>
                  <w:noProof/>
                  <w:webHidden/>
                </w:rPr>
                <w:fldChar w:fldCharType="begin"/>
              </w:r>
              <w:r>
                <w:rPr>
                  <w:noProof/>
                  <w:webHidden/>
                </w:rPr>
                <w:instrText xml:space="preserve"> PAGEREF _Toc241658042 \h </w:instrText>
              </w:r>
              <w:r>
                <w:rPr>
                  <w:noProof/>
                  <w:webHidden/>
                </w:rPr>
              </w:r>
              <w:r>
                <w:rPr>
                  <w:noProof/>
                  <w:webHidden/>
                </w:rPr>
                <w:fldChar w:fldCharType="separate"/>
              </w:r>
              <w:r>
                <w:rPr>
                  <w:noProof/>
                  <w:webHidden/>
                </w:rPr>
                <w:t>34</w:t>
              </w:r>
              <w:r>
                <w:rPr>
                  <w:noProof/>
                  <w:webHidden/>
                </w:rPr>
                <w:fldChar w:fldCharType="end"/>
              </w:r>
            </w:hyperlink>
          </w:p>
          <w:p w14:paraId="3FBC2955" w14:textId="18210E10"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43" w:history="1">
              <w:r w:rsidRPr="009D44D8">
                <w:rPr>
                  <w:rStyle w:val="Hyperlink"/>
                  <w:noProof/>
                </w:rPr>
                <w:t>Opportunity 3: Require programmes to articulate a coherent and complete model of progression.</w:t>
              </w:r>
              <w:r>
                <w:rPr>
                  <w:noProof/>
                  <w:webHidden/>
                </w:rPr>
                <w:tab/>
              </w:r>
              <w:r>
                <w:rPr>
                  <w:noProof/>
                  <w:webHidden/>
                </w:rPr>
                <w:fldChar w:fldCharType="begin"/>
              </w:r>
              <w:r>
                <w:rPr>
                  <w:noProof/>
                  <w:webHidden/>
                </w:rPr>
                <w:instrText xml:space="preserve"> PAGEREF _Toc241658043 \h </w:instrText>
              </w:r>
              <w:r>
                <w:rPr>
                  <w:noProof/>
                  <w:webHidden/>
                </w:rPr>
              </w:r>
              <w:r>
                <w:rPr>
                  <w:noProof/>
                  <w:webHidden/>
                </w:rPr>
                <w:fldChar w:fldCharType="separate"/>
              </w:r>
              <w:r>
                <w:rPr>
                  <w:noProof/>
                  <w:webHidden/>
                </w:rPr>
                <w:t>36</w:t>
              </w:r>
              <w:r>
                <w:rPr>
                  <w:noProof/>
                  <w:webHidden/>
                </w:rPr>
                <w:fldChar w:fldCharType="end"/>
              </w:r>
            </w:hyperlink>
          </w:p>
          <w:p w14:paraId="308A8AB4" w14:textId="7A48E7E5" w:rsidR="00C820D7" w:rsidRDefault="00C820D7">
            <w:pPr>
              <w:pStyle w:val="TOC2"/>
              <w:rPr>
                <w:rFonts w:asciiTheme="minorHAnsi" w:eastAsiaTheme="minorEastAsia" w:hAnsiTheme="minorHAnsi"/>
                <w:noProof/>
                <w:kern w:val="2"/>
                <w:sz w:val="24"/>
                <w:szCs w:val="24"/>
                <w:lang w:val="en-AU" w:eastAsia="en-GB"/>
                <w14:ligatures w14:val="standardContextual"/>
              </w:rPr>
            </w:pPr>
            <w:hyperlink w:anchor="_Toc241658044" w:history="1">
              <w:r w:rsidRPr="009D44D8">
                <w:rPr>
                  <w:rStyle w:val="Hyperlink"/>
                  <w:noProof/>
                </w:rPr>
                <w:t>Improving programme content</w:t>
              </w:r>
              <w:r>
                <w:rPr>
                  <w:noProof/>
                  <w:webHidden/>
                </w:rPr>
                <w:tab/>
              </w:r>
              <w:r>
                <w:rPr>
                  <w:noProof/>
                  <w:webHidden/>
                </w:rPr>
                <w:fldChar w:fldCharType="begin"/>
              </w:r>
              <w:r>
                <w:rPr>
                  <w:noProof/>
                  <w:webHidden/>
                </w:rPr>
                <w:instrText xml:space="preserve"> PAGEREF _Toc241658044 \h </w:instrText>
              </w:r>
              <w:r>
                <w:rPr>
                  <w:noProof/>
                  <w:webHidden/>
                </w:rPr>
              </w:r>
              <w:r>
                <w:rPr>
                  <w:noProof/>
                  <w:webHidden/>
                </w:rPr>
                <w:fldChar w:fldCharType="separate"/>
              </w:r>
              <w:r>
                <w:rPr>
                  <w:noProof/>
                  <w:webHidden/>
                </w:rPr>
                <w:t>39</w:t>
              </w:r>
              <w:r>
                <w:rPr>
                  <w:noProof/>
                  <w:webHidden/>
                </w:rPr>
                <w:fldChar w:fldCharType="end"/>
              </w:r>
            </w:hyperlink>
          </w:p>
          <w:p w14:paraId="4DF7F9A6" w14:textId="2E2696F1"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45" w:history="1">
              <w:r w:rsidRPr="009D44D8">
                <w:rPr>
                  <w:rStyle w:val="Hyperlink"/>
                  <w:noProof/>
                </w:rPr>
                <w:t>Opportunity 4: Retain current student entry requirements but improve consistency in how they are assessed.</w:t>
              </w:r>
              <w:r>
                <w:rPr>
                  <w:noProof/>
                  <w:webHidden/>
                </w:rPr>
                <w:tab/>
              </w:r>
              <w:r>
                <w:rPr>
                  <w:noProof/>
                  <w:webHidden/>
                </w:rPr>
                <w:fldChar w:fldCharType="begin"/>
              </w:r>
              <w:r>
                <w:rPr>
                  <w:noProof/>
                  <w:webHidden/>
                </w:rPr>
                <w:instrText xml:space="preserve"> PAGEREF _Toc241658045 \h </w:instrText>
              </w:r>
              <w:r>
                <w:rPr>
                  <w:noProof/>
                  <w:webHidden/>
                </w:rPr>
              </w:r>
              <w:r>
                <w:rPr>
                  <w:noProof/>
                  <w:webHidden/>
                </w:rPr>
                <w:fldChar w:fldCharType="separate"/>
              </w:r>
              <w:r>
                <w:rPr>
                  <w:noProof/>
                  <w:webHidden/>
                </w:rPr>
                <w:t>39</w:t>
              </w:r>
              <w:r>
                <w:rPr>
                  <w:noProof/>
                  <w:webHidden/>
                </w:rPr>
                <w:fldChar w:fldCharType="end"/>
              </w:r>
            </w:hyperlink>
          </w:p>
          <w:p w14:paraId="3D31427A" w14:textId="62CD382E"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46" w:history="1">
              <w:r w:rsidRPr="009D44D8">
                <w:rPr>
                  <w:rStyle w:val="Hyperlink"/>
                  <w:noProof/>
                </w:rPr>
                <w:t>Opportunity 5: Introduce greater specificity regarding required content aligned with the 2026 Standards for the Teaching Profession.</w:t>
              </w:r>
              <w:r>
                <w:rPr>
                  <w:noProof/>
                  <w:webHidden/>
                </w:rPr>
                <w:tab/>
              </w:r>
              <w:r>
                <w:rPr>
                  <w:noProof/>
                  <w:webHidden/>
                </w:rPr>
                <w:fldChar w:fldCharType="begin"/>
              </w:r>
              <w:r>
                <w:rPr>
                  <w:noProof/>
                  <w:webHidden/>
                </w:rPr>
                <w:instrText xml:space="preserve"> PAGEREF _Toc241658046 \h </w:instrText>
              </w:r>
              <w:r>
                <w:rPr>
                  <w:noProof/>
                  <w:webHidden/>
                </w:rPr>
              </w:r>
              <w:r>
                <w:rPr>
                  <w:noProof/>
                  <w:webHidden/>
                </w:rPr>
                <w:fldChar w:fldCharType="separate"/>
              </w:r>
              <w:r>
                <w:rPr>
                  <w:noProof/>
                  <w:webHidden/>
                </w:rPr>
                <w:t>41</w:t>
              </w:r>
              <w:r>
                <w:rPr>
                  <w:noProof/>
                  <w:webHidden/>
                </w:rPr>
                <w:fldChar w:fldCharType="end"/>
              </w:r>
            </w:hyperlink>
          </w:p>
          <w:p w14:paraId="25D00EC0" w14:textId="40846828"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47" w:history="1">
              <w:r w:rsidRPr="009D44D8">
                <w:rPr>
                  <w:rStyle w:val="Hyperlink"/>
                  <w:noProof/>
                </w:rPr>
                <w:t>Opportunity 6: Embed clearer expectations for high-quality professional experience.</w:t>
              </w:r>
              <w:r>
                <w:rPr>
                  <w:noProof/>
                  <w:webHidden/>
                </w:rPr>
                <w:tab/>
              </w:r>
              <w:r>
                <w:rPr>
                  <w:noProof/>
                  <w:webHidden/>
                </w:rPr>
                <w:fldChar w:fldCharType="begin"/>
              </w:r>
              <w:r>
                <w:rPr>
                  <w:noProof/>
                  <w:webHidden/>
                </w:rPr>
                <w:instrText xml:space="preserve"> PAGEREF _Toc241658047 \h </w:instrText>
              </w:r>
              <w:r>
                <w:rPr>
                  <w:noProof/>
                  <w:webHidden/>
                </w:rPr>
              </w:r>
              <w:r>
                <w:rPr>
                  <w:noProof/>
                  <w:webHidden/>
                </w:rPr>
                <w:fldChar w:fldCharType="separate"/>
              </w:r>
              <w:r>
                <w:rPr>
                  <w:noProof/>
                  <w:webHidden/>
                </w:rPr>
                <w:t>49</w:t>
              </w:r>
              <w:r>
                <w:rPr>
                  <w:noProof/>
                  <w:webHidden/>
                </w:rPr>
                <w:fldChar w:fldCharType="end"/>
              </w:r>
            </w:hyperlink>
          </w:p>
          <w:p w14:paraId="39D299B7" w14:textId="3EA16419"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48" w:history="1">
              <w:r w:rsidRPr="009D44D8">
                <w:rPr>
                  <w:rStyle w:val="Hyperlink"/>
                  <w:rFonts w:ascii="Aptos" w:hAnsi="Aptos"/>
                  <w:noProof/>
                </w:rPr>
                <w:t xml:space="preserve">Opportunity 7: </w:t>
              </w:r>
              <w:r w:rsidRPr="009D44D8">
                <w:rPr>
                  <w:rStyle w:val="Hyperlink"/>
                  <w:noProof/>
                </w:rPr>
                <w:t>Consider a national, standardised and externally moderated assessment framework.</w:t>
              </w:r>
              <w:r>
                <w:rPr>
                  <w:noProof/>
                  <w:webHidden/>
                </w:rPr>
                <w:tab/>
              </w:r>
              <w:r>
                <w:rPr>
                  <w:noProof/>
                  <w:webHidden/>
                </w:rPr>
                <w:fldChar w:fldCharType="begin"/>
              </w:r>
              <w:r>
                <w:rPr>
                  <w:noProof/>
                  <w:webHidden/>
                </w:rPr>
                <w:instrText xml:space="preserve"> PAGEREF _Toc241658048 \h </w:instrText>
              </w:r>
              <w:r>
                <w:rPr>
                  <w:noProof/>
                  <w:webHidden/>
                </w:rPr>
              </w:r>
              <w:r>
                <w:rPr>
                  <w:noProof/>
                  <w:webHidden/>
                </w:rPr>
                <w:fldChar w:fldCharType="separate"/>
              </w:r>
              <w:r>
                <w:rPr>
                  <w:noProof/>
                  <w:webHidden/>
                </w:rPr>
                <w:t>54</w:t>
              </w:r>
              <w:r>
                <w:rPr>
                  <w:noProof/>
                  <w:webHidden/>
                </w:rPr>
                <w:fldChar w:fldCharType="end"/>
              </w:r>
            </w:hyperlink>
          </w:p>
          <w:p w14:paraId="5F5FE3A3" w14:textId="54140545"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49" w:history="1">
              <w:r w:rsidRPr="009D44D8">
                <w:rPr>
                  <w:rStyle w:val="Hyperlink"/>
                  <w:noProof/>
                </w:rPr>
                <w:t>Opportunity 8: Establish clearer links between ITE preparation and supports for early career teachers.</w:t>
              </w:r>
              <w:r>
                <w:rPr>
                  <w:noProof/>
                  <w:webHidden/>
                </w:rPr>
                <w:tab/>
              </w:r>
              <w:r>
                <w:rPr>
                  <w:noProof/>
                  <w:webHidden/>
                </w:rPr>
                <w:fldChar w:fldCharType="begin"/>
              </w:r>
              <w:r>
                <w:rPr>
                  <w:noProof/>
                  <w:webHidden/>
                </w:rPr>
                <w:instrText xml:space="preserve"> PAGEREF _Toc241658049 \h </w:instrText>
              </w:r>
              <w:r>
                <w:rPr>
                  <w:noProof/>
                  <w:webHidden/>
                </w:rPr>
              </w:r>
              <w:r>
                <w:rPr>
                  <w:noProof/>
                  <w:webHidden/>
                </w:rPr>
                <w:fldChar w:fldCharType="separate"/>
              </w:r>
              <w:r>
                <w:rPr>
                  <w:noProof/>
                  <w:webHidden/>
                </w:rPr>
                <w:t>59</w:t>
              </w:r>
              <w:r>
                <w:rPr>
                  <w:noProof/>
                  <w:webHidden/>
                </w:rPr>
                <w:fldChar w:fldCharType="end"/>
              </w:r>
            </w:hyperlink>
          </w:p>
          <w:p w14:paraId="7CACBC1A" w14:textId="6CDC93A7" w:rsidR="00C820D7" w:rsidRDefault="00C820D7">
            <w:pPr>
              <w:pStyle w:val="TOC2"/>
              <w:rPr>
                <w:rFonts w:asciiTheme="minorHAnsi" w:eastAsiaTheme="minorEastAsia" w:hAnsiTheme="minorHAnsi"/>
                <w:noProof/>
                <w:kern w:val="2"/>
                <w:sz w:val="24"/>
                <w:szCs w:val="24"/>
                <w:lang w:val="en-AU" w:eastAsia="en-GB"/>
                <w14:ligatures w14:val="standardContextual"/>
              </w:rPr>
            </w:pPr>
            <w:hyperlink w:anchor="_Toc241658050" w:history="1">
              <w:r w:rsidRPr="009D44D8">
                <w:rPr>
                  <w:rStyle w:val="Hyperlink"/>
                  <w:noProof/>
                </w:rPr>
                <w:t>Improving programme quality assurance</w:t>
              </w:r>
              <w:r>
                <w:rPr>
                  <w:noProof/>
                  <w:webHidden/>
                </w:rPr>
                <w:tab/>
              </w:r>
              <w:r>
                <w:rPr>
                  <w:noProof/>
                  <w:webHidden/>
                </w:rPr>
                <w:fldChar w:fldCharType="begin"/>
              </w:r>
              <w:r>
                <w:rPr>
                  <w:noProof/>
                  <w:webHidden/>
                </w:rPr>
                <w:instrText xml:space="preserve"> PAGEREF _Toc241658050 \h </w:instrText>
              </w:r>
              <w:r>
                <w:rPr>
                  <w:noProof/>
                  <w:webHidden/>
                </w:rPr>
              </w:r>
              <w:r>
                <w:rPr>
                  <w:noProof/>
                  <w:webHidden/>
                </w:rPr>
                <w:fldChar w:fldCharType="separate"/>
              </w:r>
              <w:r>
                <w:rPr>
                  <w:noProof/>
                  <w:webHidden/>
                </w:rPr>
                <w:t>62</w:t>
              </w:r>
              <w:r>
                <w:rPr>
                  <w:noProof/>
                  <w:webHidden/>
                </w:rPr>
                <w:fldChar w:fldCharType="end"/>
              </w:r>
            </w:hyperlink>
          </w:p>
          <w:p w14:paraId="09B93420" w14:textId="1B8D5647" w:rsidR="00C820D7" w:rsidRDefault="00C820D7">
            <w:pPr>
              <w:pStyle w:val="TOC3"/>
              <w:rPr>
                <w:rFonts w:asciiTheme="minorHAnsi" w:eastAsiaTheme="minorEastAsia" w:hAnsiTheme="minorHAnsi"/>
                <w:noProof/>
                <w:kern w:val="2"/>
                <w:sz w:val="24"/>
                <w:szCs w:val="24"/>
                <w:lang w:val="en-AU" w:eastAsia="en-GB"/>
                <w14:ligatures w14:val="standardContextual"/>
              </w:rPr>
            </w:pPr>
            <w:hyperlink w:anchor="_Toc241658051" w:history="1">
              <w:r w:rsidRPr="009D44D8">
                <w:rPr>
                  <w:rStyle w:val="Hyperlink"/>
                  <w:noProof/>
                </w:rPr>
                <w:t>Opportunity 9: Strengthen the rigour and consistency of programme approvals, monitoring and moderation.</w:t>
              </w:r>
              <w:r>
                <w:rPr>
                  <w:noProof/>
                  <w:webHidden/>
                </w:rPr>
                <w:tab/>
              </w:r>
              <w:r>
                <w:rPr>
                  <w:noProof/>
                  <w:webHidden/>
                </w:rPr>
                <w:fldChar w:fldCharType="begin"/>
              </w:r>
              <w:r>
                <w:rPr>
                  <w:noProof/>
                  <w:webHidden/>
                </w:rPr>
                <w:instrText xml:space="preserve"> PAGEREF _Toc241658051 \h </w:instrText>
              </w:r>
              <w:r>
                <w:rPr>
                  <w:noProof/>
                  <w:webHidden/>
                </w:rPr>
              </w:r>
              <w:r>
                <w:rPr>
                  <w:noProof/>
                  <w:webHidden/>
                </w:rPr>
                <w:fldChar w:fldCharType="separate"/>
              </w:r>
              <w:r>
                <w:rPr>
                  <w:noProof/>
                  <w:webHidden/>
                </w:rPr>
                <w:t>62</w:t>
              </w:r>
              <w:r>
                <w:rPr>
                  <w:noProof/>
                  <w:webHidden/>
                </w:rPr>
                <w:fldChar w:fldCharType="end"/>
              </w:r>
            </w:hyperlink>
          </w:p>
          <w:p w14:paraId="21115AB6" w14:textId="1164C20A" w:rsidR="00C820D7" w:rsidRDefault="00C820D7">
            <w:pPr>
              <w:pStyle w:val="TOC1"/>
              <w:rPr>
                <w:rFonts w:asciiTheme="minorHAnsi" w:eastAsiaTheme="minorEastAsia" w:hAnsiTheme="minorHAnsi"/>
                <w:b w:val="0"/>
                <w:noProof/>
                <w:kern w:val="2"/>
                <w:sz w:val="24"/>
                <w:szCs w:val="24"/>
                <w:lang w:val="en-AU" w:eastAsia="en-GB"/>
                <w14:ligatures w14:val="standardContextual"/>
              </w:rPr>
            </w:pPr>
            <w:hyperlink w:anchor="_Toc241658052" w:history="1">
              <w:r w:rsidRPr="009D44D8">
                <w:rPr>
                  <w:rStyle w:val="Hyperlink"/>
                  <w:noProof/>
                </w:rPr>
                <w:t>Other opportunities</w:t>
              </w:r>
              <w:r>
                <w:rPr>
                  <w:noProof/>
                  <w:webHidden/>
                </w:rPr>
                <w:tab/>
              </w:r>
              <w:r>
                <w:rPr>
                  <w:noProof/>
                  <w:webHidden/>
                </w:rPr>
                <w:fldChar w:fldCharType="begin"/>
              </w:r>
              <w:r>
                <w:rPr>
                  <w:noProof/>
                  <w:webHidden/>
                </w:rPr>
                <w:instrText xml:space="preserve"> PAGEREF _Toc241658052 \h </w:instrText>
              </w:r>
              <w:r>
                <w:rPr>
                  <w:noProof/>
                  <w:webHidden/>
                </w:rPr>
              </w:r>
              <w:r>
                <w:rPr>
                  <w:noProof/>
                  <w:webHidden/>
                </w:rPr>
                <w:fldChar w:fldCharType="separate"/>
              </w:r>
              <w:r>
                <w:rPr>
                  <w:noProof/>
                  <w:webHidden/>
                </w:rPr>
                <w:t>68</w:t>
              </w:r>
              <w:r>
                <w:rPr>
                  <w:noProof/>
                  <w:webHidden/>
                </w:rPr>
                <w:fldChar w:fldCharType="end"/>
              </w:r>
            </w:hyperlink>
          </w:p>
          <w:p w14:paraId="31D1BC9A" w14:textId="54303C32" w:rsidR="00C820D7" w:rsidRDefault="00C820D7">
            <w:pPr>
              <w:pStyle w:val="TOC1"/>
              <w:rPr>
                <w:rFonts w:asciiTheme="minorHAnsi" w:eastAsiaTheme="minorEastAsia" w:hAnsiTheme="minorHAnsi"/>
                <w:b w:val="0"/>
                <w:noProof/>
                <w:kern w:val="2"/>
                <w:sz w:val="24"/>
                <w:szCs w:val="24"/>
                <w:lang w:val="en-AU" w:eastAsia="en-GB"/>
                <w14:ligatures w14:val="standardContextual"/>
              </w:rPr>
            </w:pPr>
            <w:hyperlink w:anchor="_Toc241658053" w:history="1">
              <w:r w:rsidRPr="009D44D8">
                <w:rPr>
                  <w:rStyle w:val="Hyperlink"/>
                  <w:noProof/>
                  <w:lang w:val="en-AU"/>
                </w:rPr>
                <w:t>How can I provide feedback?</w:t>
              </w:r>
              <w:r>
                <w:rPr>
                  <w:noProof/>
                  <w:webHidden/>
                </w:rPr>
                <w:tab/>
              </w:r>
              <w:r>
                <w:rPr>
                  <w:noProof/>
                  <w:webHidden/>
                </w:rPr>
                <w:fldChar w:fldCharType="begin"/>
              </w:r>
              <w:r>
                <w:rPr>
                  <w:noProof/>
                  <w:webHidden/>
                </w:rPr>
                <w:instrText xml:space="preserve"> PAGEREF _Toc241658053 \h </w:instrText>
              </w:r>
              <w:r>
                <w:rPr>
                  <w:noProof/>
                  <w:webHidden/>
                </w:rPr>
              </w:r>
              <w:r>
                <w:rPr>
                  <w:noProof/>
                  <w:webHidden/>
                </w:rPr>
                <w:fldChar w:fldCharType="separate"/>
              </w:r>
              <w:r>
                <w:rPr>
                  <w:noProof/>
                  <w:webHidden/>
                </w:rPr>
                <w:t>69</w:t>
              </w:r>
              <w:r>
                <w:rPr>
                  <w:noProof/>
                  <w:webHidden/>
                </w:rPr>
                <w:fldChar w:fldCharType="end"/>
              </w:r>
            </w:hyperlink>
          </w:p>
          <w:p w14:paraId="6818C7C6" w14:textId="563D3A88" w:rsidR="006A7563" w:rsidRDefault="006A7563">
            <w:pPr>
              <w:pStyle w:val="USWhiteSpace"/>
            </w:pPr>
            <w:r>
              <w:fldChar w:fldCharType="end"/>
            </w:r>
          </w:p>
        </w:tc>
      </w:tr>
    </w:tbl>
    <w:bookmarkEnd w:id="2"/>
    <w:p w14:paraId="48F652E9" w14:textId="77777777" w:rsidR="006A7563" w:rsidRDefault="006A7563" w:rsidP="00D47977">
      <w:pPr>
        <w:pStyle w:val="HeadingContents"/>
      </w:pPr>
      <w:r>
        <w:lastRenderedPageBreak/>
        <w:t>Appendices</w:t>
      </w:r>
    </w:p>
    <w:tbl>
      <w:tblPr>
        <w:tblStyle w:val="PlainTable3"/>
        <w:tblW w:w="9354" w:type="dxa"/>
        <w:tblLayout w:type="fixed"/>
        <w:tblCellMar>
          <w:left w:w="0" w:type="dxa"/>
          <w:right w:w="0" w:type="dxa"/>
        </w:tblCellMar>
        <w:tblLook w:val="0600" w:firstRow="0" w:lastRow="0" w:firstColumn="0" w:lastColumn="0" w:noHBand="1" w:noVBand="1"/>
      </w:tblPr>
      <w:tblGrid>
        <w:gridCol w:w="9354"/>
      </w:tblGrid>
      <w:tr w:rsidR="006A7563" w14:paraId="624036B6" w14:textId="77777777">
        <w:tc>
          <w:tcPr>
            <w:tcW w:w="9354" w:type="dxa"/>
          </w:tcPr>
          <w:p w14:paraId="4D664A05" w14:textId="107985F5" w:rsidR="00346420" w:rsidRDefault="006A7563">
            <w:pPr>
              <w:pStyle w:val="TOC1"/>
              <w:rPr>
                <w:rFonts w:asciiTheme="minorHAnsi" w:eastAsiaTheme="minorEastAsia" w:hAnsiTheme="minorHAnsi"/>
                <w:b w:val="0"/>
                <w:noProof/>
                <w:kern w:val="2"/>
                <w:sz w:val="24"/>
                <w:szCs w:val="24"/>
                <w:lang w:eastAsia="en-NZ"/>
                <w14:ligatures w14:val="standardContextual"/>
              </w:rPr>
            </w:pPr>
            <w:r>
              <w:rPr>
                <w:b w:val="0"/>
                <w:noProof/>
                <w:sz w:val="20"/>
                <w:szCs w:val="20"/>
                <w:lang w:val="en-US"/>
              </w:rPr>
              <w:fldChar w:fldCharType="begin"/>
            </w:r>
            <w:r w:rsidRPr="2E04BD14">
              <w:rPr>
                <w:noProof/>
                <w:lang w:val="en-US"/>
              </w:rPr>
              <w:instrText xml:space="preserve"> TOC \h \z \t "Apx Heading 1,1" </w:instrText>
            </w:r>
            <w:r>
              <w:rPr>
                <w:b w:val="0"/>
                <w:noProof/>
                <w:sz w:val="20"/>
                <w:szCs w:val="20"/>
                <w:lang w:val="en-US"/>
              </w:rPr>
              <w:fldChar w:fldCharType="separate"/>
            </w:r>
            <w:hyperlink w:anchor="_Toc240542062" w:history="1">
              <w:r w:rsidR="00346420" w:rsidRPr="00AF4432">
                <w:rPr>
                  <w:rStyle w:val="Hyperlink"/>
                  <w:noProof/>
                </w:rPr>
                <w:t>Appendix 1 : Regulatory considerations</w:t>
              </w:r>
              <w:r w:rsidR="00346420">
                <w:rPr>
                  <w:noProof/>
                  <w:webHidden/>
                </w:rPr>
                <w:tab/>
              </w:r>
              <w:r w:rsidR="00346420">
                <w:rPr>
                  <w:noProof/>
                  <w:webHidden/>
                </w:rPr>
                <w:fldChar w:fldCharType="begin"/>
              </w:r>
              <w:r w:rsidR="00346420">
                <w:rPr>
                  <w:noProof/>
                  <w:webHidden/>
                </w:rPr>
                <w:instrText xml:space="preserve"> PAGEREF _Toc240542062 \h </w:instrText>
              </w:r>
              <w:r w:rsidR="00346420">
                <w:rPr>
                  <w:noProof/>
                  <w:webHidden/>
                </w:rPr>
              </w:r>
              <w:r w:rsidR="00346420">
                <w:rPr>
                  <w:noProof/>
                  <w:webHidden/>
                </w:rPr>
                <w:fldChar w:fldCharType="separate"/>
              </w:r>
              <w:r w:rsidR="00346420">
                <w:rPr>
                  <w:noProof/>
                  <w:webHidden/>
                </w:rPr>
                <w:t>73</w:t>
              </w:r>
              <w:r w:rsidR="00346420">
                <w:rPr>
                  <w:noProof/>
                  <w:webHidden/>
                </w:rPr>
                <w:fldChar w:fldCharType="end"/>
              </w:r>
            </w:hyperlink>
          </w:p>
          <w:p w14:paraId="683289D1" w14:textId="35E192E8" w:rsidR="00346420" w:rsidRDefault="00346420">
            <w:pPr>
              <w:pStyle w:val="TOC1"/>
              <w:rPr>
                <w:rFonts w:asciiTheme="minorHAnsi" w:eastAsiaTheme="minorEastAsia" w:hAnsiTheme="minorHAnsi"/>
                <w:b w:val="0"/>
                <w:noProof/>
                <w:kern w:val="2"/>
                <w:sz w:val="24"/>
                <w:szCs w:val="24"/>
                <w:lang w:eastAsia="en-NZ"/>
                <w14:ligatures w14:val="standardContextual"/>
              </w:rPr>
            </w:pPr>
            <w:hyperlink w:anchor="_Toc240542063" w:history="1">
              <w:r w:rsidRPr="00AF4432">
                <w:rPr>
                  <w:rStyle w:val="Hyperlink"/>
                  <w:noProof/>
                </w:rPr>
                <w:t>Appendix 2 : Expert advisory panel members</w:t>
              </w:r>
              <w:r>
                <w:rPr>
                  <w:noProof/>
                  <w:webHidden/>
                </w:rPr>
                <w:tab/>
              </w:r>
              <w:r>
                <w:rPr>
                  <w:noProof/>
                  <w:webHidden/>
                </w:rPr>
                <w:fldChar w:fldCharType="begin"/>
              </w:r>
              <w:r>
                <w:rPr>
                  <w:noProof/>
                  <w:webHidden/>
                </w:rPr>
                <w:instrText xml:space="preserve"> PAGEREF _Toc240542063 \h </w:instrText>
              </w:r>
              <w:r>
                <w:rPr>
                  <w:noProof/>
                  <w:webHidden/>
                </w:rPr>
              </w:r>
              <w:r>
                <w:rPr>
                  <w:noProof/>
                  <w:webHidden/>
                </w:rPr>
                <w:fldChar w:fldCharType="separate"/>
              </w:r>
              <w:r>
                <w:rPr>
                  <w:noProof/>
                  <w:webHidden/>
                </w:rPr>
                <w:t>75</w:t>
              </w:r>
              <w:r>
                <w:rPr>
                  <w:noProof/>
                  <w:webHidden/>
                </w:rPr>
                <w:fldChar w:fldCharType="end"/>
              </w:r>
            </w:hyperlink>
          </w:p>
          <w:p w14:paraId="75DDF542" w14:textId="4E02E99C" w:rsidR="00346420" w:rsidRDefault="00346420">
            <w:pPr>
              <w:pStyle w:val="TOC1"/>
              <w:rPr>
                <w:rFonts w:asciiTheme="minorHAnsi" w:eastAsiaTheme="minorEastAsia" w:hAnsiTheme="minorHAnsi"/>
                <w:b w:val="0"/>
                <w:noProof/>
                <w:kern w:val="2"/>
                <w:sz w:val="24"/>
                <w:szCs w:val="24"/>
                <w:lang w:eastAsia="en-NZ"/>
                <w14:ligatures w14:val="standardContextual"/>
              </w:rPr>
            </w:pPr>
            <w:hyperlink w:anchor="_Toc240542064" w:history="1">
              <w:r w:rsidRPr="00AF4432">
                <w:rPr>
                  <w:rStyle w:val="Hyperlink"/>
                  <w:noProof/>
                </w:rPr>
                <w:t>Appendix 3 : ITE providers and approved programmes as at September 2026</w:t>
              </w:r>
              <w:r>
                <w:rPr>
                  <w:noProof/>
                  <w:webHidden/>
                </w:rPr>
                <w:tab/>
              </w:r>
              <w:r>
                <w:rPr>
                  <w:noProof/>
                  <w:webHidden/>
                </w:rPr>
                <w:fldChar w:fldCharType="begin"/>
              </w:r>
              <w:r>
                <w:rPr>
                  <w:noProof/>
                  <w:webHidden/>
                </w:rPr>
                <w:instrText xml:space="preserve"> PAGEREF _Toc240542064 \h </w:instrText>
              </w:r>
              <w:r>
                <w:rPr>
                  <w:noProof/>
                  <w:webHidden/>
                </w:rPr>
              </w:r>
              <w:r>
                <w:rPr>
                  <w:noProof/>
                  <w:webHidden/>
                </w:rPr>
                <w:fldChar w:fldCharType="separate"/>
              </w:r>
              <w:r>
                <w:rPr>
                  <w:noProof/>
                  <w:webHidden/>
                </w:rPr>
                <w:t>78</w:t>
              </w:r>
              <w:r>
                <w:rPr>
                  <w:noProof/>
                  <w:webHidden/>
                </w:rPr>
                <w:fldChar w:fldCharType="end"/>
              </w:r>
            </w:hyperlink>
          </w:p>
          <w:p w14:paraId="5F16D91D" w14:textId="17B7594C" w:rsidR="00346420" w:rsidRDefault="00346420">
            <w:pPr>
              <w:pStyle w:val="TOC1"/>
              <w:rPr>
                <w:rFonts w:asciiTheme="minorHAnsi" w:eastAsiaTheme="minorEastAsia" w:hAnsiTheme="minorHAnsi"/>
                <w:b w:val="0"/>
                <w:noProof/>
                <w:kern w:val="2"/>
                <w:sz w:val="24"/>
                <w:szCs w:val="24"/>
                <w:lang w:eastAsia="en-NZ"/>
                <w14:ligatures w14:val="standardContextual"/>
              </w:rPr>
            </w:pPr>
            <w:hyperlink w:anchor="_Toc240542065" w:history="1">
              <w:r w:rsidRPr="00AF4432">
                <w:rPr>
                  <w:rStyle w:val="Hyperlink"/>
                  <w:noProof/>
                </w:rPr>
                <w:t>Appendix 4 : Education bodies involved in ITE regulation</w:t>
              </w:r>
              <w:r>
                <w:rPr>
                  <w:noProof/>
                  <w:webHidden/>
                </w:rPr>
                <w:tab/>
              </w:r>
              <w:r>
                <w:rPr>
                  <w:noProof/>
                  <w:webHidden/>
                </w:rPr>
                <w:fldChar w:fldCharType="begin"/>
              </w:r>
              <w:r>
                <w:rPr>
                  <w:noProof/>
                  <w:webHidden/>
                </w:rPr>
                <w:instrText xml:space="preserve"> PAGEREF _Toc240542065 \h </w:instrText>
              </w:r>
              <w:r>
                <w:rPr>
                  <w:noProof/>
                  <w:webHidden/>
                </w:rPr>
              </w:r>
              <w:r>
                <w:rPr>
                  <w:noProof/>
                  <w:webHidden/>
                </w:rPr>
                <w:fldChar w:fldCharType="separate"/>
              </w:r>
              <w:r>
                <w:rPr>
                  <w:noProof/>
                  <w:webHidden/>
                </w:rPr>
                <w:t>82</w:t>
              </w:r>
              <w:r>
                <w:rPr>
                  <w:noProof/>
                  <w:webHidden/>
                </w:rPr>
                <w:fldChar w:fldCharType="end"/>
              </w:r>
            </w:hyperlink>
          </w:p>
          <w:p w14:paraId="2CD77F6D" w14:textId="0A941C5C" w:rsidR="006A7563" w:rsidRDefault="006A7563">
            <w:pPr>
              <w:pStyle w:val="USWhiteSpace"/>
            </w:pPr>
            <w:r>
              <w:rPr>
                <w:b/>
                <w:bCs/>
                <w:noProof/>
                <w:lang w:val="en-US"/>
              </w:rPr>
              <w:fldChar w:fldCharType="end"/>
            </w:r>
          </w:p>
        </w:tc>
      </w:tr>
    </w:tbl>
    <w:p w14:paraId="298B659C" w14:textId="0F6E1C22" w:rsidR="006A7563" w:rsidRDefault="006A7563" w:rsidP="00D47977">
      <w:pPr>
        <w:pStyle w:val="HeadingContents"/>
      </w:pPr>
      <w:bookmarkStart w:id="3" w:name="TOCFigure"/>
      <w:r>
        <w:t>Figures</w:t>
      </w:r>
    </w:p>
    <w:tbl>
      <w:tblPr>
        <w:tblStyle w:val="PlainTable3"/>
        <w:tblW w:w="9354" w:type="dxa"/>
        <w:tblLayout w:type="fixed"/>
        <w:tblCellMar>
          <w:left w:w="0" w:type="dxa"/>
          <w:right w:w="0" w:type="dxa"/>
        </w:tblCellMar>
        <w:tblLook w:val="0600" w:firstRow="0" w:lastRow="0" w:firstColumn="0" w:lastColumn="0" w:noHBand="1" w:noVBand="1"/>
      </w:tblPr>
      <w:tblGrid>
        <w:gridCol w:w="9354"/>
      </w:tblGrid>
      <w:tr w:rsidR="006A7563" w14:paraId="374B3BE8" w14:textId="77777777">
        <w:tc>
          <w:tcPr>
            <w:tcW w:w="9354" w:type="dxa"/>
          </w:tcPr>
          <w:p w14:paraId="638A14F4" w14:textId="32275905" w:rsidR="00346420" w:rsidRDefault="006A7563">
            <w:pPr>
              <w:pStyle w:val="TableofFigures"/>
              <w:rPr>
                <w:rFonts w:asciiTheme="minorHAnsi" w:eastAsiaTheme="minorEastAsia" w:hAnsiTheme="minorHAnsi"/>
                <w:noProof/>
                <w:kern w:val="2"/>
                <w:sz w:val="24"/>
                <w:szCs w:val="24"/>
                <w:lang w:eastAsia="en-NZ"/>
                <w14:ligatures w14:val="standardContextual"/>
              </w:rPr>
            </w:pPr>
            <w:r>
              <w:rPr>
                <w:b/>
                <w:bCs/>
                <w:noProof/>
                <w:sz w:val="20"/>
                <w:lang w:val="en-US"/>
              </w:rPr>
              <w:fldChar w:fldCharType="begin"/>
            </w:r>
            <w:r>
              <w:rPr>
                <w:b/>
                <w:bCs/>
                <w:noProof/>
                <w:lang w:val="en-US"/>
              </w:rPr>
              <w:instrText xml:space="preserve"> TOC \h \z \c "Figure" </w:instrText>
            </w:r>
            <w:r>
              <w:rPr>
                <w:b/>
                <w:bCs/>
                <w:noProof/>
                <w:sz w:val="20"/>
                <w:lang w:val="en-US"/>
              </w:rPr>
              <w:fldChar w:fldCharType="separate"/>
            </w:r>
            <w:hyperlink w:anchor="_Toc240542073" w:history="1">
              <w:r w:rsidR="00346420" w:rsidRPr="00413964">
                <w:rPr>
                  <w:rStyle w:val="Hyperlink"/>
                  <w:noProof/>
                </w:rPr>
                <w:t xml:space="preserve">Figure 1: </w:t>
              </w:r>
              <w:r w:rsidR="00346420">
                <w:rPr>
                  <w:rFonts w:asciiTheme="minorHAnsi" w:eastAsiaTheme="minorEastAsia" w:hAnsiTheme="minorHAnsi"/>
                  <w:noProof/>
                  <w:kern w:val="2"/>
                  <w:sz w:val="24"/>
                  <w:szCs w:val="24"/>
                  <w:lang w:eastAsia="en-NZ"/>
                  <w14:ligatures w14:val="standardContextual"/>
                </w:rPr>
                <w:tab/>
              </w:r>
              <w:r w:rsidR="00346420" w:rsidRPr="00413964">
                <w:rPr>
                  <w:rStyle w:val="Hyperlink"/>
                  <w:noProof/>
                </w:rPr>
                <w:t>Framework for reviewing the ITE Programme Requirements</w:t>
              </w:r>
              <w:r w:rsidR="00346420">
                <w:rPr>
                  <w:noProof/>
                  <w:webHidden/>
                </w:rPr>
                <w:tab/>
              </w:r>
              <w:r w:rsidR="00346420">
                <w:rPr>
                  <w:noProof/>
                  <w:webHidden/>
                </w:rPr>
                <w:fldChar w:fldCharType="begin"/>
              </w:r>
              <w:r w:rsidR="00346420">
                <w:rPr>
                  <w:noProof/>
                  <w:webHidden/>
                </w:rPr>
                <w:instrText xml:space="preserve"> PAGEREF _Toc240542073 \h </w:instrText>
              </w:r>
              <w:r w:rsidR="00346420">
                <w:rPr>
                  <w:noProof/>
                  <w:webHidden/>
                </w:rPr>
              </w:r>
              <w:r w:rsidR="00346420">
                <w:rPr>
                  <w:noProof/>
                  <w:webHidden/>
                </w:rPr>
                <w:fldChar w:fldCharType="separate"/>
              </w:r>
              <w:r w:rsidR="00346420">
                <w:rPr>
                  <w:noProof/>
                  <w:webHidden/>
                </w:rPr>
                <w:t>14</w:t>
              </w:r>
              <w:r w:rsidR="00346420">
                <w:rPr>
                  <w:noProof/>
                  <w:webHidden/>
                </w:rPr>
                <w:fldChar w:fldCharType="end"/>
              </w:r>
            </w:hyperlink>
          </w:p>
          <w:p w14:paraId="4352C51C" w14:textId="4827378C" w:rsidR="00346420" w:rsidRDefault="00346420">
            <w:pPr>
              <w:pStyle w:val="TableofFigures"/>
              <w:rPr>
                <w:rFonts w:asciiTheme="minorHAnsi" w:eastAsiaTheme="minorEastAsia" w:hAnsiTheme="minorHAnsi"/>
                <w:noProof/>
                <w:kern w:val="2"/>
                <w:sz w:val="24"/>
                <w:szCs w:val="24"/>
                <w:lang w:eastAsia="en-NZ"/>
                <w14:ligatures w14:val="standardContextual"/>
              </w:rPr>
            </w:pPr>
            <w:hyperlink w:anchor="_Toc240542074" w:history="1">
              <w:r w:rsidRPr="00413964">
                <w:rPr>
                  <w:rStyle w:val="Hyperlink"/>
                  <w:noProof/>
                </w:rPr>
                <w:t xml:space="preserve">Figure 2: </w:t>
              </w:r>
              <w:r>
                <w:rPr>
                  <w:rFonts w:asciiTheme="minorHAnsi" w:eastAsiaTheme="minorEastAsia" w:hAnsiTheme="minorHAnsi"/>
                  <w:noProof/>
                  <w:kern w:val="2"/>
                  <w:sz w:val="24"/>
                  <w:szCs w:val="24"/>
                  <w:lang w:eastAsia="en-NZ"/>
                  <w14:ligatures w14:val="standardContextual"/>
                </w:rPr>
                <w:tab/>
              </w:r>
              <w:r w:rsidRPr="00413964">
                <w:rPr>
                  <w:rStyle w:val="Hyperlink"/>
                  <w:noProof/>
                </w:rPr>
                <w:t>Key opportunities for improvement of the ITE Programme Requirements</w:t>
              </w:r>
              <w:r>
                <w:rPr>
                  <w:noProof/>
                  <w:webHidden/>
                </w:rPr>
                <w:tab/>
              </w:r>
              <w:r>
                <w:rPr>
                  <w:noProof/>
                  <w:webHidden/>
                </w:rPr>
                <w:fldChar w:fldCharType="begin"/>
              </w:r>
              <w:r>
                <w:rPr>
                  <w:noProof/>
                  <w:webHidden/>
                </w:rPr>
                <w:instrText xml:space="preserve"> PAGEREF _Toc240542074 \h </w:instrText>
              </w:r>
              <w:r>
                <w:rPr>
                  <w:noProof/>
                  <w:webHidden/>
                </w:rPr>
              </w:r>
              <w:r>
                <w:rPr>
                  <w:noProof/>
                  <w:webHidden/>
                </w:rPr>
                <w:fldChar w:fldCharType="separate"/>
              </w:r>
              <w:r>
                <w:rPr>
                  <w:noProof/>
                  <w:webHidden/>
                </w:rPr>
                <w:t>34</w:t>
              </w:r>
              <w:r>
                <w:rPr>
                  <w:noProof/>
                  <w:webHidden/>
                </w:rPr>
                <w:fldChar w:fldCharType="end"/>
              </w:r>
            </w:hyperlink>
          </w:p>
          <w:p w14:paraId="63C5D362" w14:textId="59608F4C" w:rsidR="006A7563" w:rsidRDefault="006A7563">
            <w:pPr>
              <w:pStyle w:val="USWhiteSpace"/>
            </w:pPr>
            <w:r>
              <w:rPr>
                <w:b/>
                <w:bCs/>
                <w:noProof/>
                <w:lang w:val="en-US"/>
              </w:rPr>
              <w:lastRenderedPageBreak/>
              <w:fldChar w:fldCharType="end"/>
            </w:r>
          </w:p>
        </w:tc>
      </w:tr>
      <w:bookmarkEnd w:id="3"/>
    </w:tbl>
    <w:p w14:paraId="5C45FCEF" w14:textId="77777777" w:rsidR="005807FF" w:rsidRDefault="005807FF">
      <w:pPr>
        <w:spacing w:line="259" w:lineRule="auto"/>
        <w:sectPr w:rsidR="005807FF" w:rsidSect="008A6239">
          <w:headerReference w:type="even" r:id="rId29"/>
          <w:headerReference w:type="default" r:id="rId30"/>
          <w:footerReference w:type="even" r:id="rId31"/>
          <w:footerReference w:type="default" r:id="rId32"/>
          <w:headerReference w:type="first" r:id="rId33"/>
          <w:footerReference w:type="first" r:id="rId34"/>
          <w:pgSz w:w="11906" w:h="16838" w:code="9"/>
          <w:pgMar w:top="2835" w:right="1418" w:bottom="2268" w:left="1418" w:header="851" w:footer="567" w:gutter="0"/>
          <w:cols w:space="708"/>
          <w:titlePg/>
          <w:docGrid w:linePitch="360"/>
        </w:sectPr>
      </w:pPr>
    </w:p>
    <w:p w14:paraId="76F571B2" w14:textId="776C813D" w:rsidR="00197CB1" w:rsidRPr="00AB7D36" w:rsidRDefault="00197CB1" w:rsidP="00493706">
      <w:pPr>
        <w:pStyle w:val="HeadingNonContents"/>
        <w:spacing w:before="0"/>
      </w:pPr>
      <w:bookmarkStart w:id="4" w:name="_Toc234512856"/>
      <w:bookmarkStart w:id="5" w:name="_Toc236686005"/>
      <w:r>
        <w:lastRenderedPageBreak/>
        <w:t>Preface</w:t>
      </w:r>
      <w:bookmarkEnd w:id="4"/>
      <w:bookmarkEnd w:id="5"/>
      <w:r>
        <w:t xml:space="preserve"> </w:t>
      </w:r>
    </w:p>
    <w:p w14:paraId="46CDB516" w14:textId="77777777" w:rsidR="00197CB1" w:rsidRDefault="00197CB1" w:rsidP="00197CB1">
      <w:pPr>
        <w:pStyle w:val="USBodyText"/>
      </w:pPr>
      <w:r>
        <w:t xml:space="preserve">This report has been prepared for The Ministry of Education New Zealand by MartinJenkins (Martin, Jenkins &amp; Associates Ltd) and dandolopartners. </w:t>
      </w:r>
    </w:p>
    <w:p w14:paraId="5CA8E1CF" w14:textId="302AC4C1" w:rsidR="00197CB1" w:rsidRPr="00AB7D36" w:rsidRDefault="7E4EC761" w:rsidP="00D27FBB">
      <w:pPr>
        <w:pStyle w:val="Heading5"/>
      </w:pPr>
      <w:bookmarkStart w:id="6" w:name="_Toc2085759606"/>
      <w:r>
        <w:t>About MartinJenkins:</w:t>
      </w:r>
      <w:bookmarkEnd w:id="6"/>
      <w:r w:rsidR="00197CB1">
        <w:t xml:space="preserve"> </w:t>
      </w:r>
    </w:p>
    <w:p w14:paraId="55EBB3B7" w14:textId="457A0EBB" w:rsidR="00197CB1" w:rsidRPr="00197CB1" w:rsidRDefault="00197CB1" w:rsidP="00197CB1">
      <w:pPr>
        <w:pStyle w:val="USBodyText"/>
      </w:pPr>
      <w:r w:rsidRPr="00197CB1">
        <w:t>For over 30 years MartinJenkins has been a trusted adviser to clients in the government, private, and non-profit sectors in Aotearoa New Zealand and internationally. Our services include organisational performance, employment relations, financial and economic analysis, economic development, research and evaluation, data analytics, engagement, and public policy and regulatory systems.</w:t>
      </w:r>
      <w:r w:rsidR="00F65692">
        <w:t xml:space="preserve"> </w:t>
      </w:r>
    </w:p>
    <w:p w14:paraId="4E5A5470" w14:textId="77777777" w:rsidR="00197CB1" w:rsidRPr="00197CB1" w:rsidRDefault="00197CB1" w:rsidP="00197CB1">
      <w:pPr>
        <w:pStyle w:val="USBodyText"/>
      </w:pPr>
      <w:r w:rsidRPr="00197CB1">
        <w:t>Kei te āwhina mātau ki te whakapai ake i a Aotearoa. We are a values-based organisation, driven by a clear purpose of helping make Aotearoa New Zealand a better place. Our firm is made up of people who are highly motivated to serve the New Zealand public, and to work on projects that make a difference.</w:t>
      </w:r>
      <w:r w:rsidRPr="00197CB1">
        <w:rPr>
          <w:rFonts w:ascii="Cambria Math" w:hAnsi="Cambria Math" w:cs="Cambria Math"/>
        </w:rPr>
        <w:t> </w:t>
      </w:r>
      <w:r w:rsidRPr="00197CB1">
        <w:t xml:space="preserve"> </w:t>
      </w:r>
    </w:p>
    <w:p w14:paraId="7A66282C" w14:textId="77777777" w:rsidR="00197CB1" w:rsidRPr="00197CB1" w:rsidRDefault="00197CB1" w:rsidP="00197CB1">
      <w:pPr>
        <w:pStyle w:val="USBodyText"/>
      </w:pPr>
      <w:r w:rsidRPr="00197CB1">
        <w:t xml:space="preserve">Established in 1993, we are a privately owned New Zealand limited liability company, with offices in Wellington and Auckland. Our firm is governed by a Board made up of Executive Partners and Independent Directors. Our Independent Directors are Jenn Bestwick and Chair David Prentice. Our Executive Partners are Sarah Baddeley, Nick Carlaw, Allana Coulon, and Nick Davis. </w:t>
      </w:r>
    </w:p>
    <w:p w14:paraId="3C2017DF" w14:textId="02BA12F4" w:rsidR="00197CB1" w:rsidRPr="00AB7D36" w:rsidRDefault="7E4EC761" w:rsidP="00D27FBB">
      <w:pPr>
        <w:pStyle w:val="Heading5"/>
      </w:pPr>
      <w:bookmarkStart w:id="7" w:name="_Toc2096545351"/>
      <w:r>
        <w:t>About dandolopartners (dandolo):</w:t>
      </w:r>
      <w:bookmarkEnd w:id="7"/>
      <w:r w:rsidR="00197CB1">
        <w:t xml:space="preserve"> </w:t>
      </w:r>
    </w:p>
    <w:p w14:paraId="36409177" w14:textId="77777777" w:rsidR="00197CB1" w:rsidRDefault="00197CB1" w:rsidP="00197CB1">
      <w:pPr>
        <w:pStyle w:val="USBodyText"/>
      </w:pPr>
      <w:r>
        <w:t xml:space="preserve">dandolo is a management consulting firm with a public impact purpose. Since 2002 we have been delivering high quality policy, strategy and evaluation advice to clients in and around state and federal governments and not for profits across Australia. We work across a wide range of sectors including education, industry and economic policy, health, justice, human services, research, cultural institutions and innovation. </w:t>
      </w:r>
    </w:p>
    <w:p w14:paraId="661958B2" w14:textId="77777777" w:rsidR="00197CB1" w:rsidRDefault="00197CB1" w:rsidP="00197CB1">
      <w:pPr>
        <w:pStyle w:val="USBodyText"/>
      </w:pPr>
      <w:r>
        <w:t xml:space="preserve">Our expert team of consultants understand the operations, issues and imperatives that drive government. We have earned a reputation for providing practical, actionable, and insightful information and advice that makes a difference to our clients around Australia. We have a track record of delivering with integrity, including when working through contested spaces and on ‘wicked’ problems. We are impeccably bipartisan and focussed on evidence driven decision making. </w:t>
      </w:r>
    </w:p>
    <w:p w14:paraId="756C9607" w14:textId="72825C95" w:rsidR="00197CB1" w:rsidRPr="00AB7D36" w:rsidRDefault="7E4EC761" w:rsidP="00D27FBB">
      <w:pPr>
        <w:pStyle w:val="Heading5"/>
      </w:pPr>
      <w:bookmarkStart w:id="8" w:name="_Toc1247275958"/>
      <w:r>
        <w:t>About our partnership</w:t>
      </w:r>
      <w:bookmarkEnd w:id="8"/>
      <w:r w:rsidR="00197CB1">
        <w:t xml:space="preserve"> </w:t>
      </w:r>
    </w:p>
    <w:p w14:paraId="61C483ED" w14:textId="2414EC71" w:rsidR="00197CB1" w:rsidRPr="00197CB1" w:rsidRDefault="00197CB1" w:rsidP="00197CB1">
      <w:pPr>
        <w:pStyle w:val="USBodyText"/>
      </w:pPr>
      <w:r>
        <w:t>MartinJenkins and dandolo have had a partnership agreement in place since 2024, which enables us to work together on projects that benefit from our combined strengths and perspectives. For this project, the combined team offers deep, practical knowledge of the New Zealand education system alongside strong specialist expertise in Initial Teacher Education (ITE) systems.</w:t>
      </w:r>
      <w:r w:rsidR="00F65692">
        <w:t xml:space="preserve"> </w:t>
      </w:r>
    </w:p>
    <w:p w14:paraId="44EC5EE9" w14:textId="19B60549" w:rsidR="00753C9F" w:rsidRDefault="00490760" w:rsidP="00DE1E66">
      <w:pPr>
        <w:pStyle w:val="USBodyText"/>
        <w:rPr>
          <w:szCs w:val="19"/>
        </w:rPr>
        <w:sectPr w:rsidR="00753C9F" w:rsidSect="008A6239">
          <w:headerReference w:type="even" r:id="rId35"/>
          <w:headerReference w:type="default" r:id="rId36"/>
          <w:footerReference w:type="even" r:id="rId37"/>
          <w:footerReference w:type="default" r:id="rId38"/>
          <w:headerReference w:type="first" r:id="rId39"/>
          <w:footerReference w:type="first" r:id="rId40"/>
          <w:type w:val="oddPage"/>
          <w:pgSz w:w="11906" w:h="16838" w:code="9"/>
          <w:pgMar w:top="2835" w:right="1418" w:bottom="2268" w:left="1418" w:header="851" w:footer="567" w:gutter="0"/>
          <w:pgNumType w:start="1"/>
          <w:cols w:space="708"/>
          <w:docGrid w:linePitch="360"/>
        </w:sectPr>
      </w:pPr>
      <w:r>
        <w:t xml:space="preserve"> </w:t>
      </w:r>
    </w:p>
    <w:p w14:paraId="574BB802" w14:textId="3C7BCB0D" w:rsidR="00F8040A" w:rsidRDefault="410E22CC" w:rsidP="727D27C3">
      <w:pPr>
        <w:pStyle w:val="Heading1"/>
      </w:pPr>
      <w:bookmarkStart w:id="9" w:name="_Toc236686006"/>
      <w:bookmarkStart w:id="10" w:name="_Toc241658013"/>
      <w:r>
        <w:lastRenderedPageBreak/>
        <w:t xml:space="preserve">Purpose of this discussion </w:t>
      </w:r>
      <w:bookmarkEnd w:id="9"/>
      <w:r w:rsidR="00354970">
        <w:t>document</w:t>
      </w:r>
      <w:bookmarkEnd w:id="10"/>
    </w:p>
    <w:p w14:paraId="507F7E83" w14:textId="2BE949EE" w:rsidR="00F8040A" w:rsidRDefault="6AF441A4" w:rsidP="727D27C3">
      <w:pPr>
        <w:pStyle w:val="USBodyText"/>
      </w:pPr>
      <w:r>
        <w:t xml:space="preserve">This discussion </w:t>
      </w:r>
      <w:r w:rsidR="00C820D7">
        <w:t>document</w:t>
      </w:r>
      <w:r>
        <w:t xml:space="preserve"> has been prepared to support </w:t>
      </w:r>
      <w:r w:rsidR="70C8E969">
        <w:t xml:space="preserve">a </w:t>
      </w:r>
      <w:r>
        <w:t>conversation about the future direction of the ITE Programme R</w:t>
      </w:r>
      <w:r w:rsidR="18EE8754">
        <w:t xml:space="preserve">equirements. </w:t>
      </w:r>
    </w:p>
    <w:p w14:paraId="4BDB5D50" w14:textId="777895A7" w:rsidR="100274B3" w:rsidRDefault="43C7BC5A" w:rsidP="100274B3">
      <w:pPr>
        <w:pStyle w:val="USBodyText"/>
      </w:pPr>
      <w:r>
        <w:t xml:space="preserve">It </w:t>
      </w:r>
      <w:r w:rsidR="12A83571">
        <w:t>sets out the</w:t>
      </w:r>
      <w:r>
        <w:t xml:space="preserve"> </w:t>
      </w:r>
      <w:r w:rsidR="4F7B85FB">
        <w:t>trigger for the review</w:t>
      </w:r>
      <w:r w:rsidR="50C9B496">
        <w:t xml:space="preserve">, </w:t>
      </w:r>
      <w:r w:rsidR="480B692B">
        <w:t>situates the review within its</w:t>
      </w:r>
      <w:r w:rsidR="4F7B85FB">
        <w:t xml:space="preserve"> wider context,</w:t>
      </w:r>
      <w:r w:rsidR="3ADA052E">
        <w:t xml:space="preserve"> </w:t>
      </w:r>
      <w:r w:rsidR="4F7B85FB">
        <w:t xml:space="preserve">and </w:t>
      </w:r>
      <w:r w:rsidR="3ADA052E">
        <w:t>outlines</w:t>
      </w:r>
      <w:r>
        <w:t xml:space="preserve"> a set of principles to inform consideration of the ITE Programme Requirements and nine opportunities for improvement. These opportunities are intended as proposals for discussion rather than final </w:t>
      </w:r>
      <w:r w:rsidR="4A499A1A">
        <w:t>recommendations</w:t>
      </w:r>
      <w:r w:rsidR="2430AB82">
        <w:t xml:space="preserve">. </w:t>
      </w:r>
    </w:p>
    <w:p w14:paraId="1E5C30FE" w14:textId="3C37E43D" w:rsidR="00F8040A" w:rsidRDefault="2430AB82" w:rsidP="727D27C3">
      <w:pPr>
        <w:pStyle w:val="USBodyText"/>
      </w:pPr>
      <w:r>
        <w:t>No decisions have be</w:t>
      </w:r>
      <w:r w:rsidR="4B301B72">
        <w:t>en</w:t>
      </w:r>
      <w:r>
        <w:t xml:space="preserve"> made regarding whether any of the opportunities should be progressed, amended, or implemented. </w:t>
      </w:r>
      <w:r w:rsidR="30C82A30">
        <w:t xml:space="preserve">The </w:t>
      </w:r>
      <w:r w:rsidR="56B4D487">
        <w:t>opportunities</w:t>
      </w:r>
      <w:r w:rsidR="30C82A30">
        <w:t xml:space="preserve"> do not represent Government policy, or a position of the Ministry.</w:t>
      </w:r>
    </w:p>
    <w:p w14:paraId="7FECCC93" w14:textId="67C81C97" w:rsidR="00F8040A" w:rsidRDefault="2430AB82" w:rsidP="727D27C3">
      <w:pPr>
        <w:pStyle w:val="USBodyText"/>
      </w:pPr>
      <w:r>
        <w:t xml:space="preserve">The purpose of this </w:t>
      </w:r>
      <w:r w:rsidR="479921A1">
        <w:t>engagement</w:t>
      </w:r>
      <w:r>
        <w:t xml:space="preserve"> is </w:t>
      </w:r>
      <w:r w:rsidR="71532927">
        <w:t xml:space="preserve">to </w:t>
      </w:r>
      <w:r>
        <w:t xml:space="preserve">test the </w:t>
      </w:r>
      <w:r w:rsidR="171B29F0">
        <w:t>analysis</w:t>
      </w:r>
      <w:r>
        <w:t xml:space="preserve">, assumptions and opportunities presented in this paper. </w:t>
      </w:r>
      <w:r w:rsidR="004F2333">
        <w:t xml:space="preserve">This includes understanding where stakeholder experiences and perspectives converge with, diverge from, or add to the evidence and findings presented. </w:t>
      </w:r>
      <w:r>
        <w:t xml:space="preserve">We are interested in understanding whether these opportunities </w:t>
      </w:r>
      <w:r w:rsidR="2BA34E1E">
        <w:t>reflect</w:t>
      </w:r>
      <w:r>
        <w:t xml:space="preserve"> the experiences and perspectives of those involved in ITE, whether they will </w:t>
      </w:r>
      <w:r w:rsidR="69493720">
        <w:t>help to address</w:t>
      </w:r>
      <w:r>
        <w:t xml:space="preserve"> the challenges across the sector and whether any alternative </w:t>
      </w:r>
      <w:r w:rsidR="45E45C86">
        <w:t xml:space="preserve">or additional </w:t>
      </w:r>
      <w:r>
        <w:t>approaches should be considered.</w:t>
      </w:r>
    </w:p>
    <w:p w14:paraId="38CB6001" w14:textId="2C2EC95B" w:rsidR="00F8040A" w:rsidRDefault="3A5641EE" w:rsidP="727D27C3">
      <w:pPr>
        <w:pStyle w:val="USBodyText"/>
      </w:pPr>
      <w:r>
        <w:t>This is not a formal consultation on the ITE Programme Requirements</w:t>
      </w:r>
      <w:r w:rsidR="2430AB82">
        <w:t xml:space="preserve"> </w:t>
      </w:r>
      <w:r w:rsidR="18548392">
        <w:t>themselves</w:t>
      </w:r>
      <w:r w:rsidR="1C084D9D">
        <w:t xml:space="preserve">. It is intended to support discussion on potential opportunities for improvement and does not present proposed amendments or draft requirements. </w:t>
      </w:r>
      <w:r w:rsidR="18548392">
        <w:t xml:space="preserve"> </w:t>
      </w:r>
    </w:p>
    <w:p w14:paraId="678186E7" w14:textId="5EF0A019" w:rsidR="00F8040A" w:rsidRDefault="639138F1" w:rsidP="727D27C3">
      <w:pPr>
        <w:pStyle w:val="Heading5"/>
      </w:pPr>
      <w:bookmarkStart w:id="11" w:name="_Toc492104339"/>
      <w:r>
        <w:t>We are seeking feedback on:</w:t>
      </w:r>
      <w:bookmarkEnd w:id="11"/>
    </w:p>
    <w:p w14:paraId="12E38C41" w14:textId="0B3012B6" w:rsidR="00F8040A" w:rsidRDefault="2430AB82" w:rsidP="000B20E4">
      <w:pPr>
        <w:pStyle w:val="USBullet1"/>
      </w:pPr>
      <w:r>
        <w:t xml:space="preserve">Whether the </w:t>
      </w:r>
      <w:r w:rsidR="19586501">
        <w:t>trigger for the review and wider context accurately reflects the strengths, challenges and opportunities across the sector</w:t>
      </w:r>
    </w:p>
    <w:p w14:paraId="30B88400" w14:textId="73791C6F" w:rsidR="00F8040A" w:rsidRDefault="19586501" w:rsidP="000B20E4">
      <w:pPr>
        <w:pStyle w:val="USBullet1"/>
      </w:pPr>
      <w:r>
        <w:t>Whether the opportunities identified in this paper represent the most important areas for improvement</w:t>
      </w:r>
    </w:p>
    <w:p w14:paraId="22B33D73" w14:textId="292D549B" w:rsidR="00F8040A" w:rsidRDefault="19586501" w:rsidP="000B20E4">
      <w:pPr>
        <w:pStyle w:val="USBullet1"/>
      </w:pPr>
      <w:r>
        <w:t>The potential benefits, risks or unintended consequences associated with the opportunities presented</w:t>
      </w:r>
    </w:p>
    <w:p w14:paraId="46902085" w14:textId="39241106" w:rsidR="00F8040A" w:rsidRDefault="19586501" w:rsidP="000B20E4">
      <w:pPr>
        <w:pStyle w:val="USBullet1"/>
      </w:pPr>
      <w:r>
        <w:t>Any implementation considerations and practical challenges that would need to be addressed if changes were progressed</w:t>
      </w:r>
    </w:p>
    <w:p w14:paraId="6C4F50DE" w14:textId="3E526440" w:rsidR="00F8040A" w:rsidRDefault="19586501" w:rsidP="000B20E4">
      <w:pPr>
        <w:pStyle w:val="USBullet1"/>
      </w:pPr>
      <w:r>
        <w:t>Any additional evidence, perspectives or alternative approaches that should be considered</w:t>
      </w:r>
      <w:r w:rsidR="001D3C3A">
        <w:t>.</w:t>
      </w:r>
    </w:p>
    <w:p w14:paraId="2888F398" w14:textId="67399A3D" w:rsidR="00F8040A" w:rsidRDefault="3C875C0E" w:rsidP="727D27C3">
      <w:pPr>
        <w:pStyle w:val="Heading5"/>
      </w:pPr>
      <w:bookmarkStart w:id="12" w:name="_Toc694310574"/>
      <w:r>
        <w:t>Limitations and perspectives</w:t>
      </w:r>
    </w:p>
    <w:p w14:paraId="2C5909BB" w14:textId="61D64060" w:rsidR="00F8040A" w:rsidRDefault="3C875C0E" w:rsidP="00A05B05">
      <w:pPr>
        <w:pStyle w:val="USNumber1"/>
        <w:numPr>
          <w:ilvl w:val="0"/>
          <w:numId w:val="0"/>
        </w:numPr>
      </w:pPr>
      <w:r>
        <w:t xml:space="preserve">This discussion document has been developed through a review of evidence, analysis of the current ITE Programme Requirements, and targeted engagement with selected stakeholders and subject matter experts. It has not been informed by comprehensive </w:t>
      </w:r>
      <w:r w:rsidR="35B70A06">
        <w:t xml:space="preserve">engagement </w:t>
      </w:r>
      <w:r>
        <w:t>across all groups with an interest in ITE. A</w:t>
      </w:r>
      <w:r w:rsidR="3D29EFA5">
        <w:t xml:space="preserve">s a result, some perspectives, experiences and lenses may be underrepresented or </w:t>
      </w:r>
      <w:r w:rsidR="3D29EFA5">
        <w:lastRenderedPageBreak/>
        <w:t>absent. We encourage respondents to identi</w:t>
      </w:r>
      <w:r w:rsidR="5841FB25">
        <w:t>f</w:t>
      </w:r>
      <w:r w:rsidR="3D29EFA5">
        <w:t xml:space="preserve">y any important considerations, viewpoints or evidence that are not reflected in this paper and to use this process as an opportunity to strengthen and refine this analysis. </w:t>
      </w:r>
    </w:p>
    <w:p w14:paraId="20FC5C57" w14:textId="3043341D" w:rsidR="00F8040A" w:rsidRDefault="72B56A31" w:rsidP="727D27C3">
      <w:pPr>
        <w:pStyle w:val="Heading5"/>
      </w:pPr>
      <w:r>
        <w:t>Next steps</w:t>
      </w:r>
      <w:bookmarkEnd w:id="12"/>
    </w:p>
    <w:p w14:paraId="488200A3" w14:textId="38E56E4F" w:rsidR="00F8040A" w:rsidRDefault="42394D89" w:rsidP="727D27C3">
      <w:pPr>
        <w:pStyle w:val="USBodyText"/>
      </w:pPr>
      <w:r>
        <w:t xml:space="preserve">Following this stage of </w:t>
      </w:r>
      <w:r w:rsidR="75AD61EA">
        <w:t>engagement</w:t>
      </w:r>
      <w:r>
        <w:t xml:space="preserve">, the Ministry will determine what changes are progressed, if any, and a set of draft Requirements will be </w:t>
      </w:r>
      <w:r w:rsidR="61DEAAD7">
        <w:t>developed</w:t>
      </w:r>
      <w:r>
        <w:t xml:space="preserve"> for </w:t>
      </w:r>
      <w:r w:rsidR="61DEAAD7">
        <w:t>broader</w:t>
      </w:r>
      <w:r>
        <w:t xml:space="preserve"> public </w:t>
      </w:r>
      <w:r w:rsidR="003A03B8">
        <w:t>consultation</w:t>
      </w:r>
      <w:r>
        <w:t xml:space="preserve">.  </w:t>
      </w:r>
      <w:r>
        <w:br w:type="page"/>
      </w:r>
    </w:p>
    <w:p w14:paraId="6733620D" w14:textId="71178617" w:rsidR="00F8040A" w:rsidRDefault="1A7498D9" w:rsidP="00D47977">
      <w:pPr>
        <w:pStyle w:val="Heading1"/>
      </w:pPr>
      <w:bookmarkStart w:id="13" w:name="_Toc234512851"/>
      <w:bookmarkStart w:id="14" w:name="_Toc236686007"/>
      <w:bookmarkStart w:id="15" w:name="_Toc241658014"/>
      <w:bookmarkStart w:id="16" w:name="_Toc116545874"/>
      <w:bookmarkStart w:id="17" w:name="_Toc122010489"/>
      <w:bookmarkStart w:id="18" w:name="_Toc122010886"/>
      <w:r>
        <w:lastRenderedPageBreak/>
        <w:t>Executive summary</w:t>
      </w:r>
      <w:bookmarkEnd w:id="13"/>
      <w:bookmarkEnd w:id="14"/>
      <w:bookmarkEnd w:id="15"/>
    </w:p>
    <w:p w14:paraId="394569B6" w14:textId="0A49F8E0" w:rsidR="00F8040A" w:rsidRPr="007A6DCA" w:rsidRDefault="00F8040A" w:rsidP="007A6DCA">
      <w:pPr>
        <w:pStyle w:val="Heading3"/>
      </w:pPr>
      <w:bookmarkStart w:id="19" w:name="_Toc234512852"/>
      <w:bookmarkStart w:id="20" w:name="_Toc234493693"/>
      <w:bookmarkStart w:id="21" w:name="_Toc236686008"/>
      <w:bookmarkStart w:id="22" w:name="_Toc241658015"/>
      <w:r>
        <w:t>About this review</w:t>
      </w:r>
      <w:bookmarkEnd w:id="19"/>
      <w:bookmarkEnd w:id="20"/>
      <w:bookmarkEnd w:id="21"/>
      <w:bookmarkEnd w:id="22"/>
    </w:p>
    <w:p w14:paraId="36F52E8E" w14:textId="4C7CDCF5" w:rsidR="00F8040A" w:rsidRPr="005F7603" w:rsidRDefault="00F8040A" w:rsidP="00F8040A">
      <w:pPr>
        <w:pStyle w:val="USBodyText"/>
      </w:pPr>
      <w:r>
        <w:t>Initial teacher education (ITE) provides the foundational training required for individuals to become qualified and registered teachers in Aotearoa New Zealand.</w:t>
      </w:r>
      <w:r w:rsidRPr="1C837FEC">
        <w:rPr>
          <w:rStyle w:val="FootnoteReference"/>
          <w:rFonts w:ascii="Aptos" w:hAnsi="Aptos"/>
        </w:rPr>
        <w:footnoteReference w:id="2"/>
      </w:r>
      <w:r>
        <w:t xml:space="preserve"> Responsibility for setting ITE requirements transitioned from the Teaching Council </w:t>
      </w:r>
      <w:r w:rsidR="00A05B05">
        <w:t xml:space="preserve">of Aotearoa New Zealand </w:t>
      </w:r>
      <w:r>
        <w:t xml:space="preserve">to the Ministry of Education (the Ministry), under the </w:t>
      </w:r>
      <w:r w:rsidRPr="1C837FEC">
        <w:rPr>
          <w:i/>
          <w:iCs/>
        </w:rPr>
        <w:t>Education and Training (System Reform) Amendment Act</w:t>
      </w:r>
      <w:r>
        <w:t xml:space="preserve"> on 6 July 2026. This transition provides an opportunity to review the ITE Programme Approval, Monitoring and Review Requirements (the </w:t>
      </w:r>
      <w:r w:rsidR="4B93A4EB">
        <w:t xml:space="preserve">ITE Programme </w:t>
      </w:r>
      <w:r>
        <w:t xml:space="preserve">Requirements) and consider whether they remain fit for purpose. </w:t>
      </w:r>
    </w:p>
    <w:p w14:paraId="7707C357" w14:textId="765D16D5" w:rsidR="00F8040A" w:rsidRPr="005F7603" w:rsidRDefault="00F8040A" w:rsidP="00F8040A">
      <w:pPr>
        <w:pStyle w:val="USBodyText"/>
      </w:pPr>
      <w:r w:rsidRPr="005365A4">
        <w:t xml:space="preserve">The Ministry </w:t>
      </w:r>
      <w:r w:rsidR="00832629" w:rsidRPr="005365A4">
        <w:t>contracted</w:t>
      </w:r>
      <w:r w:rsidRPr="005365A4">
        <w:t xml:space="preserve"> MartinJenkins to review the </w:t>
      </w:r>
      <w:r w:rsidR="242530F1" w:rsidRPr="005365A4">
        <w:t xml:space="preserve">ITE Programme </w:t>
      </w:r>
      <w:r w:rsidRPr="005365A4">
        <w:t>Requirements in the context of this transition and the introduction of the 2026 Standards for the Teaching Profession</w:t>
      </w:r>
      <w:r w:rsidR="7477A141" w:rsidRPr="005365A4">
        <w:t>.</w:t>
      </w:r>
      <w:r w:rsidR="00D82D18" w:rsidRPr="005365A4">
        <w:t xml:space="preserve"> dandolopartners (dandolo) was engaged by MartinJenkins as </w:t>
      </w:r>
      <w:r w:rsidR="00F26C83" w:rsidRPr="005365A4">
        <w:t xml:space="preserve">a </w:t>
      </w:r>
      <w:r w:rsidR="00D82D18" w:rsidRPr="005365A4">
        <w:t>subcontractor to support the review.</w:t>
      </w:r>
    </w:p>
    <w:p w14:paraId="7FDDE4ED" w14:textId="2203DD40" w:rsidR="00F8040A" w:rsidRDefault="00F8040A" w:rsidP="001D3C3A">
      <w:pPr>
        <w:pStyle w:val="USBodyText"/>
        <w:spacing w:after="60"/>
      </w:pPr>
      <w:r>
        <w:t>To inform this review, we:</w:t>
      </w:r>
    </w:p>
    <w:p w14:paraId="7EA44FE8" w14:textId="249CBE7C" w:rsidR="00F8040A" w:rsidRDefault="00F8040A" w:rsidP="007A5144">
      <w:pPr>
        <w:pStyle w:val="USBullet1"/>
      </w:pPr>
      <w:r>
        <w:t xml:space="preserve">Established whether there is a case for </w:t>
      </w:r>
      <w:r w:rsidR="34CAC21F">
        <w:t>review</w:t>
      </w:r>
    </w:p>
    <w:p w14:paraId="009A6235" w14:textId="32B5AD0A" w:rsidR="00F8040A" w:rsidRDefault="00F8040A" w:rsidP="007A5144">
      <w:pPr>
        <w:pStyle w:val="USBullet1"/>
      </w:pPr>
      <w:r w:rsidRPr="005F7603">
        <w:t xml:space="preserve">Undertook desktop research, targeted </w:t>
      </w:r>
      <w:r w:rsidR="3DBCE540">
        <w:t xml:space="preserve">engagement </w:t>
      </w:r>
      <w:r w:rsidRPr="005F7603">
        <w:t xml:space="preserve">with </w:t>
      </w:r>
      <w:r w:rsidR="5D0D9699">
        <w:t>stakeholders and</w:t>
      </w:r>
      <w:r>
        <w:t xml:space="preserve"> </w:t>
      </w:r>
      <w:r w:rsidRPr="005F7603">
        <w:t>an expert panel</w:t>
      </w:r>
    </w:p>
    <w:p w14:paraId="3DB64686" w14:textId="6B2D5D7B" w:rsidR="00F8040A" w:rsidRDefault="00F8040A" w:rsidP="001D3C3A">
      <w:pPr>
        <w:pStyle w:val="USBullet1"/>
        <w:spacing w:after="180"/>
      </w:pPr>
      <w:r>
        <w:t xml:space="preserve">Developed a set of principles and opportunities to strengthen the </w:t>
      </w:r>
      <w:r w:rsidR="242530F1">
        <w:t xml:space="preserve">ITE Programme </w:t>
      </w:r>
      <w:r>
        <w:t>Requirements</w:t>
      </w:r>
      <w:r w:rsidR="005365A4">
        <w:t>.</w:t>
      </w:r>
    </w:p>
    <w:p w14:paraId="14BC5029" w14:textId="78BD7362" w:rsidR="00F8040A" w:rsidRPr="00001B71" w:rsidRDefault="00F8040A" w:rsidP="00F8040A">
      <w:pPr>
        <w:pStyle w:val="USBodyText"/>
      </w:pPr>
      <w:r w:rsidRPr="00202A50">
        <w:t xml:space="preserve">This work was completed as a sprint, with the discovery phase commencing in mid-May 2026 and concluding in early July 2026. The </w:t>
      </w:r>
      <w:r w:rsidR="0CA598CF" w:rsidRPr="00202A50">
        <w:t>focus of this phase was to establish an initial evidence base, test initial thinking, assess current setting</w:t>
      </w:r>
      <w:r w:rsidR="003777B7">
        <w:t>s</w:t>
      </w:r>
      <w:r w:rsidR="0CA598CF" w:rsidRPr="00202A50">
        <w:t xml:space="preserve"> and identify areas requiring further explo</w:t>
      </w:r>
      <w:r w:rsidR="0CA598CF" w:rsidRPr="0066204D">
        <w:t>ration and consideration.</w:t>
      </w:r>
      <w:r w:rsidRPr="0066204D">
        <w:t xml:space="preserve"> </w:t>
      </w:r>
    </w:p>
    <w:p w14:paraId="69C0E975" w14:textId="7333DB8A" w:rsidR="4FBBAC19" w:rsidRDefault="4FBBAC19" w:rsidP="00001B71">
      <w:pPr>
        <w:pStyle w:val="Heading3"/>
      </w:pPr>
      <w:bookmarkStart w:id="23" w:name="_Toc241658016"/>
      <w:r>
        <w:t>Review Framework</w:t>
      </w:r>
      <w:bookmarkEnd w:id="23"/>
    </w:p>
    <w:p w14:paraId="305618E2" w14:textId="6E36B7BE" w:rsidR="4FBBAC19" w:rsidRDefault="4FBBAC19" w:rsidP="001D3C3A">
      <w:pPr>
        <w:pStyle w:val="USBodyText"/>
        <w:spacing w:after="60"/>
      </w:pPr>
      <w:r>
        <w:t xml:space="preserve">We have developed a Review Framework outlining our approach to reviewing </w:t>
      </w:r>
      <w:r w:rsidR="242530F1">
        <w:t>the ITE Programme Requirements</w:t>
      </w:r>
      <w:r w:rsidR="00E31CDC">
        <w:t xml:space="preserve"> (see the following page)</w:t>
      </w:r>
      <w:r>
        <w:t xml:space="preserve">. The </w:t>
      </w:r>
      <w:r w:rsidR="004068AE">
        <w:t>F</w:t>
      </w:r>
      <w:r>
        <w:t>ramework provides a clear and transparent basis for the review, comprising of three components:</w:t>
      </w:r>
    </w:p>
    <w:p w14:paraId="5783FCDC" w14:textId="1AE0526A" w:rsidR="4FBBAC19" w:rsidRPr="005365A4" w:rsidRDefault="4FBBAC19" w:rsidP="005365A4">
      <w:pPr>
        <w:pStyle w:val="USNumber1"/>
        <w:numPr>
          <w:ilvl w:val="0"/>
          <w:numId w:val="38"/>
        </w:numPr>
        <w:rPr>
          <w:b/>
          <w:bCs/>
        </w:rPr>
      </w:pPr>
      <w:r w:rsidRPr="005365A4">
        <w:rPr>
          <w:b/>
          <w:bCs/>
        </w:rPr>
        <w:t>Understanding the context, rationale and objectives of the review</w:t>
      </w:r>
    </w:p>
    <w:p w14:paraId="346D821C" w14:textId="561885F7" w:rsidR="4FBBAC19" w:rsidRPr="000B20E4" w:rsidRDefault="4FBBAC19" w:rsidP="000B20E4">
      <w:pPr>
        <w:pStyle w:val="USNumber1"/>
        <w:rPr>
          <w:b/>
          <w:bCs/>
        </w:rPr>
      </w:pPr>
      <w:r w:rsidRPr="000B20E4">
        <w:rPr>
          <w:b/>
          <w:bCs/>
        </w:rPr>
        <w:t>Principles informing the review</w:t>
      </w:r>
    </w:p>
    <w:p w14:paraId="41B09BEF" w14:textId="4E2AF735" w:rsidR="004F54E6" w:rsidRPr="001A77C3" w:rsidRDefault="4FBBAC19" w:rsidP="001A77C3">
      <w:pPr>
        <w:pStyle w:val="USNumber1"/>
        <w:rPr>
          <w:b/>
          <w:bCs/>
        </w:rPr>
      </w:pPr>
      <w:r w:rsidRPr="000B20E4">
        <w:rPr>
          <w:b/>
          <w:bCs/>
        </w:rPr>
        <w:t xml:space="preserve">Opportunities to improve </w:t>
      </w:r>
      <w:r w:rsidR="242530F1" w:rsidRPr="000B20E4">
        <w:rPr>
          <w:b/>
          <w:bCs/>
        </w:rPr>
        <w:t>the ITE Programme Requirements</w:t>
      </w:r>
      <w:r w:rsidR="001A77C3">
        <w:rPr>
          <w:b/>
          <w:bCs/>
        </w:rPr>
        <w:t>.</w:t>
      </w:r>
    </w:p>
    <w:p w14:paraId="23DF35E1" w14:textId="77777777" w:rsidR="00FC7A4C" w:rsidRDefault="00FC7A4C" w:rsidP="00FC7A4C">
      <w:pPr>
        <w:pStyle w:val="USNumber1"/>
        <w:numPr>
          <w:ilvl w:val="0"/>
          <w:numId w:val="0"/>
        </w:numPr>
        <w:rPr>
          <w:b/>
          <w:bCs/>
        </w:rPr>
      </w:pPr>
    </w:p>
    <w:p w14:paraId="5E9FE6DE" w14:textId="77777777" w:rsidR="00FC7A4C" w:rsidRDefault="00FC7A4C" w:rsidP="00FC7A4C">
      <w:pPr>
        <w:pStyle w:val="USNumber1"/>
        <w:numPr>
          <w:ilvl w:val="0"/>
          <w:numId w:val="0"/>
        </w:numPr>
        <w:rPr>
          <w:b/>
          <w:bCs/>
        </w:rPr>
      </w:pPr>
    </w:p>
    <w:p w14:paraId="5AAE19F1" w14:textId="5D38D9A4" w:rsidR="005365A4" w:rsidRDefault="005365A4" w:rsidP="004B2328">
      <w:pPr>
        <w:pStyle w:val="Heading4"/>
        <w:rPr>
          <w:rStyle w:val="Heading4Char"/>
          <w:b/>
          <w:iCs/>
        </w:rPr>
      </w:pPr>
      <w:r w:rsidRPr="004B2328">
        <w:rPr>
          <w:rStyle w:val="Heading4Char"/>
          <w:b/>
          <w:iCs/>
        </w:rPr>
        <w:lastRenderedPageBreak/>
        <w:t>Framework for reviewing the ITE Programme Requirements</w:t>
      </w:r>
    </w:p>
    <w:p w14:paraId="75C17947" w14:textId="77777777" w:rsidR="004B2328" w:rsidRPr="004B2328" w:rsidRDefault="004B2328" w:rsidP="004B2328">
      <w:pPr>
        <w:pStyle w:val="USWhiteSpace"/>
      </w:pPr>
    </w:p>
    <w:p w14:paraId="7BD9D5E1" w14:textId="0E1AC261" w:rsidR="07D4EE81" w:rsidRDefault="064A9ADB" w:rsidP="35C216F2">
      <w:pPr>
        <w:pStyle w:val="USBodyText"/>
      </w:pPr>
      <w:r>
        <w:rPr>
          <w:noProof/>
        </w:rPr>
        <w:drawing>
          <wp:inline distT="0" distB="0" distL="0" distR="0" wp14:anchorId="628E4A17" wp14:editId="328813F0">
            <wp:extent cx="5762625" cy="4542609"/>
            <wp:effectExtent l="0" t="0" r="0" b="0"/>
            <wp:docPr id="4767084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708460" name="drawing"/>
                    <pic:cNvPicPr/>
                  </pic:nvPicPr>
                  <pic:blipFill>
                    <a:blip r:embed="rId41"/>
                    <a:stretch>
                      <a:fillRect/>
                    </a:stretch>
                  </pic:blipFill>
                  <pic:spPr>
                    <a:xfrm>
                      <a:off x="0" y="0"/>
                      <a:ext cx="5762625" cy="4542609"/>
                    </a:xfrm>
                    <a:prstGeom prst="rect">
                      <a:avLst/>
                    </a:prstGeom>
                  </pic:spPr>
                </pic:pic>
              </a:graphicData>
            </a:graphic>
          </wp:inline>
        </w:drawing>
      </w:r>
    </w:p>
    <w:p w14:paraId="7047CF44" w14:textId="77777777" w:rsidR="004F54E6" w:rsidRDefault="004F54E6" w:rsidP="004F54E6">
      <w:pPr>
        <w:pStyle w:val="USWhiteSpaceAfterTable"/>
      </w:pPr>
    </w:p>
    <w:p w14:paraId="450EFF3C" w14:textId="6EEF6021" w:rsidR="029F9F1F" w:rsidRDefault="029F9F1F" w:rsidP="1A022921">
      <w:pPr>
        <w:pStyle w:val="Heading3"/>
      </w:pPr>
      <w:bookmarkStart w:id="24" w:name="_Toc241658017"/>
      <w:r>
        <w:t>Trigger and wider context of review</w:t>
      </w:r>
      <w:bookmarkEnd w:id="24"/>
    </w:p>
    <w:p w14:paraId="2BA78A04" w14:textId="7FFEDFD0" w:rsidR="00F8040A" w:rsidRPr="000234D9" w:rsidRDefault="16B649FE" w:rsidP="00D27FBB">
      <w:pPr>
        <w:pStyle w:val="Heading5"/>
      </w:pPr>
      <w:bookmarkStart w:id="25" w:name="_Toc223239199"/>
      <w:r>
        <w:t xml:space="preserve">Changes in </w:t>
      </w:r>
      <w:r w:rsidR="5B09ED61">
        <w:t>the Standards for the Teaching Profession</w:t>
      </w:r>
      <w:r>
        <w:t xml:space="preserve"> provide a specific trigger to reconsider the </w:t>
      </w:r>
      <w:r w:rsidR="0960D603">
        <w:t xml:space="preserve">ITE Programme </w:t>
      </w:r>
      <w:r>
        <w:t>Requirements, in the context of wider imperatives to evolve ITE to better equip graduate teachers.</w:t>
      </w:r>
      <w:bookmarkEnd w:id="25"/>
    </w:p>
    <w:p w14:paraId="5566796B" w14:textId="426224FC" w:rsidR="00F8040A" w:rsidRDefault="557CD7FB" w:rsidP="00F8040A">
      <w:pPr>
        <w:pStyle w:val="USBodyText"/>
      </w:pPr>
      <w:r>
        <w:t xml:space="preserve">The introduction of the 2026 Standards </w:t>
      </w:r>
      <w:r w:rsidR="7D433965">
        <w:t>for the Teaching Profession</w:t>
      </w:r>
      <w:r>
        <w:t xml:space="preserve"> represents a material shift in what is expected of teachers and necessitates </w:t>
      </w:r>
      <w:r w:rsidR="3E748A26">
        <w:t>consideration of whether</w:t>
      </w:r>
      <w:r>
        <w:t xml:space="preserve"> the </w:t>
      </w:r>
      <w:r w:rsidR="0960D603">
        <w:t xml:space="preserve">ITE Programme </w:t>
      </w:r>
      <w:r>
        <w:t>Requirements</w:t>
      </w:r>
      <w:r w:rsidR="5A102C79">
        <w:t xml:space="preserve"> are still fit for purpose</w:t>
      </w:r>
      <w:r>
        <w:t xml:space="preserve">. Because the </w:t>
      </w:r>
      <w:r w:rsidR="0960D603">
        <w:t xml:space="preserve">ITE Programme </w:t>
      </w:r>
      <w:r>
        <w:t xml:space="preserve">Requirements are directly anchored to </w:t>
      </w:r>
      <w:r w:rsidR="5B09ED61">
        <w:t>the Standards for the Teaching Profession</w:t>
      </w:r>
      <w:r>
        <w:t>, there is</w:t>
      </w:r>
      <w:r w:rsidR="582AF82E">
        <w:t xml:space="preserve"> an</w:t>
      </w:r>
      <w:r>
        <w:t xml:space="preserve"> immediate and direct need to review and update the </w:t>
      </w:r>
      <w:r w:rsidR="0960D603">
        <w:t xml:space="preserve">ITE Programme </w:t>
      </w:r>
      <w:r>
        <w:t>Requirements so they continue to give effect to what is expected of beginning teachers when they enter the profession.</w:t>
      </w:r>
      <w:r w:rsidR="09AAF32C">
        <w:t xml:space="preserve"> </w:t>
      </w:r>
    </w:p>
    <w:p w14:paraId="3B3B446F" w14:textId="2A2B3F57" w:rsidR="00F8040A" w:rsidRDefault="00F8040A" w:rsidP="00F8040A">
      <w:pPr>
        <w:pStyle w:val="USBodyText"/>
        <w:rPr>
          <w:color w:val="000000"/>
        </w:rPr>
      </w:pPr>
      <w:r w:rsidRPr="65C5DE98">
        <w:rPr>
          <w:color w:val="000000" w:themeColor="text1"/>
        </w:rPr>
        <w:lastRenderedPageBreak/>
        <w:t xml:space="preserve">The current approach gives providers substantial discretion in how they interpret and operationalise </w:t>
      </w:r>
      <w:r w:rsidR="00C702BB" w:rsidRPr="65C5DE98">
        <w:rPr>
          <w:color w:val="000000" w:themeColor="text1"/>
        </w:rPr>
        <w:t>the Standards for the Teaching Profession</w:t>
      </w:r>
      <w:r w:rsidRPr="65C5DE98">
        <w:rPr>
          <w:color w:val="000000" w:themeColor="text1"/>
        </w:rPr>
        <w:t xml:space="preserve">. While this supports diversity and contextualisation, four interlinked reasons point to the need for the </w:t>
      </w:r>
      <w:r w:rsidR="242530F1" w:rsidRPr="65C5DE98">
        <w:rPr>
          <w:color w:val="000000" w:themeColor="text1"/>
        </w:rPr>
        <w:t xml:space="preserve">ITE Programme </w:t>
      </w:r>
      <w:r w:rsidRPr="65C5DE98">
        <w:rPr>
          <w:color w:val="000000" w:themeColor="text1"/>
        </w:rPr>
        <w:t xml:space="preserve">Requirements to provide a clearer and more consistent foundation for teacher preparation and how </w:t>
      </w:r>
      <w:r w:rsidR="00C702BB" w:rsidRPr="65C5DE98">
        <w:rPr>
          <w:color w:val="000000" w:themeColor="text1"/>
        </w:rPr>
        <w:t>the Standards for the Teaching Profession</w:t>
      </w:r>
      <w:r>
        <w:t xml:space="preserve"> </w:t>
      </w:r>
      <w:r w:rsidRPr="65C5DE98">
        <w:rPr>
          <w:color w:val="000000" w:themeColor="text1"/>
        </w:rPr>
        <w:t>are reflected in ITE.</w:t>
      </w:r>
    </w:p>
    <w:p w14:paraId="6BBD32A2" w14:textId="179F696B" w:rsidR="00F8040A" w:rsidRPr="00E71F47" w:rsidRDefault="16B649FE">
      <w:pPr>
        <w:pStyle w:val="Heading5"/>
        <w:numPr>
          <w:ilvl w:val="0"/>
          <w:numId w:val="26"/>
        </w:numPr>
        <w:ind w:left="360"/>
        <w:rPr>
          <w:lang w:eastAsia="en-GB"/>
        </w:rPr>
      </w:pPr>
      <w:bookmarkStart w:id="26" w:name="_Toc741241424"/>
      <w:r>
        <w:t>There is a strong imperative to improve teacher preparedness to contribute to improving student outcomes.</w:t>
      </w:r>
      <w:bookmarkEnd w:id="26"/>
    </w:p>
    <w:p w14:paraId="544C68A9" w14:textId="1A461501" w:rsidR="00F8040A" w:rsidRPr="00F8040A" w:rsidRDefault="16B649FE" w:rsidP="00F8040A">
      <w:pPr>
        <w:pStyle w:val="USBodyText"/>
      </w:pPr>
      <w:r>
        <w:t>Inequity in student outcomes remains a persistent challenge in Aotearoa New Zealand, particularly in literacy and numeracy. Māori and P</w:t>
      </w:r>
      <w:r w:rsidR="41B000D1">
        <w:t xml:space="preserve">asifika </w:t>
      </w:r>
      <w:r>
        <w:t>learners, and learners from lower socioeconomic backgrounds, continue to experience poorer outcomes on many measures.</w:t>
      </w:r>
    </w:p>
    <w:p w14:paraId="12580652" w14:textId="561EC1E8" w:rsidR="00F8040A" w:rsidRPr="00F8040A" w:rsidRDefault="00F8040A" w:rsidP="00F8040A">
      <w:pPr>
        <w:pStyle w:val="USBodyText"/>
      </w:pPr>
      <w:r w:rsidRPr="00F57946">
        <w:t>There is strong evidence that the quality of teaching is a critical in-system influence on learner outcomes across both early learning and school settings.</w:t>
      </w:r>
      <w:r w:rsidR="002A02DD" w:rsidRPr="00F57946">
        <w:rPr>
          <w:rStyle w:val="FootnoteReference"/>
        </w:rPr>
        <w:footnoteReference w:id="3"/>
      </w:r>
      <w:r w:rsidR="00F65692">
        <w:t xml:space="preserve"> </w:t>
      </w:r>
    </w:p>
    <w:p w14:paraId="55F732FB" w14:textId="5B868426" w:rsidR="00F8040A" w:rsidRPr="00F8040A" w:rsidRDefault="00F8040A" w:rsidP="00F8040A">
      <w:pPr>
        <w:pStyle w:val="USBodyText"/>
      </w:pPr>
      <w:r>
        <w:t>While teacher quality is influenced by many factors, ITE plays a crucial role in equipping beginning teachers with the knowledge, practices</w:t>
      </w:r>
      <w:r w:rsidR="003C4E28">
        <w:t xml:space="preserve"> and capabilities</w:t>
      </w:r>
      <w:r>
        <w:t xml:space="preserve"> they need on entry to the profession. ITE is where expectations of practice are first established and where teachers develop the core capabilities that underpin their future development.</w:t>
      </w:r>
    </w:p>
    <w:p w14:paraId="076BB40F" w14:textId="2A589850" w:rsidR="00F8040A" w:rsidRPr="009926CA" w:rsidRDefault="16B649FE">
      <w:pPr>
        <w:pStyle w:val="Heading5"/>
        <w:numPr>
          <w:ilvl w:val="0"/>
          <w:numId w:val="26"/>
        </w:numPr>
        <w:ind w:left="360"/>
        <w:rPr>
          <w:lang w:eastAsia="en-GB"/>
        </w:rPr>
      </w:pPr>
      <w:bookmarkStart w:id="27" w:name="_Toc75282407"/>
      <w:r>
        <w:t>Beginning teacher preparedness is inconsistent, and variation in ITE provision likely contributes to this.</w:t>
      </w:r>
      <w:bookmarkEnd w:id="27"/>
    </w:p>
    <w:p w14:paraId="49E75401" w14:textId="77777777" w:rsidR="00F8040A" w:rsidRPr="00F8040A" w:rsidRDefault="00F8040A" w:rsidP="00F8040A">
      <w:pPr>
        <w:pStyle w:val="USBodyText"/>
      </w:pPr>
      <w:r w:rsidRPr="00F8040A">
        <w:t>Recent evidence indicates that a significant proportion of new teachers enter the profession feeling underprepared, including in areas such as behaviour management, assessment, adapting teaching for different learners, and engagement with parents and whānau.</w:t>
      </w:r>
    </w:p>
    <w:p w14:paraId="4A8E78D0" w14:textId="49AFBCDE" w:rsidR="00F8040A" w:rsidRPr="00F8040A" w:rsidRDefault="00D024AC" w:rsidP="00F8040A">
      <w:pPr>
        <w:pStyle w:val="USBodyText"/>
      </w:pPr>
      <w:r w:rsidRPr="00F57946">
        <w:t>T</w:t>
      </w:r>
      <w:r w:rsidR="000E1D0B" w:rsidRPr="00F57946">
        <w:t xml:space="preserve">here are </w:t>
      </w:r>
      <w:r w:rsidR="00AD7DFF" w:rsidRPr="00F57946">
        <w:t xml:space="preserve">some </w:t>
      </w:r>
      <w:r w:rsidR="000E1D0B" w:rsidRPr="00F57946">
        <w:t>great</w:t>
      </w:r>
      <w:r w:rsidR="00C86581" w:rsidRPr="00F57946">
        <w:t xml:space="preserve"> teacher education programs nationwide</w:t>
      </w:r>
      <w:r w:rsidRPr="00F57946">
        <w:t xml:space="preserve">, </w:t>
      </w:r>
      <w:r w:rsidR="00C86581" w:rsidRPr="00F57946">
        <w:t>and many graduates from these programs have made fine starts to their careers as teacher</w:t>
      </w:r>
      <w:r w:rsidRPr="00F57946">
        <w:t xml:space="preserve">. However </w:t>
      </w:r>
      <w:r w:rsidR="000E1D0B" w:rsidRPr="00F57946">
        <w:t>p</w:t>
      </w:r>
      <w:r w:rsidR="00F8040A" w:rsidRPr="00F57946">
        <w:t>reparedness appears to vary depending on where graduates studied</w:t>
      </w:r>
      <w:r w:rsidR="000E1D0B" w:rsidRPr="00F57946">
        <w:t>. This suggests</w:t>
      </w:r>
      <w:r w:rsidR="00F8040A" w:rsidRPr="00F57946">
        <w:t xml:space="preserve"> that</w:t>
      </w:r>
      <w:r w:rsidR="00F8040A">
        <w:t xml:space="preserve"> the </w:t>
      </w:r>
      <w:r w:rsidR="7B9B9606">
        <w:t>current ITE Programme Requirements</w:t>
      </w:r>
      <w:r w:rsidR="00F8040A">
        <w:t xml:space="preserve"> do not provide a sufficiently clear and shared foundation for graduate readiness across providers.</w:t>
      </w:r>
    </w:p>
    <w:p w14:paraId="56BDA438" w14:textId="04C2D02D" w:rsidR="00F8040A" w:rsidRPr="009926CA" w:rsidRDefault="16B649FE">
      <w:pPr>
        <w:pStyle w:val="Heading5"/>
        <w:numPr>
          <w:ilvl w:val="0"/>
          <w:numId w:val="26"/>
        </w:numPr>
        <w:ind w:left="360"/>
        <w:rPr>
          <w:lang w:eastAsia="en-GB"/>
        </w:rPr>
      </w:pPr>
      <w:bookmarkStart w:id="28" w:name="_Toc1908591149"/>
      <w:r>
        <w:t>There is a stronger evidence base about effective teaching, and all student teachers should benefit from it.</w:t>
      </w:r>
      <w:bookmarkEnd w:id="28"/>
    </w:p>
    <w:p w14:paraId="4451DE52" w14:textId="2D8FB642" w:rsidR="00F8040A" w:rsidRPr="00F8040A" w:rsidRDefault="00F8040A" w:rsidP="00F8040A">
      <w:pPr>
        <w:pStyle w:val="USBodyText"/>
      </w:pPr>
      <w:r>
        <w:t xml:space="preserve">The evidence base on the teaching practices that best support learning and development across early learning, schools and kura has strengthened considerably. Under the current </w:t>
      </w:r>
      <w:r w:rsidR="1795E3D6">
        <w:t xml:space="preserve">ITE Programme </w:t>
      </w:r>
      <w:r>
        <w:t xml:space="preserve">Requirements, decisions about whether and how this evidence is translated into ITE programme content largely rests with individual providers. A stronger shared foundation would help ensure all </w:t>
      </w:r>
      <w:r>
        <w:lastRenderedPageBreak/>
        <w:t>student teachers engage with the best available evidence about effective teaching, while still allowing providers to apply professional judgement in programme design.</w:t>
      </w:r>
    </w:p>
    <w:p w14:paraId="13CAD1CC" w14:textId="5AAC750D" w:rsidR="00F8040A" w:rsidRPr="00653D4A" w:rsidRDefault="16B649FE">
      <w:pPr>
        <w:pStyle w:val="Heading5"/>
        <w:numPr>
          <w:ilvl w:val="0"/>
          <w:numId w:val="26"/>
        </w:numPr>
        <w:ind w:left="360"/>
        <w:rPr>
          <w:lang w:eastAsia="en-GB"/>
        </w:rPr>
      </w:pPr>
      <w:bookmarkStart w:id="29" w:name="_Toc617046642"/>
      <w:r>
        <w:t>Significant reforms across the education system are reshaping the context in which ITE programmes operate.</w:t>
      </w:r>
      <w:bookmarkEnd w:id="29"/>
      <w:r w:rsidR="00F8040A">
        <w:t xml:space="preserve"> </w:t>
      </w:r>
    </w:p>
    <w:p w14:paraId="66DF4910" w14:textId="1360EB9B" w:rsidR="00F8040A" w:rsidRPr="00F8040A" w:rsidRDefault="00F8040A" w:rsidP="00F8040A">
      <w:pPr>
        <w:pStyle w:val="USBodyText"/>
      </w:pPr>
      <w:r>
        <w:t xml:space="preserve">Wider reforms in education, including to curriculum and child safety obligations, are changing the expectations placed on beginning teachers and the environment graduates will enter. It would be neither fair nor efficient to place the onus on individual providers to interpret these system-level changes independently. The </w:t>
      </w:r>
      <w:r w:rsidR="0FD47E31">
        <w:t xml:space="preserve">ITE Programme </w:t>
      </w:r>
      <w:r>
        <w:t>Requirements have an important role in keeping ITE programmes aligned with evolving system expectations and ensuring a consistent understanding of how those expectations should be reflected in teacher preparation.</w:t>
      </w:r>
    </w:p>
    <w:p w14:paraId="1F02CF5E" w14:textId="0F04E071" w:rsidR="00F8040A" w:rsidRPr="007A6DCA" w:rsidRDefault="00F8040A" w:rsidP="007A6DCA">
      <w:pPr>
        <w:pStyle w:val="Heading3"/>
      </w:pPr>
      <w:bookmarkStart w:id="30" w:name="_Toc234512854"/>
      <w:bookmarkStart w:id="31" w:name="_Toc236686010"/>
      <w:bookmarkStart w:id="32" w:name="_Toc241658018"/>
      <w:r>
        <w:t>Opportunities for improvement</w:t>
      </w:r>
      <w:bookmarkEnd w:id="30"/>
      <w:bookmarkEnd w:id="31"/>
      <w:bookmarkEnd w:id="32"/>
    </w:p>
    <w:p w14:paraId="49DA19D9" w14:textId="7B373533" w:rsidR="00F8040A" w:rsidRPr="00F8040A" w:rsidRDefault="00F8040A" w:rsidP="00406C02">
      <w:pPr>
        <w:pStyle w:val="USBodyText"/>
        <w:spacing w:after="60"/>
      </w:pPr>
      <w:bookmarkStart w:id="33" w:name="_Toc234493696"/>
      <w:r>
        <w:t>The</w:t>
      </w:r>
      <w:r w:rsidR="4AA3D008">
        <w:t xml:space="preserve">se challenges </w:t>
      </w:r>
      <w:r>
        <w:t xml:space="preserve">point to the need for the </w:t>
      </w:r>
      <w:r w:rsidR="242530F1">
        <w:t xml:space="preserve">ITE Programme </w:t>
      </w:r>
      <w:r>
        <w:t xml:space="preserve">Requirements to provide a clearer, more consistent and higher-quality foundation for teacher preparation. In identifying opportunities to strengthen the </w:t>
      </w:r>
      <w:r w:rsidR="242530F1">
        <w:t xml:space="preserve">ITE Programme </w:t>
      </w:r>
      <w:r>
        <w:t>Requirements, we have been guided by f</w:t>
      </w:r>
      <w:r w:rsidR="6ABCCB1E">
        <w:t>ive</w:t>
      </w:r>
      <w:r>
        <w:t xml:space="preserve"> principles:</w:t>
      </w:r>
    </w:p>
    <w:bookmarkEnd w:id="33"/>
    <w:p w14:paraId="1288BFEF" w14:textId="77777777" w:rsidR="000B1CBD" w:rsidRDefault="00F8040A" w:rsidP="00F8040A">
      <w:pPr>
        <w:pStyle w:val="USBullet1"/>
      </w:pPr>
      <w:r w:rsidRPr="2F2DCFD8">
        <w:rPr>
          <w:b/>
          <w:bCs/>
        </w:rPr>
        <w:t xml:space="preserve">Aligning with </w:t>
      </w:r>
      <w:r w:rsidR="7AD91A4D" w:rsidRPr="2F2DCFD8">
        <w:rPr>
          <w:b/>
          <w:bCs/>
        </w:rPr>
        <w:t>contemporary evidence about effective teaching</w:t>
      </w:r>
      <w:r w:rsidRPr="2F2DCFD8">
        <w:rPr>
          <w:b/>
          <w:bCs/>
        </w:rPr>
        <w:t>.</w:t>
      </w:r>
      <w:r>
        <w:t xml:space="preserve"> </w:t>
      </w:r>
      <w:r w:rsidR="186A6537">
        <w:t>The ITE Programme Requirements</w:t>
      </w:r>
      <w:r>
        <w:t xml:space="preserve"> should reflect contemporary evidence about effective teaching and </w:t>
      </w:r>
      <w:r w:rsidR="374049EE">
        <w:t>professional knowledge regarding what beginning teachers should know and do, while recognising that evidence should be understood broadly and appropriately.</w:t>
      </w:r>
    </w:p>
    <w:p w14:paraId="5C2357DB" w14:textId="5F0D0BC0" w:rsidR="00F8040A" w:rsidRDefault="00F8040A" w:rsidP="00F8040A">
      <w:pPr>
        <w:pStyle w:val="USBullet1"/>
      </w:pPr>
      <w:r w:rsidRPr="2F2DCFD8">
        <w:rPr>
          <w:b/>
          <w:bCs/>
        </w:rPr>
        <w:t>Responding to the Aotearoa New Zealand context with a genuine commitment to te ao Māori.</w:t>
      </w:r>
      <w:r>
        <w:t xml:space="preserve"> </w:t>
      </w:r>
      <w:r w:rsidR="52EC31D2">
        <w:t>The ITE Programme Requirements</w:t>
      </w:r>
      <w:r>
        <w:t xml:space="preserve"> should establish clear expectations that all graduates </w:t>
      </w:r>
      <w:r w:rsidR="0063007B">
        <w:t>demonstrate capability</w:t>
      </w:r>
      <w:r>
        <w:t xml:space="preserve"> to honour Te Tiriti o Waitangi in practice, engage authentically with te ao Māori, and contribute to educational success for Māori as Māori.</w:t>
      </w:r>
    </w:p>
    <w:p w14:paraId="52EE59CE" w14:textId="0D3815FD" w:rsidR="00F8040A" w:rsidRDefault="00F8040A" w:rsidP="00F8040A">
      <w:pPr>
        <w:pStyle w:val="USBullet1"/>
      </w:pPr>
      <w:r w:rsidRPr="5A2E9B17">
        <w:rPr>
          <w:b/>
          <w:bCs/>
        </w:rPr>
        <w:t>Ensuring ITE recognises the diversity of learners.</w:t>
      </w:r>
      <w:r>
        <w:t xml:space="preserve"> </w:t>
      </w:r>
      <w:r w:rsidR="56E9F962">
        <w:t>The ITE Programme Requirements</w:t>
      </w:r>
      <w:r>
        <w:t xml:space="preserve"> should ensure beginning teachers are prepared to work effectively with learners who bring different identities, languages, cultures, experiences</w:t>
      </w:r>
      <w:r w:rsidR="19FDEAC1">
        <w:t>, abilities</w:t>
      </w:r>
      <w:r>
        <w:t xml:space="preserve"> and learning needs.</w:t>
      </w:r>
    </w:p>
    <w:p w14:paraId="1CF8073C" w14:textId="1352B777" w:rsidR="00F8040A" w:rsidRDefault="00F8040A" w:rsidP="00F8040A">
      <w:pPr>
        <w:pStyle w:val="USBullet1"/>
      </w:pPr>
      <w:r w:rsidRPr="65C5DE98">
        <w:rPr>
          <w:b/>
          <w:bCs/>
        </w:rPr>
        <w:t>Balancing programme consistency with contextualisation.</w:t>
      </w:r>
      <w:r>
        <w:t xml:space="preserve"> </w:t>
      </w:r>
      <w:r w:rsidR="56E9F962">
        <w:t>The ITE Programme Requirements</w:t>
      </w:r>
      <w:r>
        <w:t xml:space="preserve"> should provide greater clarity about the core capabilities expected of all graduates while preserving flexibility for providers to design programmes that respond to their contexts, learners and partnerships.</w:t>
      </w:r>
    </w:p>
    <w:p w14:paraId="58F0E72C" w14:textId="1AFBCA0F" w:rsidR="3C66A745" w:rsidRDefault="3C66A745" w:rsidP="00406C02">
      <w:pPr>
        <w:pStyle w:val="USBullet1"/>
        <w:spacing w:after="180"/>
      </w:pPr>
      <w:r w:rsidRPr="65C5DE98">
        <w:rPr>
          <w:b/>
          <w:bCs/>
        </w:rPr>
        <w:t xml:space="preserve">Applying good regulatory practice. </w:t>
      </w:r>
      <w:r w:rsidR="29640224">
        <w:t>The ITE Programme Requirements</w:t>
      </w:r>
      <w:r w:rsidR="09EFD885">
        <w:t xml:space="preserve"> should reflect good regulatory practice by providing clear and consistent expectations, remaining proportionate to the risks being managed and focusing on areas where regulation can most effectively contribute to improved outcomes. </w:t>
      </w:r>
    </w:p>
    <w:p w14:paraId="723A42A4" w14:textId="5750C6EE" w:rsidR="00F8040A" w:rsidRDefault="00F8040A" w:rsidP="00F8040A">
      <w:pPr>
        <w:pStyle w:val="USBodyText"/>
      </w:pPr>
      <w:r>
        <w:t xml:space="preserve">Together, the </w:t>
      </w:r>
      <w:r w:rsidR="001510CC">
        <w:t>trigger for this review, the wider context</w:t>
      </w:r>
      <w:r>
        <w:t xml:space="preserve"> and these principles suggest the </w:t>
      </w:r>
      <w:r w:rsidR="242530F1">
        <w:t xml:space="preserve">ITE Programme </w:t>
      </w:r>
      <w:r>
        <w:t xml:space="preserve">Requirements should move beyond broad expectations for programme design and delivery and play a stronger role in defining the essential elements of high-quality ITE, the capabilities </w:t>
      </w:r>
      <w:r>
        <w:lastRenderedPageBreak/>
        <w:t>expected of graduates, and the assurance mechanisms needed to support confidence across the system.</w:t>
      </w:r>
    </w:p>
    <w:p w14:paraId="401B701C" w14:textId="2F76F4EE" w:rsidR="00F8040A" w:rsidRPr="007A6DCA" w:rsidRDefault="00F8040A" w:rsidP="007A6DCA">
      <w:pPr>
        <w:pStyle w:val="Heading3"/>
      </w:pPr>
      <w:bookmarkStart w:id="34" w:name="_Toc234512855"/>
      <w:bookmarkStart w:id="35" w:name="_Toc236686011"/>
      <w:bookmarkStart w:id="36" w:name="_Toc241658019"/>
      <w:r>
        <w:t xml:space="preserve">Opportunities to improve the </w:t>
      </w:r>
      <w:r w:rsidR="242530F1">
        <w:t xml:space="preserve">ITE Programme </w:t>
      </w:r>
      <w:r>
        <w:t>Requirements</w:t>
      </w:r>
      <w:bookmarkEnd w:id="34"/>
      <w:bookmarkEnd w:id="35"/>
      <w:bookmarkEnd w:id="36"/>
    </w:p>
    <w:p w14:paraId="77A8B69D" w14:textId="0A070FD4" w:rsidR="00F8040A" w:rsidRDefault="00F8040A" w:rsidP="00F8040A">
      <w:pPr>
        <w:pStyle w:val="USBodyText"/>
        <w:rPr>
          <w:lang w:eastAsia="en-GB"/>
        </w:rPr>
      </w:pPr>
      <w:r>
        <w:t xml:space="preserve">We have identified nine opportunities to improve the </w:t>
      </w:r>
      <w:r w:rsidR="242530F1">
        <w:t xml:space="preserve">ITE Programme </w:t>
      </w:r>
      <w:r>
        <w:t xml:space="preserve">Requirements. Together, these are intended to strengthen the coherence, quality, consistency and assurance of ITE across Aotearoa New Zealand. The opportunities identify areas where the </w:t>
      </w:r>
      <w:r w:rsidR="242530F1">
        <w:t xml:space="preserve">ITE Programme </w:t>
      </w:r>
      <w:r>
        <w:t>Requirements could be strengthened, recognising that further design work, specialist advice, sector engagement and implementation planning will be required before changes are progressed.</w:t>
      </w:r>
    </w:p>
    <w:p w14:paraId="1E729A13" w14:textId="0FF87214" w:rsidR="00F8040A" w:rsidRDefault="16B649FE" w:rsidP="045E5A3E">
      <w:pPr>
        <w:pStyle w:val="Heading4"/>
        <w:rPr>
          <w:lang w:eastAsia="en-GB"/>
        </w:rPr>
      </w:pPr>
      <w:bookmarkStart w:id="37" w:name="_Toc1872978426"/>
      <w:r>
        <w:t>Improving programme design</w:t>
      </w:r>
      <w:bookmarkEnd w:id="37"/>
    </w:p>
    <w:p w14:paraId="2D8D9A41" w14:textId="77777777" w:rsidR="00F8040A" w:rsidRDefault="00F8040A" w:rsidP="008E3AAC">
      <w:pPr>
        <w:pStyle w:val="USBodyText"/>
        <w:spacing w:after="240"/>
      </w:pPr>
      <w:r>
        <w:t xml:space="preserve">The first group of opportunities focuses on how ITE programmes are designed. These opportunities seek to strengthen the foundations of programme </w:t>
      </w:r>
      <w:bookmarkStart w:id="38" w:name="_Int_ZdZ1KtUi"/>
      <w:r>
        <w:t>coherence,</w:t>
      </w:r>
      <w:bookmarkEnd w:id="38"/>
      <w:r>
        <w:t xml:space="preserve"> evidence use and staff capability. Together, they would make clearer how programmes should be deliberately designed to develop graduate readiness, without prescribing a single model of ITE.</w:t>
      </w:r>
    </w:p>
    <w:tbl>
      <w:tblPr>
        <w:tblStyle w:val="TableDefault"/>
        <w:tblW w:w="9070" w:type="dxa"/>
        <w:tblLook w:val="04A0" w:firstRow="1" w:lastRow="0" w:firstColumn="1" w:lastColumn="0" w:noHBand="0" w:noVBand="1"/>
      </w:tblPr>
      <w:tblGrid>
        <w:gridCol w:w="1814"/>
        <w:gridCol w:w="3798"/>
        <w:gridCol w:w="3458"/>
      </w:tblGrid>
      <w:tr w:rsidR="00F8040A" w:rsidRPr="00F8040A" w14:paraId="3CC2A1E8" w14:textId="77777777" w:rsidTr="6D898266">
        <w:trPr>
          <w:cnfStyle w:val="100000000000" w:firstRow="1" w:lastRow="0" w:firstColumn="0" w:lastColumn="0" w:oddVBand="0" w:evenVBand="0" w:oddHBand="0" w:evenHBand="0" w:firstRowFirstColumn="0" w:firstRowLastColumn="0" w:lastRowFirstColumn="0" w:lastRowLastColumn="0"/>
          <w:trHeight w:val="77"/>
        </w:trPr>
        <w:tc>
          <w:tcPr>
            <w:tcW w:w="1814" w:type="dxa"/>
            <w:hideMark/>
          </w:tcPr>
          <w:p w14:paraId="6544AED1" w14:textId="77777777" w:rsidR="00F8040A" w:rsidRPr="00F8040A" w:rsidRDefault="00F8040A" w:rsidP="007E12CC">
            <w:pPr>
              <w:pStyle w:val="TSTableHeading"/>
              <w:rPr>
                <w:lang w:val="en-AU"/>
              </w:rPr>
            </w:pPr>
            <w:r w:rsidRPr="00F8040A">
              <w:rPr>
                <w:lang w:val="en-AU"/>
              </w:rPr>
              <w:t>Opportunity</w:t>
            </w:r>
          </w:p>
        </w:tc>
        <w:tc>
          <w:tcPr>
            <w:tcW w:w="3798" w:type="dxa"/>
            <w:hideMark/>
          </w:tcPr>
          <w:p w14:paraId="16F383EF" w14:textId="77777777" w:rsidR="00F8040A" w:rsidRPr="00F8040A" w:rsidRDefault="00F8040A" w:rsidP="007E12CC">
            <w:pPr>
              <w:pStyle w:val="TSTableHeading"/>
              <w:rPr>
                <w:lang w:val="en-AU"/>
              </w:rPr>
            </w:pPr>
            <w:r w:rsidRPr="00F8040A">
              <w:rPr>
                <w:lang w:val="en-AU"/>
              </w:rPr>
              <w:t>What this means</w:t>
            </w:r>
          </w:p>
        </w:tc>
        <w:tc>
          <w:tcPr>
            <w:tcW w:w="3458" w:type="dxa"/>
            <w:hideMark/>
          </w:tcPr>
          <w:p w14:paraId="171932E8" w14:textId="77777777" w:rsidR="00F8040A" w:rsidRPr="00F8040A" w:rsidRDefault="00F8040A" w:rsidP="007E12CC">
            <w:pPr>
              <w:pStyle w:val="TSTableHeading"/>
              <w:rPr>
                <w:lang w:val="en-AU"/>
              </w:rPr>
            </w:pPr>
            <w:r w:rsidRPr="00F8040A">
              <w:rPr>
                <w:lang w:val="en-AU"/>
              </w:rPr>
              <w:t>How this improves ITE</w:t>
            </w:r>
          </w:p>
        </w:tc>
      </w:tr>
      <w:tr w:rsidR="00F8040A" w:rsidRPr="00F8040A" w14:paraId="5635F480" w14:textId="77777777" w:rsidTr="6D898266">
        <w:tc>
          <w:tcPr>
            <w:tcW w:w="1814" w:type="dxa"/>
            <w:shd w:val="clear" w:color="auto" w:fill="DBECEC" w:themeFill="accent2" w:themeFillTint="33"/>
            <w:hideMark/>
          </w:tcPr>
          <w:p w14:paraId="11CA20E5" w14:textId="77777777" w:rsidR="00F8040A" w:rsidRPr="00F8040A" w:rsidRDefault="00F8040A" w:rsidP="007E12CC">
            <w:pPr>
              <w:pStyle w:val="TSBodyHeading"/>
              <w:rPr>
                <w:lang w:val="en-AU"/>
              </w:rPr>
            </w:pPr>
            <w:r w:rsidRPr="00F8040A">
              <w:rPr>
                <w:lang w:val="en-AU"/>
              </w:rPr>
              <w:t>Clarify what constitutes evidence, and how it should inform programme design.</w:t>
            </w:r>
          </w:p>
        </w:tc>
        <w:tc>
          <w:tcPr>
            <w:tcW w:w="3798" w:type="dxa"/>
            <w:hideMark/>
          </w:tcPr>
          <w:p w14:paraId="125C9BFB" w14:textId="6C9DE026" w:rsidR="00F8040A" w:rsidRPr="00F8040A" w:rsidRDefault="7EC268B8" w:rsidP="007E12CC">
            <w:pPr>
              <w:pStyle w:val="TSOtherBodyText"/>
              <w:rPr>
                <w:lang w:val="en-AU"/>
              </w:rPr>
            </w:pPr>
            <w:r w:rsidRPr="6D898266">
              <w:rPr>
                <w:lang w:val="en-AU"/>
              </w:rPr>
              <w:t>The ITE Programme Requirements</w:t>
            </w:r>
            <w:r w:rsidR="00F8040A" w:rsidRPr="6D898266">
              <w:rPr>
                <w:lang w:val="en-AU"/>
              </w:rPr>
              <w:t xml:space="preserve"> </w:t>
            </w:r>
            <w:r w:rsidR="442D51B8" w:rsidRPr="6D898266">
              <w:rPr>
                <w:lang w:val="en-AU"/>
              </w:rPr>
              <w:t>could define more clearly how evidence should inform ITE. This would distinguish between the stronger evidence regarding effective teaching and the less settled evidence based regarding specific ITE programme models. It would establish clearer expectations that all teachers engage with e</w:t>
            </w:r>
            <w:r w:rsidR="55CB7FAF" w:rsidRPr="6D898266">
              <w:rPr>
                <w:lang w:val="en-AU"/>
              </w:rPr>
              <w:t>videnc</w:t>
            </w:r>
            <w:r w:rsidR="42D92DBF" w:rsidRPr="6D898266">
              <w:rPr>
                <w:lang w:val="en-AU"/>
              </w:rPr>
              <w:t>e-</w:t>
            </w:r>
            <w:r w:rsidR="55CB7FAF" w:rsidRPr="6D898266">
              <w:rPr>
                <w:lang w:val="en-AU"/>
              </w:rPr>
              <w:t>informed teacher practices.</w:t>
            </w:r>
            <w:r w:rsidR="0E2CF0DF" w:rsidRPr="6D898266">
              <w:rPr>
                <w:lang w:val="en-AU"/>
              </w:rPr>
              <w:footnoteReference w:id="4"/>
            </w:r>
          </w:p>
        </w:tc>
        <w:tc>
          <w:tcPr>
            <w:tcW w:w="3458" w:type="dxa"/>
            <w:hideMark/>
          </w:tcPr>
          <w:p w14:paraId="05D894CC" w14:textId="77777777" w:rsidR="00F8040A" w:rsidRPr="00F8040A" w:rsidRDefault="00F8040A" w:rsidP="002D3AE1">
            <w:pPr>
              <w:pStyle w:val="TSBullet1"/>
            </w:pPr>
            <w:r w:rsidRPr="00F8040A">
              <w:t>Makes the expectation that programmes are evidence-informed more meaningful and consistent.</w:t>
            </w:r>
          </w:p>
          <w:p w14:paraId="60D11AD1" w14:textId="77777777" w:rsidR="00F8040A" w:rsidRPr="00F8040A" w:rsidRDefault="00F8040A" w:rsidP="002D3AE1">
            <w:pPr>
              <w:pStyle w:val="TSBullet1"/>
            </w:pPr>
            <w:r w:rsidRPr="00F8040A">
              <w:t>Ensures all student teachers engage with robust evidence about effective teaching.</w:t>
            </w:r>
          </w:p>
          <w:p w14:paraId="50FEB36B" w14:textId="77777777" w:rsidR="00F8040A" w:rsidRPr="00F8040A" w:rsidRDefault="00F8040A" w:rsidP="002D3AE1">
            <w:pPr>
              <w:pStyle w:val="TSBullet1"/>
            </w:pPr>
            <w:r w:rsidRPr="00F8040A">
              <w:t>Creates a clearer link between programme design, content, assessment and graduate readiness.</w:t>
            </w:r>
          </w:p>
        </w:tc>
      </w:tr>
      <w:tr w:rsidR="00F8040A" w:rsidRPr="00F8040A" w14:paraId="4FED9FC8" w14:textId="77777777" w:rsidTr="6D898266">
        <w:tc>
          <w:tcPr>
            <w:tcW w:w="1814" w:type="dxa"/>
            <w:shd w:val="clear" w:color="auto" w:fill="DBECEC" w:themeFill="accent2" w:themeFillTint="33"/>
            <w:hideMark/>
          </w:tcPr>
          <w:p w14:paraId="6EF1AA2A" w14:textId="77777777" w:rsidR="00F8040A" w:rsidRPr="00F8040A" w:rsidRDefault="00F8040A" w:rsidP="007E12CC">
            <w:pPr>
              <w:pStyle w:val="TSBodyHeading"/>
              <w:rPr>
                <w:lang w:val="en-AU"/>
              </w:rPr>
            </w:pPr>
            <w:r w:rsidRPr="00F8040A">
              <w:rPr>
                <w:lang w:val="en-AU"/>
              </w:rPr>
              <w:t>Reframe staff capability away from research production.</w:t>
            </w:r>
          </w:p>
        </w:tc>
        <w:tc>
          <w:tcPr>
            <w:tcW w:w="3798" w:type="dxa"/>
            <w:hideMark/>
          </w:tcPr>
          <w:p w14:paraId="4819FB07" w14:textId="0882E343" w:rsidR="00F8040A" w:rsidRPr="00F8040A" w:rsidRDefault="5FA18012" w:rsidP="007E12CC">
            <w:pPr>
              <w:pStyle w:val="TSOtherBodyText"/>
              <w:rPr>
                <w:lang w:val="en-AU"/>
              </w:rPr>
            </w:pPr>
            <w:r w:rsidRPr="76D84600">
              <w:rPr>
                <w:lang w:val="en-AU"/>
              </w:rPr>
              <w:t>The ITE Programme Requirements</w:t>
            </w:r>
            <w:r w:rsidR="00F8040A" w:rsidRPr="76D84600">
              <w:rPr>
                <w:lang w:val="en-AU"/>
              </w:rPr>
              <w:t xml:space="preserve"> could expect that ITE staff maintain professional currency and actively engage with research evidence, but not treat research production as the default marker of staff capability. Providers could demonstrate staff capability through research activity where appropriate, but also through current professional knowledge and practice expertise, engagement with robust, practice-relevant evidence, professional learning, and ongoing engagement with schools, kura or early learning services.</w:t>
            </w:r>
          </w:p>
        </w:tc>
        <w:tc>
          <w:tcPr>
            <w:tcW w:w="3458" w:type="dxa"/>
            <w:hideMark/>
          </w:tcPr>
          <w:p w14:paraId="27C0196E" w14:textId="77777777" w:rsidR="00F8040A" w:rsidRPr="00F8040A" w:rsidRDefault="00F8040A" w:rsidP="002D3AE1">
            <w:pPr>
              <w:pStyle w:val="TSBullet1"/>
            </w:pPr>
            <w:r w:rsidRPr="00F8040A">
              <w:t>Aligns staff capability expectations with the applied purpose of ITE: preparing effective beginning teachers.</w:t>
            </w:r>
          </w:p>
          <w:p w14:paraId="0F9C5B4B" w14:textId="77777777" w:rsidR="00F8040A" w:rsidRPr="00F8040A" w:rsidRDefault="00F8040A" w:rsidP="002D3AE1">
            <w:pPr>
              <w:pStyle w:val="TSBullet1"/>
            </w:pPr>
            <w:r w:rsidRPr="00F8040A">
              <w:t>Recognises the diversity of the provider landscape.</w:t>
            </w:r>
          </w:p>
          <w:p w14:paraId="7C6706E9" w14:textId="77777777" w:rsidR="00F8040A" w:rsidRPr="00F8040A" w:rsidRDefault="00F8040A" w:rsidP="002D3AE1">
            <w:pPr>
              <w:pStyle w:val="TSBullet1"/>
            </w:pPr>
            <w:r w:rsidRPr="00F8040A">
              <w:t>Reduces disproportionate burden on non-university providers.</w:t>
            </w:r>
          </w:p>
          <w:p w14:paraId="17812177" w14:textId="77777777" w:rsidR="00F8040A" w:rsidRPr="00F8040A" w:rsidRDefault="00F8040A" w:rsidP="002D3AE1">
            <w:pPr>
              <w:pStyle w:val="TSBullet1"/>
            </w:pPr>
            <w:r w:rsidRPr="00F8040A">
              <w:t>Focuses assurance on whether staff have the expertise needed to design and deliver high-quality teacher preparation.</w:t>
            </w:r>
          </w:p>
        </w:tc>
      </w:tr>
      <w:tr w:rsidR="00F8040A" w:rsidRPr="00F8040A" w14:paraId="1583D13D" w14:textId="77777777" w:rsidTr="6D898266">
        <w:tc>
          <w:tcPr>
            <w:tcW w:w="1814" w:type="dxa"/>
            <w:shd w:val="clear" w:color="auto" w:fill="DBECEC" w:themeFill="accent2" w:themeFillTint="33"/>
            <w:hideMark/>
          </w:tcPr>
          <w:p w14:paraId="6A17956B" w14:textId="77777777" w:rsidR="00F8040A" w:rsidRPr="00F8040A" w:rsidRDefault="00F8040A" w:rsidP="007E12CC">
            <w:pPr>
              <w:pStyle w:val="TSBodyHeading"/>
              <w:rPr>
                <w:lang w:val="en-AU"/>
              </w:rPr>
            </w:pPr>
            <w:r w:rsidRPr="00F8040A">
              <w:rPr>
                <w:lang w:val="en-AU"/>
              </w:rPr>
              <w:lastRenderedPageBreak/>
              <w:t>Require programmes to articulate a coherent and complete model of progression.</w:t>
            </w:r>
          </w:p>
        </w:tc>
        <w:tc>
          <w:tcPr>
            <w:tcW w:w="3798" w:type="dxa"/>
            <w:hideMark/>
          </w:tcPr>
          <w:p w14:paraId="25CC1AF1" w14:textId="5EE6610F" w:rsidR="00F8040A" w:rsidRPr="00F8040A" w:rsidRDefault="61BCFA84" w:rsidP="007E12CC">
            <w:pPr>
              <w:pStyle w:val="TSOtherBodyText"/>
              <w:rPr>
                <w:lang w:val="en-AU"/>
              </w:rPr>
            </w:pPr>
            <w:r w:rsidRPr="76D84600">
              <w:rPr>
                <w:lang w:val="en-AU"/>
              </w:rPr>
              <w:t>The ITE Programme Requirements</w:t>
            </w:r>
            <w:r w:rsidR="00F8040A" w:rsidRPr="76D84600">
              <w:rPr>
                <w:lang w:val="en-AU"/>
              </w:rPr>
              <w:t xml:space="preserve"> could require each provider to explain how the student teacher journey is deliberately designed from entry to graduation. This model of progression would sit alongside the existing conceptual framework and show how curriculum, pedagogy, professional experience, partnerships, assessment and support structures work together to build capability over time. It would also require providers to show how programmes respond to student teacher characteristics, strengths and support needs.</w:t>
            </w:r>
          </w:p>
        </w:tc>
        <w:tc>
          <w:tcPr>
            <w:tcW w:w="3458" w:type="dxa"/>
            <w:hideMark/>
          </w:tcPr>
          <w:p w14:paraId="223246B3" w14:textId="77777777" w:rsidR="00F8040A" w:rsidRPr="00F8040A" w:rsidRDefault="00F8040A" w:rsidP="002D3AE1">
            <w:pPr>
              <w:pStyle w:val="TSBullet1"/>
            </w:pPr>
            <w:r w:rsidRPr="00F8040A">
              <w:t>Strengthens programme coherence by showing how capability develops over time.</w:t>
            </w:r>
          </w:p>
          <w:p w14:paraId="7DCF0EE0" w14:textId="77777777" w:rsidR="00F8040A" w:rsidRPr="00F8040A" w:rsidRDefault="00F8040A" w:rsidP="002D3AE1">
            <w:pPr>
              <w:pStyle w:val="TSBullet1"/>
            </w:pPr>
            <w:r w:rsidRPr="00F8040A">
              <w:t>Improves confidence that programmes are deliberately designed around the student teacher journey.</w:t>
            </w:r>
          </w:p>
          <w:p w14:paraId="0B7A9D04" w14:textId="41DAB3BD" w:rsidR="00F8040A" w:rsidRPr="00F8040A" w:rsidRDefault="00F8040A" w:rsidP="002D3AE1">
            <w:pPr>
              <w:pStyle w:val="TSBullet1"/>
            </w:pPr>
            <w:r w:rsidRPr="706324D1">
              <w:t xml:space="preserve">Shows how </w:t>
            </w:r>
            <w:r w:rsidR="00C702BB" w:rsidRPr="706324D1">
              <w:t>the Standards for the Teaching Profession</w:t>
            </w:r>
            <w:r w:rsidRPr="706324D1">
              <w:t xml:space="preserve"> are taught, practised and assessed progressively.</w:t>
            </w:r>
          </w:p>
          <w:p w14:paraId="79E65CD2" w14:textId="77777777" w:rsidR="00F8040A" w:rsidRPr="00F8040A" w:rsidRDefault="00F8040A" w:rsidP="002D3AE1">
            <w:pPr>
              <w:pStyle w:val="TSBullet1"/>
            </w:pPr>
            <w:r w:rsidRPr="00F8040A">
              <w:t>Preserves flexibility for providers to design progression models that fit their context.</w:t>
            </w:r>
          </w:p>
        </w:tc>
      </w:tr>
    </w:tbl>
    <w:p w14:paraId="5B1FFEEE" w14:textId="61972E18" w:rsidR="00E82EAB" w:rsidRDefault="00CCB124" w:rsidP="045E5A3E">
      <w:pPr>
        <w:pStyle w:val="Heading4"/>
        <w:rPr>
          <w:lang w:eastAsia="en-GB"/>
        </w:rPr>
      </w:pPr>
      <w:bookmarkStart w:id="39" w:name="_Toc300845749"/>
      <w:bookmarkEnd w:id="16"/>
      <w:bookmarkEnd w:id="17"/>
      <w:bookmarkEnd w:id="18"/>
      <w:r>
        <w:t>Improving programme content</w:t>
      </w:r>
      <w:bookmarkEnd w:id="39"/>
    </w:p>
    <w:p w14:paraId="7583D9F5" w14:textId="53E53197" w:rsidR="00E82EAB" w:rsidRDefault="00CCB124" w:rsidP="008E3AAC">
      <w:pPr>
        <w:pStyle w:val="USBodyText"/>
        <w:spacing w:after="240"/>
      </w:pPr>
      <w:r>
        <w:t xml:space="preserve">The second group of opportunities focuses on what student teachers learn, practise and demonstrate through ITE. These opportunities strengthen the </w:t>
      </w:r>
      <w:r w:rsidR="0960D603">
        <w:t xml:space="preserve">ITE Programme </w:t>
      </w:r>
      <w:r>
        <w:t xml:space="preserve">Requirements as the mechanism for ensuring all graduates develop the essential knowledge, practices and </w:t>
      </w:r>
      <w:r w:rsidR="00477E0D">
        <w:t xml:space="preserve">capabilities </w:t>
      </w:r>
      <w:r>
        <w:t>expected under the 2026 Standards</w:t>
      </w:r>
      <w:r w:rsidR="530AFB2F">
        <w:t xml:space="preserve"> for the Teaching Profession</w:t>
      </w:r>
      <w:r>
        <w:t>. They also focus on the points in the student teacher journey where greater consistency would support confidence in graduate readiness: entry, programme content, professional experience, assessment and transition into early career teaching.</w:t>
      </w:r>
    </w:p>
    <w:tbl>
      <w:tblPr>
        <w:tblStyle w:val="TableDefault"/>
        <w:tblW w:w="5000" w:type="pct"/>
        <w:tblLook w:val="04A0" w:firstRow="1" w:lastRow="0" w:firstColumn="1" w:lastColumn="0" w:noHBand="0" w:noVBand="1"/>
      </w:tblPr>
      <w:tblGrid>
        <w:gridCol w:w="1814"/>
        <w:gridCol w:w="3799"/>
        <w:gridCol w:w="3457"/>
      </w:tblGrid>
      <w:tr w:rsidR="003603AC" w:rsidRPr="003603AC" w14:paraId="463D9E15" w14:textId="77777777" w:rsidTr="2F2DCFD8">
        <w:trPr>
          <w:cnfStyle w:val="100000000000" w:firstRow="1" w:lastRow="0" w:firstColumn="0" w:lastColumn="0" w:oddVBand="0" w:evenVBand="0" w:oddHBand="0" w:evenHBand="0" w:firstRowFirstColumn="0" w:firstRowLastColumn="0" w:lastRowFirstColumn="0" w:lastRowLastColumn="0"/>
        </w:trPr>
        <w:tc>
          <w:tcPr>
            <w:tcW w:w="1000" w:type="pct"/>
            <w:hideMark/>
          </w:tcPr>
          <w:p w14:paraId="5D0FC7EB" w14:textId="77777777" w:rsidR="003603AC" w:rsidRPr="003603AC" w:rsidRDefault="003603AC" w:rsidP="003603AC">
            <w:pPr>
              <w:pStyle w:val="TSTableHeading"/>
              <w:rPr>
                <w:lang w:val="en-AU" w:eastAsia="en-GB"/>
              </w:rPr>
            </w:pPr>
            <w:r w:rsidRPr="003603AC">
              <w:rPr>
                <w:lang w:val="en-AU" w:eastAsia="en-GB"/>
              </w:rPr>
              <w:t>Opportunity</w:t>
            </w:r>
          </w:p>
        </w:tc>
        <w:tc>
          <w:tcPr>
            <w:tcW w:w="2094" w:type="pct"/>
            <w:hideMark/>
          </w:tcPr>
          <w:p w14:paraId="417558EA" w14:textId="77777777" w:rsidR="003603AC" w:rsidRPr="003603AC" w:rsidRDefault="003603AC" w:rsidP="003603AC">
            <w:pPr>
              <w:pStyle w:val="TSTableHeading"/>
              <w:rPr>
                <w:lang w:val="en-AU" w:eastAsia="en-GB"/>
              </w:rPr>
            </w:pPr>
            <w:r w:rsidRPr="003603AC">
              <w:rPr>
                <w:lang w:val="en-AU" w:eastAsia="en-GB"/>
              </w:rPr>
              <w:t>What this means</w:t>
            </w:r>
          </w:p>
        </w:tc>
        <w:tc>
          <w:tcPr>
            <w:tcW w:w="1906" w:type="pct"/>
            <w:hideMark/>
          </w:tcPr>
          <w:p w14:paraId="4DE0DAFB" w14:textId="77777777" w:rsidR="003603AC" w:rsidRPr="003603AC" w:rsidRDefault="003603AC" w:rsidP="003603AC">
            <w:pPr>
              <w:pStyle w:val="TSTableHeading"/>
              <w:rPr>
                <w:lang w:val="en-AU" w:eastAsia="en-GB"/>
              </w:rPr>
            </w:pPr>
            <w:r w:rsidRPr="003603AC">
              <w:rPr>
                <w:lang w:val="en-AU" w:eastAsia="en-GB"/>
              </w:rPr>
              <w:t>How this improves ITE</w:t>
            </w:r>
          </w:p>
        </w:tc>
      </w:tr>
      <w:tr w:rsidR="003603AC" w:rsidRPr="003603AC" w14:paraId="4E374620" w14:textId="77777777" w:rsidTr="2F2DCFD8">
        <w:tc>
          <w:tcPr>
            <w:tcW w:w="1000" w:type="pct"/>
            <w:shd w:val="clear" w:color="auto" w:fill="DBECEC" w:themeFill="accent2" w:themeFillTint="33"/>
            <w:hideMark/>
          </w:tcPr>
          <w:p w14:paraId="44E66FBC" w14:textId="77777777" w:rsidR="003603AC" w:rsidRPr="003603AC" w:rsidRDefault="003603AC" w:rsidP="003603AC">
            <w:pPr>
              <w:pStyle w:val="TSBodyHeading"/>
              <w:rPr>
                <w:lang w:val="en-AU" w:eastAsia="en-GB"/>
              </w:rPr>
            </w:pPr>
            <w:r w:rsidRPr="003603AC">
              <w:rPr>
                <w:lang w:val="en-AU" w:eastAsia="en-GB"/>
              </w:rPr>
              <w:t>Retain current student entry requirements but improve consistency in how they are assessed.</w:t>
            </w:r>
          </w:p>
        </w:tc>
        <w:tc>
          <w:tcPr>
            <w:tcW w:w="2094" w:type="pct"/>
            <w:hideMark/>
          </w:tcPr>
          <w:p w14:paraId="57594C8C" w14:textId="6D06E123" w:rsidR="003603AC" w:rsidRPr="003603AC" w:rsidRDefault="3C31A20E" w:rsidP="003603AC">
            <w:pPr>
              <w:pStyle w:val="TSOtherBodyText"/>
              <w:rPr>
                <w:lang w:val="en-AU" w:eastAsia="en-GB"/>
              </w:rPr>
            </w:pPr>
            <w:r w:rsidRPr="2F2DCFD8">
              <w:rPr>
                <w:lang w:val="en-AU" w:eastAsia="en-GB"/>
              </w:rPr>
              <w:t xml:space="preserve">The current entry standards should be retained, but the way they are assessed should be made more consistent across providers. In particular, literacy assessment could </w:t>
            </w:r>
            <w:r w:rsidR="7AA9BCBD" w:rsidRPr="2F2DCFD8">
              <w:rPr>
                <w:lang w:val="en-AU" w:eastAsia="en-GB"/>
              </w:rPr>
              <w:t>use LNAAT as the</w:t>
            </w:r>
            <w:r w:rsidR="00D21694">
              <w:rPr>
                <w:lang w:val="en-AU" w:eastAsia="en-GB"/>
              </w:rPr>
              <w:t xml:space="preserve"> </w:t>
            </w:r>
            <w:r w:rsidRPr="2F2DCFD8">
              <w:rPr>
                <w:lang w:val="en-AU" w:eastAsia="en-GB"/>
              </w:rPr>
              <w:t>common national mechanism, aligning more closely with the national approach now used for numeracy. Any common tool should complement, rather than replace, other entry requirements that sit outside literacy and numeracy, including expectations relating to te reo Māori and provider judgement about candidate suitability.</w:t>
            </w:r>
          </w:p>
        </w:tc>
        <w:tc>
          <w:tcPr>
            <w:tcW w:w="1906" w:type="pct"/>
            <w:hideMark/>
          </w:tcPr>
          <w:p w14:paraId="17DA7B1E" w14:textId="77777777" w:rsidR="003603AC" w:rsidRPr="003603AC" w:rsidRDefault="003603AC" w:rsidP="002D3AE1">
            <w:pPr>
              <w:pStyle w:val="TSBullet1"/>
              <w:rPr>
                <w:lang w:eastAsia="en-GB"/>
              </w:rPr>
            </w:pPr>
            <w:r w:rsidRPr="003603AC">
              <w:rPr>
                <w:lang w:eastAsia="en-GB"/>
              </w:rPr>
              <w:t>Maintains the current standard for entry while reducing duplication for applicants and providers.</w:t>
            </w:r>
          </w:p>
          <w:p w14:paraId="33B1E2B9" w14:textId="77777777" w:rsidR="003603AC" w:rsidRPr="003603AC" w:rsidRDefault="003603AC" w:rsidP="002D3AE1">
            <w:pPr>
              <w:pStyle w:val="TSBullet1"/>
              <w:rPr>
                <w:lang w:eastAsia="en-GB"/>
              </w:rPr>
            </w:pPr>
            <w:r w:rsidRPr="003603AC">
              <w:rPr>
                <w:lang w:eastAsia="en-GB"/>
              </w:rPr>
              <w:t>Improves comparability across providers.</w:t>
            </w:r>
          </w:p>
          <w:p w14:paraId="4A53AF38" w14:textId="77777777" w:rsidR="003603AC" w:rsidRPr="003603AC" w:rsidRDefault="003603AC" w:rsidP="002D3AE1">
            <w:pPr>
              <w:pStyle w:val="TSBullet1"/>
              <w:rPr>
                <w:lang w:eastAsia="en-GB"/>
              </w:rPr>
            </w:pPr>
            <w:r w:rsidRPr="003603AC">
              <w:rPr>
                <w:lang w:eastAsia="en-GB"/>
              </w:rPr>
              <w:t>Strengthens confidence that candidates are assessed against consistent thresholds.</w:t>
            </w:r>
          </w:p>
          <w:p w14:paraId="0775D349" w14:textId="77777777" w:rsidR="003603AC" w:rsidRPr="003603AC" w:rsidRDefault="003603AC" w:rsidP="002D3AE1">
            <w:pPr>
              <w:pStyle w:val="TSBullet1"/>
              <w:rPr>
                <w:lang w:eastAsia="en-GB"/>
              </w:rPr>
            </w:pPr>
            <w:r w:rsidRPr="003603AC">
              <w:rPr>
                <w:lang w:eastAsia="en-GB"/>
              </w:rPr>
              <w:t>Supports a clearer system view of candidate capability at entry.</w:t>
            </w:r>
          </w:p>
        </w:tc>
      </w:tr>
      <w:tr w:rsidR="003603AC" w:rsidRPr="003603AC" w14:paraId="727ED07B" w14:textId="77777777" w:rsidTr="2F2DCFD8">
        <w:tc>
          <w:tcPr>
            <w:tcW w:w="1000" w:type="pct"/>
            <w:shd w:val="clear" w:color="auto" w:fill="DBECEC" w:themeFill="accent2" w:themeFillTint="33"/>
            <w:hideMark/>
          </w:tcPr>
          <w:p w14:paraId="398A12B7" w14:textId="3AFAB326" w:rsidR="003603AC" w:rsidRPr="003603AC" w:rsidRDefault="16BF5D17" w:rsidP="003603AC">
            <w:pPr>
              <w:pStyle w:val="TSBodyHeading"/>
              <w:rPr>
                <w:lang w:val="en-AU" w:eastAsia="en-GB"/>
              </w:rPr>
            </w:pPr>
            <w:r w:rsidRPr="1709B4D8">
              <w:rPr>
                <w:lang w:val="en-AU" w:eastAsia="en-GB"/>
              </w:rPr>
              <w:t>Introduce greater specificity regarding required content aligned with the 2026 Standards</w:t>
            </w:r>
            <w:r w:rsidR="42F0C3A1" w:rsidRPr="1709B4D8">
              <w:rPr>
                <w:lang w:val="en-AU" w:eastAsia="en-GB"/>
              </w:rPr>
              <w:t xml:space="preserve"> for the Teaching Profession</w:t>
            </w:r>
            <w:r w:rsidRPr="1709B4D8">
              <w:rPr>
                <w:lang w:val="en-AU" w:eastAsia="en-GB"/>
              </w:rPr>
              <w:t>.</w:t>
            </w:r>
          </w:p>
        </w:tc>
        <w:tc>
          <w:tcPr>
            <w:tcW w:w="2094" w:type="pct"/>
            <w:hideMark/>
          </w:tcPr>
          <w:p w14:paraId="00FCCF33" w14:textId="4A5EB4E1" w:rsidR="003603AC" w:rsidRPr="003603AC" w:rsidRDefault="55D7F2F3" w:rsidP="003603AC">
            <w:pPr>
              <w:pStyle w:val="TSOtherBodyText"/>
              <w:rPr>
                <w:lang w:val="en-AU" w:eastAsia="en-GB"/>
              </w:rPr>
            </w:pPr>
            <w:r w:rsidRPr="1709B4D8">
              <w:rPr>
                <w:lang w:val="en-AU" w:eastAsia="en-GB"/>
              </w:rPr>
              <w:t>The ITE Programme Requirements</w:t>
            </w:r>
            <w:r w:rsidR="66992450" w:rsidRPr="1709B4D8">
              <w:rPr>
                <w:lang w:val="en-AU" w:eastAsia="en-GB"/>
              </w:rPr>
              <w:t xml:space="preserve"> could define a clearer shared core of essential knowledge</w:t>
            </w:r>
            <w:r w:rsidR="2A3B4AC1" w:rsidRPr="1709B4D8">
              <w:rPr>
                <w:lang w:val="en-AU" w:eastAsia="en-GB"/>
              </w:rPr>
              <w:t xml:space="preserve">, </w:t>
            </w:r>
            <w:r w:rsidR="66992450" w:rsidRPr="1709B4D8">
              <w:rPr>
                <w:lang w:val="en-AU" w:eastAsia="en-GB"/>
              </w:rPr>
              <w:t>practices</w:t>
            </w:r>
            <w:r w:rsidR="2A3B4AC1" w:rsidRPr="1709B4D8">
              <w:rPr>
                <w:lang w:val="en-AU" w:eastAsia="en-GB"/>
              </w:rPr>
              <w:t xml:space="preserve"> and capabilities</w:t>
            </w:r>
            <w:r w:rsidR="66992450" w:rsidRPr="1709B4D8">
              <w:rPr>
                <w:lang w:val="en-AU" w:eastAsia="en-GB"/>
              </w:rPr>
              <w:t xml:space="preserve"> that all student teachers should learn before entering the profession. This shared core would unpack the 2026 Standards</w:t>
            </w:r>
            <w:r w:rsidR="3B43CB87" w:rsidRPr="1709B4D8">
              <w:rPr>
                <w:lang w:val="en-AU" w:eastAsia="en-GB"/>
              </w:rPr>
              <w:t xml:space="preserve"> for the Teaching Profession</w:t>
            </w:r>
            <w:r w:rsidR="66992450" w:rsidRPr="1709B4D8">
              <w:rPr>
                <w:lang w:val="en-AU" w:eastAsia="en-GB"/>
              </w:rPr>
              <w:t xml:space="preserve"> into more explicit curriculum expectations, drawing on the strongest available evidence, mātauranga Māori, professional consensus and the Aotearoa New Zealand context. It would include common elements across all programmes and differentiated elements for ECE, schooling and kura contexts.</w:t>
            </w:r>
          </w:p>
        </w:tc>
        <w:tc>
          <w:tcPr>
            <w:tcW w:w="1906" w:type="pct"/>
            <w:hideMark/>
          </w:tcPr>
          <w:p w14:paraId="7DA58D66" w14:textId="0EEA537D" w:rsidR="003603AC" w:rsidRPr="003603AC" w:rsidRDefault="7E21BECB" w:rsidP="002D3AE1">
            <w:pPr>
              <w:pStyle w:val="TSBullet1"/>
              <w:rPr>
                <w:lang w:eastAsia="en-GB"/>
              </w:rPr>
            </w:pPr>
            <w:r w:rsidRPr="706324D1">
              <w:rPr>
                <w:lang w:eastAsia="en-GB"/>
              </w:rPr>
              <w:t xml:space="preserve">Reduces the risk of providers interpreting </w:t>
            </w:r>
            <w:r w:rsidR="00C702BB" w:rsidRPr="706324D1">
              <w:rPr>
                <w:lang w:eastAsia="en-GB"/>
              </w:rPr>
              <w:t>the Standards for the Teaching Profession</w:t>
            </w:r>
            <w:r w:rsidR="3B3A9556" w:rsidRPr="706324D1">
              <w:rPr>
                <w:lang w:eastAsia="en-GB"/>
              </w:rPr>
              <w:t xml:space="preserve"> </w:t>
            </w:r>
            <w:r w:rsidRPr="706324D1">
              <w:rPr>
                <w:lang w:eastAsia="en-GB"/>
              </w:rPr>
              <w:t>in materially different ways.</w:t>
            </w:r>
          </w:p>
          <w:p w14:paraId="532E72E6" w14:textId="77777777" w:rsidR="003603AC" w:rsidRPr="003603AC" w:rsidRDefault="003603AC" w:rsidP="002D3AE1">
            <w:pPr>
              <w:pStyle w:val="TSBullet1"/>
              <w:rPr>
                <w:lang w:eastAsia="en-GB"/>
              </w:rPr>
            </w:pPr>
            <w:r w:rsidRPr="003603AC">
              <w:rPr>
                <w:lang w:eastAsia="en-GB"/>
              </w:rPr>
              <w:t>Establishes a clearer common foundation for graduate readiness.</w:t>
            </w:r>
          </w:p>
          <w:p w14:paraId="37FAB5B3" w14:textId="77777777" w:rsidR="003603AC" w:rsidRPr="003603AC" w:rsidRDefault="003603AC" w:rsidP="002D3AE1">
            <w:pPr>
              <w:pStyle w:val="TSBullet1"/>
              <w:rPr>
                <w:lang w:eastAsia="en-GB"/>
              </w:rPr>
            </w:pPr>
            <w:r w:rsidRPr="003603AC">
              <w:rPr>
                <w:lang w:eastAsia="en-GB"/>
              </w:rPr>
              <w:t>Preserves flexibility in how programmes teach, sequence and contextualise required content.</w:t>
            </w:r>
          </w:p>
          <w:p w14:paraId="28196D32" w14:textId="77777777" w:rsidR="003603AC" w:rsidRPr="003603AC" w:rsidRDefault="003603AC" w:rsidP="002D3AE1">
            <w:pPr>
              <w:pStyle w:val="TSBullet1"/>
              <w:rPr>
                <w:lang w:eastAsia="en-GB"/>
              </w:rPr>
            </w:pPr>
            <w:r w:rsidRPr="003603AC">
              <w:rPr>
                <w:lang w:eastAsia="en-GB"/>
              </w:rPr>
              <w:t>Creates a stronger line of sight between Standards, content, professional experience and assessment.</w:t>
            </w:r>
          </w:p>
        </w:tc>
      </w:tr>
      <w:tr w:rsidR="003603AC" w:rsidRPr="003603AC" w14:paraId="53A618DC" w14:textId="77777777" w:rsidTr="2F2DCFD8">
        <w:tc>
          <w:tcPr>
            <w:tcW w:w="1000" w:type="pct"/>
            <w:shd w:val="clear" w:color="auto" w:fill="DBECEC" w:themeFill="accent2" w:themeFillTint="33"/>
            <w:hideMark/>
          </w:tcPr>
          <w:p w14:paraId="0610FD2B" w14:textId="77777777" w:rsidR="003603AC" w:rsidRPr="003603AC" w:rsidRDefault="003603AC" w:rsidP="003603AC">
            <w:pPr>
              <w:pStyle w:val="TSBodyHeading"/>
              <w:rPr>
                <w:lang w:val="en-AU" w:eastAsia="en-GB"/>
              </w:rPr>
            </w:pPr>
            <w:r w:rsidRPr="003603AC">
              <w:rPr>
                <w:lang w:val="en-AU" w:eastAsia="en-GB"/>
              </w:rPr>
              <w:lastRenderedPageBreak/>
              <w:t>Embed clearer expectations for high-quality professional experience.</w:t>
            </w:r>
          </w:p>
        </w:tc>
        <w:tc>
          <w:tcPr>
            <w:tcW w:w="2094" w:type="pct"/>
            <w:hideMark/>
          </w:tcPr>
          <w:p w14:paraId="54CCFF1C" w14:textId="7BEC85BE" w:rsidR="003603AC" w:rsidRPr="003603AC" w:rsidRDefault="10B8D9D0" w:rsidP="003603AC">
            <w:pPr>
              <w:pStyle w:val="TSOtherBodyText"/>
              <w:rPr>
                <w:lang w:val="en-AU" w:eastAsia="en-GB"/>
              </w:rPr>
            </w:pPr>
            <w:r w:rsidRPr="76D84600">
              <w:rPr>
                <w:lang w:val="en-AU" w:eastAsia="en-GB"/>
              </w:rPr>
              <w:t>The ITE Programme Requirements</w:t>
            </w:r>
            <w:r w:rsidR="6E794A59" w:rsidRPr="76D84600">
              <w:rPr>
                <w:lang w:val="en-AU" w:eastAsia="en-GB"/>
              </w:rPr>
              <w:t xml:space="preserve"> could define more clearly the conditions that make professional experience high quality. This includes expectations for associate teacher capability, active teaching opportunities, placement quality and diversity, communication and support during placements, and alignment between professional experience, assessment and the programme’s model of progression. </w:t>
            </w:r>
            <w:r w:rsidR="58AEB00B" w:rsidRPr="76D84600">
              <w:rPr>
                <w:lang w:val="en-AU" w:eastAsia="en-GB"/>
              </w:rPr>
              <w:t>The ITE Programme Requirements</w:t>
            </w:r>
            <w:r w:rsidR="6E794A59" w:rsidRPr="76D84600">
              <w:rPr>
                <w:lang w:val="en-AU" w:eastAsia="en-GB"/>
              </w:rPr>
              <w:t xml:space="preserve"> could also distinguish between common quality expectations and pathway-specific design features, including for employment-based pathways.</w:t>
            </w:r>
          </w:p>
        </w:tc>
        <w:tc>
          <w:tcPr>
            <w:tcW w:w="1906" w:type="pct"/>
            <w:hideMark/>
          </w:tcPr>
          <w:p w14:paraId="5763C09E" w14:textId="77777777" w:rsidR="003603AC" w:rsidRPr="003603AC" w:rsidRDefault="003603AC" w:rsidP="002D3AE1">
            <w:pPr>
              <w:pStyle w:val="TSBullet1"/>
              <w:rPr>
                <w:lang w:eastAsia="en-GB"/>
              </w:rPr>
            </w:pPr>
            <w:r w:rsidRPr="003603AC">
              <w:rPr>
                <w:lang w:eastAsia="en-GB"/>
              </w:rPr>
              <w:t>Moves professional experience beyond duration toward quality, progression and learning value.</w:t>
            </w:r>
          </w:p>
          <w:p w14:paraId="28E1595F" w14:textId="77777777" w:rsidR="003603AC" w:rsidRPr="003603AC" w:rsidRDefault="003603AC" w:rsidP="002D3AE1">
            <w:pPr>
              <w:pStyle w:val="TSBullet1"/>
              <w:rPr>
                <w:lang w:eastAsia="en-GB"/>
              </w:rPr>
            </w:pPr>
            <w:r w:rsidRPr="003603AC">
              <w:rPr>
                <w:lang w:eastAsia="en-GB"/>
              </w:rPr>
              <w:t>Supports more consistent placement experiences.</w:t>
            </w:r>
          </w:p>
          <w:p w14:paraId="682E6188" w14:textId="77777777" w:rsidR="003603AC" w:rsidRPr="003603AC" w:rsidRDefault="003603AC" w:rsidP="002D3AE1">
            <w:pPr>
              <w:pStyle w:val="TSBullet1"/>
              <w:rPr>
                <w:lang w:eastAsia="en-GB"/>
              </w:rPr>
            </w:pPr>
            <w:r w:rsidRPr="003603AC">
              <w:rPr>
                <w:lang w:eastAsia="en-GB"/>
              </w:rPr>
              <w:t>Strengthens preparation and support for associate teachers.</w:t>
            </w:r>
          </w:p>
          <w:p w14:paraId="56609E4F" w14:textId="77777777" w:rsidR="003603AC" w:rsidRPr="003603AC" w:rsidRDefault="003603AC" w:rsidP="002D3AE1">
            <w:pPr>
              <w:pStyle w:val="TSBullet1"/>
              <w:rPr>
                <w:lang w:eastAsia="en-GB"/>
              </w:rPr>
            </w:pPr>
            <w:r w:rsidRPr="003603AC">
              <w:rPr>
                <w:lang w:eastAsia="en-GB"/>
              </w:rPr>
              <w:t>Ensures student teachers can observe, practise, receive feedback and demonstrate capability in authentic contexts.</w:t>
            </w:r>
          </w:p>
        </w:tc>
      </w:tr>
      <w:tr w:rsidR="003603AC" w:rsidRPr="003603AC" w14:paraId="70B6DD8B" w14:textId="77777777" w:rsidTr="2F2DCFD8">
        <w:tc>
          <w:tcPr>
            <w:tcW w:w="1000" w:type="pct"/>
            <w:shd w:val="clear" w:color="auto" w:fill="DBECEC" w:themeFill="accent2" w:themeFillTint="33"/>
            <w:hideMark/>
          </w:tcPr>
          <w:p w14:paraId="261499CC" w14:textId="77777777" w:rsidR="003603AC" w:rsidRPr="003603AC" w:rsidRDefault="003603AC" w:rsidP="003603AC">
            <w:pPr>
              <w:pStyle w:val="TSBodyHeading"/>
              <w:rPr>
                <w:lang w:val="en-AU" w:eastAsia="en-GB"/>
              </w:rPr>
            </w:pPr>
            <w:r w:rsidRPr="003603AC">
              <w:rPr>
                <w:lang w:val="en-AU" w:eastAsia="en-GB"/>
              </w:rPr>
              <w:t>Consider a national, standardised and externally moderated assessment framework.</w:t>
            </w:r>
          </w:p>
        </w:tc>
        <w:tc>
          <w:tcPr>
            <w:tcW w:w="2094" w:type="pct"/>
            <w:hideMark/>
          </w:tcPr>
          <w:p w14:paraId="7F5CF3D5" w14:textId="0EA1AC58" w:rsidR="003603AC" w:rsidRPr="003603AC" w:rsidRDefault="0842B2CC" w:rsidP="003603AC">
            <w:pPr>
              <w:pStyle w:val="TSOtherBodyText"/>
              <w:rPr>
                <w:lang w:val="en-AU" w:eastAsia="en-GB"/>
              </w:rPr>
            </w:pPr>
            <w:r w:rsidRPr="2F2DCFD8">
              <w:rPr>
                <w:lang w:val="en-AU" w:eastAsia="en-GB"/>
              </w:rPr>
              <w:t>The system should retain provider-led assessment while introducing a national assessment framework that provides stronger external assurance of student teacher capability. This framework could include common expectations for core knowledge, professional judgement</w:t>
            </w:r>
            <w:r w:rsidR="50367C79" w:rsidRPr="2F2DCFD8">
              <w:rPr>
                <w:lang w:val="en-AU" w:eastAsia="en-GB"/>
              </w:rPr>
              <w:t>, cultural capability</w:t>
            </w:r>
            <w:r w:rsidRPr="2F2DCFD8">
              <w:rPr>
                <w:lang w:val="en-AU" w:eastAsia="en-GB"/>
              </w:rPr>
              <w:t xml:space="preserve"> and observed practice, with external standards, robust moderation </w:t>
            </w:r>
            <w:r w:rsidR="604B364A" w:rsidRPr="2F2DCFD8">
              <w:rPr>
                <w:lang w:val="en-AU" w:eastAsia="en-GB"/>
              </w:rPr>
              <w:t xml:space="preserve">from independent assessors, </w:t>
            </w:r>
            <w:r w:rsidRPr="2F2DCFD8">
              <w:rPr>
                <w:lang w:val="en-AU" w:eastAsia="en-GB"/>
              </w:rPr>
              <w:t>and an end-point judgement about readiness to teach. The framework should be designed to complement programme models rather than sit as a disconnected set of tests.</w:t>
            </w:r>
          </w:p>
        </w:tc>
        <w:tc>
          <w:tcPr>
            <w:tcW w:w="1906" w:type="pct"/>
            <w:hideMark/>
          </w:tcPr>
          <w:p w14:paraId="2C033295" w14:textId="77777777" w:rsidR="003603AC" w:rsidRPr="003603AC" w:rsidRDefault="003603AC" w:rsidP="002D3AE1">
            <w:pPr>
              <w:pStyle w:val="TSBullet1"/>
              <w:rPr>
                <w:lang w:eastAsia="en-GB"/>
              </w:rPr>
            </w:pPr>
            <w:r w:rsidRPr="003603AC">
              <w:rPr>
                <w:lang w:eastAsia="en-GB"/>
              </w:rPr>
              <w:t>Strengthens confidence that readiness judgements are fair, reliable and comparable across providers.</w:t>
            </w:r>
          </w:p>
          <w:p w14:paraId="11B84FE1" w14:textId="77777777" w:rsidR="003603AC" w:rsidRPr="003603AC" w:rsidRDefault="003603AC" w:rsidP="002D3AE1">
            <w:pPr>
              <w:pStyle w:val="TSBullet1"/>
              <w:rPr>
                <w:lang w:eastAsia="en-GB"/>
              </w:rPr>
            </w:pPr>
            <w:r w:rsidRPr="003603AC">
              <w:rPr>
                <w:lang w:eastAsia="en-GB"/>
              </w:rPr>
              <w:t>Provides a clearer national threshold for graduate capability.</w:t>
            </w:r>
          </w:p>
          <w:p w14:paraId="66DD24BB" w14:textId="77777777" w:rsidR="003603AC" w:rsidRPr="003603AC" w:rsidRDefault="003603AC" w:rsidP="002D3AE1">
            <w:pPr>
              <w:pStyle w:val="TSBullet1"/>
              <w:rPr>
                <w:lang w:eastAsia="en-GB"/>
              </w:rPr>
            </w:pPr>
            <w:r w:rsidRPr="003603AC">
              <w:rPr>
                <w:lang w:eastAsia="en-GB"/>
              </w:rPr>
              <w:t>Supports earlier identification of student teachers who need additional development.</w:t>
            </w:r>
          </w:p>
          <w:p w14:paraId="4CD70A67" w14:textId="77777777" w:rsidR="003603AC" w:rsidRPr="003603AC" w:rsidRDefault="003603AC" w:rsidP="002D3AE1">
            <w:pPr>
              <w:pStyle w:val="TSBullet1"/>
              <w:rPr>
                <w:lang w:eastAsia="en-GB"/>
              </w:rPr>
            </w:pPr>
            <w:r w:rsidRPr="003603AC">
              <w:rPr>
                <w:lang w:eastAsia="en-GB"/>
              </w:rPr>
              <w:t>Reinforces the connection between curriculum, assessment and the model of progression.</w:t>
            </w:r>
          </w:p>
        </w:tc>
      </w:tr>
      <w:tr w:rsidR="003603AC" w:rsidRPr="003603AC" w14:paraId="5EBC7DDF" w14:textId="77777777" w:rsidTr="2F2DCFD8">
        <w:tc>
          <w:tcPr>
            <w:tcW w:w="1000" w:type="pct"/>
            <w:shd w:val="clear" w:color="auto" w:fill="DBECEC" w:themeFill="accent2" w:themeFillTint="33"/>
            <w:hideMark/>
          </w:tcPr>
          <w:p w14:paraId="325E0C51" w14:textId="77777777" w:rsidR="003603AC" w:rsidRPr="003603AC" w:rsidRDefault="003603AC" w:rsidP="003603AC">
            <w:pPr>
              <w:pStyle w:val="TSBodyHeading"/>
              <w:rPr>
                <w:lang w:val="en-AU" w:eastAsia="en-GB"/>
              </w:rPr>
            </w:pPr>
            <w:r w:rsidRPr="003603AC">
              <w:rPr>
                <w:lang w:val="en-AU" w:eastAsia="en-GB"/>
              </w:rPr>
              <w:t>Establish clearer links between ITE preparation and supports for early career teachers.</w:t>
            </w:r>
          </w:p>
        </w:tc>
        <w:tc>
          <w:tcPr>
            <w:tcW w:w="2094" w:type="pct"/>
            <w:hideMark/>
          </w:tcPr>
          <w:p w14:paraId="5D0B4BC7" w14:textId="27188A7F" w:rsidR="003603AC" w:rsidRPr="003603AC" w:rsidRDefault="05C4EDCB" w:rsidP="003603AC">
            <w:pPr>
              <w:pStyle w:val="TSOtherBodyText"/>
              <w:rPr>
                <w:lang w:val="en-AU" w:eastAsia="en-GB"/>
              </w:rPr>
            </w:pPr>
            <w:r w:rsidRPr="2F2DCFD8">
              <w:rPr>
                <w:lang w:val="en-AU" w:eastAsia="en-GB"/>
              </w:rPr>
              <w:t>The ITE Programme Requirements</w:t>
            </w:r>
            <w:r w:rsidR="5426B43F" w:rsidRPr="2F2DCFD8">
              <w:rPr>
                <w:lang w:val="en-AU" w:eastAsia="en-GB"/>
              </w:rPr>
              <w:t xml:space="preserve"> could more explicitly prepare graduates for the transition from ITE into beginning teacher roles. This would include expecting programmes to help student teachers understand induction and mentoring, progression to full certification, strategies for continued professional growth</w:t>
            </w:r>
            <w:r w:rsidR="7CC426A0" w:rsidRPr="2F2DCFD8">
              <w:rPr>
                <w:lang w:val="en-AU" w:eastAsia="en-GB"/>
              </w:rPr>
              <w:t>, and develop the adaptive expertise needed to continue learning throughout their careers</w:t>
            </w:r>
            <w:r w:rsidR="64F4C1E8" w:rsidRPr="2F2DCFD8">
              <w:rPr>
                <w:lang w:val="en-AU" w:eastAsia="en-GB"/>
              </w:rPr>
              <w:t>.</w:t>
            </w:r>
            <w:r w:rsidR="5426B43F" w:rsidRPr="2F2DCFD8">
              <w:rPr>
                <w:lang w:val="en-AU" w:eastAsia="en-GB"/>
              </w:rPr>
              <w:t xml:space="preserve"> It would also encourage clearer connections between what is developed during ITE and the focus areas that should be reinforced through early career support.</w:t>
            </w:r>
          </w:p>
        </w:tc>
        <w:tc>
          <w:tcPr>
            <w:tcW w:w="1906" w:type="pct"/>
            <w:hideMark/>
          </w:tcPr>
          <w:p w14:paraId="1566EEA8" w14:textId="77777777" w:rsidR="003603AC" w:rsidRPr="003603AC" w:rsidRDefault="003603AC" w:rsidP="002D3AE1">
            <w:pPr>
              <w:pStyle w:val="TSBullet1"/>
              <w:rPr>
                <w:lang w:eastAsia="en-GB"/>
              </w:rPr>
            </w:pPr>
            <w:r w:rsidRPr="003603AC">
              <w:rPr>
                <w:lang w:eastAsia="en-GB"/>
              </w:rPr>
              <w:t>Recognises that teacher development continues beyond graduation.</w:t>
            </w:r>
          </w:p>
          <w:p w14:paraId="28DE62F2" w14:textId="77777777" w:rsidR="003603AC" w:rsidRPr="003603AC" w:rsidRDefault="003603AC" w:rsidP="002D3AE1">
            <w:pPr>
              <w:pStyle w:val="TSBullet1"/>
              <w:rPr>
                <w:lang w:eastAsia="en-GB"/>
              </w:rPr>
            </w:pPr>
            <w:r w:rsidRPr="003603AC">
              <w:rPr>
                <w:lang w:eastAsia="en-GB"/>
              </w:rPr>
              <w:t>Positions ITE as the first stage of a more coherent professional learning pathway.</w:t>
            </w:r>
          </w:p>
          <w:p w14:paraId="7686B56D" w14:textId="77777777" w:rsidR="003603AC" w:rsidRPr="003603AC" w:rsidRDefault="003603AC" w:rsidP="002D3AE1">
            <w:pPr>
              <w:pStyle w:val="TSBullet1"/>
              <w:rPr>
                <w:lang w:eastAsia="en-GB"/>
              </w:rPr>
            </w:pPr>
            <w:r w:rsidRPr="003603AC">
              <w:rPr>
                <w:lang w:eastAsia="en-GB"/>
              </w:rPr>
              <w:t>Helps graduates understand how their preparation connects to induction, mentoring and full certification.</w:t>
            </w:r>
          </w:p>
          <w:p w14:paraId="28EB1CCC" w14:textId="77777777" w:rsidR="003603AC" w:rsidRPr="003603AC" w:rsidRDefault="003603AC" w:rsidP="002D3AE1">
            <w:pPr>
              <w:pStyle w:val="TSBullet1"/>
              <w:rPr>
                <w:lang w:eastAsia="en-GB"/>
              </w:rPr>
            </w:pPr>
            <w:r w:rsidRPr="003603AC">
              <w:rPr>
                <w:lang w:eastAsia="en-GB"/>
              </w:rPr>
              <w:t>Supports confidence, effectiveness and retention during the transition into practice.</w:t>
            </w:r>
          </w:p>
        </w:tc>
      </w:tr>
    </w:tbl>
    <w:p w14:paraId="75568A05" w14:textId="77777777" w:rsidR="008E3AAC" w:rsidRDefault="008E3AAC" w:rsidP="008E3AAC">
      <w:pPr>
        <w:pStyle w:val="USWhiteSpaceAfterTable"/>
      </w:pPr>
    </w:p>
    <w:p w14:paraId="213A821D" w14:textId="4818C362" w:rsidR="00C000B2" w:rsidRPr="00D53814" w:rsidRDefault="2678F1AD" w:rsidP="045E5A3E">
      <w:pPr>
        <w:pStyle w:val="Heading4"/>
        <w:rPr>
          <w:lang w:eastAsia="en-GB"/>
        </w:rPr>
      </w:pPr>
      <w:bookmarkStart w:id="40" w:name="_Toc1518582985"/>
      <w:r>
        <w:t>Improving programme quality assurance</w:t>
      </w:r>
      <w:bookmarkEnd w:id="40"/>
    </w:p>
    <w:p w14:paraId="5C9E688D" w14:textId="28B0191A" w:rsidR="00C000B2" w:rsidRPr="00D53814" w:rsidRDefault="00C000B2" w:rsidP="008E3AAC">
      <w:pPr>
        <w:pStyle w:val="USBodyText"/>
        <w:spacing w:after="240"/>
        <w:rPr>
          <w:lang w:eastAsia="en-GB"/>
        </w:rPr>
      </w:pPr>
      <w:r w:rsidRPr="00D53814">
        <w:t xml:space="preserve">The third group of opportunities focuses on the mechanisms used to assure programme quality over time. This opportunity recognises that stronger expectations for programme design, content, professional experience and assessment will only improve ITE if approval, monitoring and moderation processes </w:t>
      </w:r>
      <w:r w:rsidR="007D5A7B" w:rsidRPr="007B211D">
        <w:t xml:space="preserve">conducted by the </w:t>
      </w:r>
      <w:r w:rsidR="0038689C">
        <w:t xml:space="preserve">Teaching Council of Aotearoa New Zealand </w:t>
      </w:r>
      <w:r w:rsidR="007D5A7B" w:rsidRPr="007B211D">
        <w:t>(</w:t>
      </w:r>
      <w:r w:rsidR="00836DD9" w:rsidRPr="007B211D">
        <w:t>in its role as regulator)</w:t>
      </w:r>
      <w:r w:rsidR="00836DD9">
        <w:t xml:space="preserve"> </w:t>
      </w:r>
      <w:r w:rsidRPr="00D53814">
        <w:t xml:space="preserve">are sufficiently rigorous, consistent and transparent. It therefore focuses on strengthening the assurance </w:t>
      </w:r>
      <w:r w:rsidRPr="00D53814">
        <w:lastRenderedPageBreak/>
        <w:t>architecture that supports confidence that programmes are designed and delivered to a consistently high standard.</w:t>
      </w:r>
    </w:p>
    <w:tbl>
      <w:tblPr>
        <w:tblStyle w:val="TableDefault"/>
        <w:tblW w:w="4994" w:type="pct"/>
        <w:tblLook w:val="04A0" w:firstRow="1" w:lastRow="0" w:firstColumn="1" w:lastColumn="0" w:noHBand="0" w:noVBand="1"/>
      </w:tblPr>
      <w:tblGrid>
        <w:gridCol w:w="1803"/>
        <w:gridCol w:w="3799"/>
        <w:gridCol w:w="3457"/>
      </w:tblGrid>
      <w:tr w:rsidR="00186004" w:rsidRPr="00186004" w14:paraId="3881990D" w14:textId="77777777" w:rsidTr="002D3AE1">
        <w:trPr>
          <w:cnfStyle w:val="100000000000" w:firstRow="1" w:lastRow="0" w:firstColumn="0" w:lastColumn="0" w:oddVBand="0" w:evenVBand="0" w:oddHBand="0" w:evenHBand="0" w:firstRowFirstColumn="0" w:firstRowLastColumn="0" w:lastRowFirstColumn="0" w:lastRowLastColumn="0"/>
        </w:trPr>
        <w:tc>
          <w:tcPr>
            <w:tcW w:w="995" w:type="pct"/>
            <w:hideMark/>
          </w:tcPr>
          <w:p w14:paraId="5B7415E6" w14:textId="77777777" w:rsidR="00186004" w:rsidRPr="00186004" w:rsidRDefault="00186004" w:rsidP="00186004">
            <w:pPr>
              <w:pStyle w:val="TSTableHeading"/>
              <w:rPr>
                <w:lang w:val="en-AU" w:eastAsia="en-GB"/>
              </w:rPr>
            </w:pPr>
            <w:r w:rsidRPr="00186004">
              <w:rPr>
                <w:lang w:val="en-AU" w:eastAsia="en-GB"/>
              </w:rPr>
              <w:t>Opportunity</w:t>
            </w:r>
          </w:p>
        </w:tc>
        <w:tc>
          <w:tcPr>
            <w:tcW w:w="2097" w:type="pct"/>
            <w:hideMark/>
          </w:tcPr>
          <w:p w14:paraId="0F78F698" w14:textId="77777777" w:rsidR="00186004" w:rsidRPr="00186004" w:rsidRDefault="00186004" w:rsidP="00186004">
            <w:pPr>
              <w:pStyle w:val="TSTableHeading"/>
              <w:rPr>
                <w:lang w:val="en-AU" w:eastAsia="en-GB"/>
              </w:rPr>
            </w:pPr>
            <w:r w:rsidRPr="00186004">
              <w:rPr>
                <w:lang w:val="en-AU" w:eastAsia="en-GB"/>
              </w:rPr>
              <w:t>What this means</w:t>
            </w:r>
          </w:p>
        </w:tc>
        <w:tc>
          <w:tcPr>
            <w:tcW w:w="1908" w:type="pct"/>
            <w:hideMark/>
          </w:tcPr>
          <w:p w14:paraId="2E98D71F" w14:textId="77777777" w:rsidR="00186004" w:rsidRPr="00186004" w:rsidRDefault="00186004" w:rsidP="00186004">
            <w:pPr>
              <w:pStyle w:val="TSTableHeading"/>
              <w:rPr>
                <w:lang w:val="en-AU" w:eastAsia="en-GB"/>
              </w:rPr>
            </w:pPr>
            <w:r w:rsidRPr="00186004">
              <w:rPr>
                <w:lang w:val="en-AU" w:eastAsia="en-GB"/>
              </w:rPr>
              <w:t>How this improves ITE</w:t>
            </w:r>
          </w:p>
        </w:tc>
      </w:tr>
      <w:tr w:rsidR="00186004" w:rsidRPr="00186004" w14:paraId="35880D9B" w14:textId="77777777" w:rsidTr="002D3AE1">
        <w:tc>
          <w:tcPr>
            <w:tcW w:w="995" w:type="pct"/>
            <w:shd w:val="clear" w:color="auto" w:fill="DBECEC" w:themeFill="accent2" w:themeFillTint="33"/>
            <w:hideMark/>
          </w:tcPr>
          <w:p w14:paraId="5ED96AED" w14:textId="38074C2F" w:rsidR="00186004" w:rsidRPr="00186004" w:rsidRDefault="7D500A4F" w:rsidP="00186004">
            <w:pPr>
              <w:pStyle w:val="TSBodyHeading"/>
              <w:rPr>
                <w:lang w:val="en-AU" w:eastAsia="en-GB"/>
              </w:rPr>
            </w:pPr>
            <w:r w:rsidRPr="65C5DE98">
              <w:rPr>
                <w:lang w:val="en-AU" w:eastAsia="en-GB"/>
              </w:rPr>
              <w:t>Strengthen the rigour and consistency of programme approvals, monitoring</w:t>
            </w:r>
            <w:r w:rsidR="00323BC5">
              <w:t>,</w:t>
            </w:r>
            <w:r w:rsidR="5B9C4E3A">
              <w:t xml:space="preserve"> and</w:t>
            </w:r>
            <w:r w:rsidR="00323BC5">
              <w:t xml:space="preserve"> moderation.</w:t>
            </w:r>
          </w:p>
        </w:tc>
        <w:tc>
          <w:tcPr>
            <w:tcW w:w="2097" w:type="pct"/>
            <w:hideMark/>
          </w:tcPr>
          <w:p w14:paraId="55E7F2D1" w14:textId="6060B827" w:rsidR="00186004" w:rsidRPr="00186004" w:rsidRDefault="0A57800E" w:rsidP="00186004">
            <w:pPr>
              <w:pStyle w:val="TSOtherBodyText"/>
              <w:rPr>
                <w:lang w:val="en-AU" w:eastAsia="en-GB"/>
              </w:rPr>
            </w:pPr>
            <w:r w:rsidRPr="76D84600">
              <w:rPr>
                <w:lang w:val="en-AU" w:eastAsia="en-GB"/>
              </w:rPr>
              <w:t>The ITE Programme Requirements</w:t>
            </w:r>
            <w:r w:rsidR="16CAA099" w:rsidRPr="76D84600">
              <w:rPr>
                <w:lang w:val="en-AU" w:eastAsia="en-GB"/>
              </w:rPr>
              <w:t xml:space="preserve"> could make approval, monitoring and moderation processes more consistent and transparent. This could include standing national approval panels, a trained pool of panellists and monitors, independent appointment of monitors, clearer monitoring frameworks, stronger links between monitoring findings and required action, and a more coherent national moderation arrangement. These changes could also support oversight of any new shared core and ensure Māori-medium pathways are considered through appropriately contextualised approval processes.</w:t>
            </w:r>
          </w:p>
        </w:tc>
        <w:tc>
          <w:tcPr>
            <w:tcW w:w="1908" w:type="pct"/>
            <w:hideMark/>
          </w:tcPr>
          <w:p w14:paraId="3E5B2B45" w14:textId="77777777" w:rsidR="00186004" w:rsidRPr="00186004" w:rsidRDefault="00186004" w:rsidP="002D3AE1">
            <w:pPr>
              <w:pStyle w:val="TSBullet1"/>
              <w:rPr>
                <w:lang w:eastAsia="en-GB"/>
              </w:rPr>
            </w:pPr>
            <w:r w:rsidRPr="00186004">
              <w:rPr>
                <w:lang w:eastAsia="en-GB"/>
              </w:rPr>
              <w:t>Improves consistency in how programme quality is assessed across providers.</w:t>
            </w:r>
          </w:p>
          <w:p w14:paraId="4A97CCC2" w14:textId="77777777" w:rsidR="00186004" w:rsidRPr="00186004" w:rsidRDefault="00186004" w:rsidP="002D3AE1">
            <w:pPr>
              <w:pStyle w:val="TSBullet1"/>
              <w:rPr>
                <w:lang w:eastAsia="en-GB"/>
              </w:rPr>
            </w:pPr>
            <w:r w:rsidRPr="00186004">
              <w:rPr>
                <w:lang w:eastAsia="en-GB"/>
              </w:rPr>
              <w:t>Strengthens confidence that approval and monitoring decisions are based on explicit and transparent standards.</w:t>
            </w:r>
          </w:p>
          <w:p w14:paraId="3C970E63" w14:textId="77777777" w:rsidR="00186004" w:rsidRPr="00186004" w:rsidRDefault="00186004" w:rsidP="002D3AE1">
            <w:pPr>
              <w:pStyle w:val="TSBullet1"/>
              <w:rPr>
                <w:lang w:eastAsia="en-GB"/>
              </w:rPr>
            </w:pPr>
            <w:r w:rsidRPr="00186004">
              <w:rPr>
                <w:lang w:eastAsia="en-GB"/>
              </w:rPr>
              <w:t>Reduces reliance on variable individual judgement by building a trained and consistent assessor pool.</w:t>
            </w:r>
          </w:p>
          <w:p w14:paraId="0A0FB2A0" w14:textId="77777777" w:rsidR="00186004" w:rsidRPr="00186004" w:rsidRDefault="00186004" w:rsidP="002D3AE1">
            <w:pPr>
              <w:pStyle w:val="TSBullet1"/>
              <w:rPr>
                <w:lang w:eastAsia="en-GB"/>
              </w:rPr>
            </w:pPr>
            <w:r w:rsidRPr="00186004">
              <w:rPr>
                <w:lang w:eastAsia="en-GB"/>
              </w:rPr>
              <w:t>Provides stronger assurance that new requirements, including any shared core, are implemented with sufficient depth, coherence and rigour.</w:t>
            </w:r>
          </w:p>
          <w:p w14:paraId="1744629E" w14:textId="77777777" w:rsidR="00186004" w:rsidRPr="00186004" w:rsidRDefault="00186004" w:rsidP="002D3AE1">
            <w:pPr>
              <w:pStyle w:val="TSBullet1"/>
              <w:rPr>
                <w:lang w:eastAsia="en-GB"/>
              </w:rPr>
            </w:pPr>
            <w:r w:rsidRPr="00186004">
              <w:rPr>
                <w:lang w:eastAsia="en-GB"/>
              </w:rPr>
              <w:t>Repositions national moderation as a system-level assurance mechanism rather than a variable peer-to-peer process.</w:t>
            </w:r>
          </w:p>
        </w:tc>
      </w:tr>
    </w:tbl>
    <w:p w14:paraId="4802B802" w14:textId="66A19BCA" w:rsidR="00D3584A" w:rsidRDefault="00D3584A" w:rsidP="00E82EAB">
      <w:pPr>
        <w:pStyle w:val="USBodyText"/>
        <w:rPr>
          <w:lang w:eastAsia="en-GB"/>
        </w:rPr>
      </w:pPr>
    </w:p>
    <w:p w14:paraId="60E288D2" w14:textId="77777777" w:rsidR="00D3584A" w:rsidRDefault="00D3584A">
      <w:pPr>
        <w:rPr>
          <w:lang w:eastAsia="en-GB"/>
        </w:rPr>
      </w:pPr>
      <w:r w:rsidRPr="43B75BAF">
        <w:rPr>
          <w:lang w:eastAsia="en-GB"/>
        </w:rPr>
        <w:br w:type="page"/>
      </w:r>
    </w:p>
    <w:p w14:paraId="4AE70F4A" w14:textId="18A09A17" w:rsidR="00F953C1" w:rsidRDefault="36A4B93F" w:rsidP="00D47977">
      <w:pPr>
        <w:pStyle w:val="Heading1"/>
      </w:pPr>
      <w:bookmarkStart w:id="41" w:name="_Toc234512857"/>
      <w:bookmarkStart w:id="42" w:name="_Toc236686012"/>
      <w:bookmarkStart w:id="43" w:name="_Toc241658020"/>
      <w:r>
        <w:lastRenderedPageBreak/>
        <w:t>Project context</w:t>
      </w:r>
      <w:bookmarkEnd w:id="41"/>
      <w:bookmarkEnd w:id="42"/>
      <w:bookmarkEnd w:id="43"/>
    </w:p>
    <w:p w14:paraId="1D427316" w14:textId="0127F692" w:rsidR="00F953C1" w:rsidRPr="00F953C1" w:rsidRDefault="00F953C1" w:rsidP="00DD368D">
      <w:pPr>
        <w:pStyle w:val="Heading3"/>
      </w:pPr>
      <w:bookmarkStart w:id="44" w:name="_Toc234512858"/>
      <w:bookmarkStart w:id="45" w:name="_Toc236686013"/>
      <w:bookmarkStart w:id="46" w:name="_Toc241658021"/>
      <w:r>
        <w:t>Project scope</w:t>
      </w:r>
      <w:bookmarkEnd w:id="44"/>
      <w:bookmarkEnd w:id="45"/>
      <w:bookmarkEnd w:id="46"/>
    </w:p>
    <w:p w14:paraId="1945C75F" w14:textId="16B675FE" w:rsidR="00F953C1" w:rsidRPr="00500EBB" w:rsidRDefault="00F953C1" w:rsidP="00F953C1">
      <w:pPr>
        <w:pStyle w:val="USBodyText"/>
      </w:pPr>
      <w:r>
        <w:t>Responsibility for</w:t>
      </w:r>
      <w:r w:rsidR="001457B4">
        <w:t xml:space="preserve"> </w:t>
      </w:r>
      <w:r w:rsidR="00143F17">
        <w:t xml:space="preserve">establishing and maintaining the standards that underpin the teaching profession, including </w:t>
      </w:r>
      <w:r w:rsidR="00C702BB">
        <w:t xml:space="preserve">the </w:t>
      </w:r>
      <w:r w:rsidR="69245A0D" w:rsidRPr="65C5DE98">
        <w:rPr>
          <w:i/>
          <w:iCs/>
        </w:rPr>
        <w:t>Standards f</w:t>
      </w:r>
      <w:r w:rsidR="00143F17" w:rsidRPr="65C5DE98">
        <w:rPr>
          <w:i/>
          <w:iCs/>
        </w:rPr>
        <w:t>or the Teaching Profession</w:t>
      </w:r>
      <w:r w:rsidR="00143F17">
        <w:t xml:space="preserve"> </w:t>
      </w:r>
      <w:r w:rsidR="00B83790">
        <w:t>and</w:t>
      </w:r>
      <w:r w:rsidR="00143F17">
        <w:t xml:space="preserve"> </w:t>
      </w:r>
      <w:r>
        <w:t xml:space="preserve">the </w:t>
      </w:r>
      <w:r w:rsidRPr="65C5DE98">
        <w:rPr>
          <w:i/>
          <w:iCs/>
        </w:rPr>
        <w:t>ITE Programme Approval, Monitoring and Review Requirements</w:t>
      </w:r>
      <w:r>
        <w:t xml:space="preserve"> (the </w:t>
      </w:r>
      <w:r w:rsidR="242530F1">
        <w:t xml:space="preserve">ITE Programme </w:t>
      </w:r>
      <w:r>
        <w:t>Requirements)</w:t>
      </w:r>
      <w:r w:rsidR="001457B4">
        <w:t xml:space="preserve"> ha</w:t>
      </w:r>
      <w:r w:rsidR="00CD1F01">
        <w:t>s</w:t>
      </w:r>
      <w:r>
        <w:t xml:space="preserve"> transitioned from the Teaching Council </w:t>
      </w:r>
      <w:r w:rsidR="00246D15">
        <w:t xml:space="preserve">of Aotearoa New Zealand </w:t>
      </w:r>
      <w:r>
        <w:t xml:space="preserve">to the Ministry of Education (the Ministry). Under the </w:t>
      </w:r>
      <w:r w:rsidRPr="65C5DE98">
        <w:rPr>
          <w:i/>
          <w:iCs/>
        </w:rPr>
        <w:t>Education and Training (System Reform) Amendment Act</w:t>
      </w:r>
      <w:r>
        <w:t>, which came into effect on 6 July 2026, the Ministry of Education will assume</w:t>
      </w:r>
      <w:r w:rsidR="00DE7FF1">
        <w:t xml:space="preserve"> all standard setting </w:t>
      </w:r>
      <w:r w:rsidR="00DB3690">
        <w:t>function</w:t>
      </w:r>
      <w:r w:rsidR="13E880F2">
        <w:t>s</w:t>
      </w:r>
      <w:r w:rsidR="00DB3690">
        <w:t>, while the</w:t>
      </w:r>
      <w:r>
        <w:t xml:space="preserve"> </w:t>
      </w:r>
      <w:r w:rsidR="00246D15">
        <w:t xml:space="preserve">Teaching Council of Aotearoa New Zealand </w:t>
      </w:r>
      <w:r>
        <w:t xml:space="preserve">will remain responsible for administering the </w:t>
      </w:r>
      <w:r w:rsidR="242530F1">
        <w:t xml:space="preserve">ITE Programme </w:t>
      </w:r>
      <w:r>
        <w:t xml:space="preserve">Requirements and </w:t>
      </w:r>
      <w:r w:rsidR="00C702BB">
        <w:t>the Standards for the Teaching Profession</w:t>
      </w:r>
      <w:r>
        <w:t xml:space="preserve">. </w:t>
      </w:r>
    </w:p>
    <w:p w14:paraId="24FE39B7" w14:textId="7C2783D3" w:rsidR="00F953C1" w:rsidRDefault="36A4B93F" w:rsidP="00F953C1">
      <w:pPr>
        <w:pStyle w:val="USBodyText"/>
      </w:pPr>
      <w:r>
        <w:t xml:space="preserve">MartinJenkins, in partnership with dandolopartners (dandolo), has been engaged by the Ministry of Education to review the </w:t>
      </w:r>
      <w:r w:rsidR="242530F1">
        <w:t xml:space="preserve">ITE Programme </w:t>
      </w:r>
      <w:r>
        <w:t xml:space="preserve">Requirements, assess their ongoing fitness for purpose and identify opportunities for improvement. This </w:t>
      </w:r>
      <w:r w:rsidR="3DA00B44">
        <w:t xml:space="preserve">discussion </w:t>
      </w:r>
      <w:r w:rsidR="00C820D7">
        <w:t>document</w:t>
      </w:r>
      <w:r w:rsidR="3DA00B44">
        <w:t xml:space="preserve"> </w:t>
      </w:r>
      <w:r>
        <w:t xml:space="preserve">sets out the </w:t>
      </w:r>
      <w:r w:rsidR="7E41B6A8">
        <w:t>trigger</w:t>
      </w:r>
      <w:r w:rsidR="2B8E8582">
        <w:t xml:space="preserve"> for,</w:t>
      </w:r>
      <w:r w:rsidR="7E41B6A8">
        <w:t xml:space="preserve"> </w:t>
      </w:r>
      <w:r w:rsidR="1ED114F3">
        <w:t>and wider context</w:t>
      </w:r>
      <w:r w:rsidR="370A95C7">
        <w:t>,</w:t>
      </w:r>
      <w:r w:rsidR="1ED114F3">
        <w:t xml:space="preserve"> of</w:t>
      </w:r>
      <w:r>
        <w:t xml:space="preserve"> </w:t>
      </w:r>
      <w:r w:rsidR="458DFB6B">
        <w:t xml:space="preserve">the review of </w:t>
      </w:r>
      <w:r>
        <w:t xml:space="preserve">the </w:t>
      </w:r>
      <w:r w:rsidR="242530F1">
        <w:t xml:space="preserve">ITE Programme </w:t>
      </w:r>
      <w:r>
        <w:t xml:space="preserve">Requirements, the principles that have guided our review, and nine opportunities to strengthen the </w:t>
      </w:r>
      <w:r w:rsidR="242530F1">
        <w:t xml:space="preserve">ITE Programme </w:t>
      </w:r>
      <w:r>
        <w:t xml:space="preserve">Requirements. Together, these nine opportunities are </w:t>
      </w:r>
      <w:r w:rsidR="6ABAC29A">
        <w:t>propos</w:t>
      </w:r>
      <w:r>
        <w:t xml:space="preserve">ed to improve the quality and consistency of ITE provision and ensure the </w:t>
      </w:r>
      <w:r w:rsidR="242530F1">
        <w:t xml:space="preserve">ITE Programme </w:t>
      </w:r>
      <w:r>
        <w:t xml:space="preserve">Requirements more clearly reflect what is expected of teachers in education settings across Aotearoa New Zealand. </w:t>
      </w:r>
    </w:p>
    <w:p w14:paraId="7F0839B7" w14:textId="59D38887" w:rsidR="00240EEB" w:rsidRPr="0049140A" w:rsidRDefault="1E0EB6C9" w:rsidP="00F953C1">
      <w:pPr>
        <w:pStyle w:val="USBodyText"/>
      </w:pPr>
      <w:r>
        <w:t xml:space="preserve">This review </w:t>
      </w:r>
      <w:r w:rsidR="6EBE5ED5">
        <w:t>wa</w:t>
      </w:r>
      <w:r>
        <w:t xml:space="preserve">s not a first-principles review of the broader regulatory framework – it assumes the continuation of core features of the current system and considers how the </w:t>
      </w:r>
      <w:r w:rsidR="242530F1">
        <w:t xml:space="preserve">ITE Programme </w:t>
      </w:r>
      <w:r>
        <w:t>Requirements can best support the regulatory objectives within that framework.</w:t>
      </w:r>
      <w:r w:rsidR="703E501A">
        <w:t xml:space="preserve"> Further detail on regulatory considerations </w:t>
      </w:r>
      <w:r w:rsidR="008136D7">
        <w:t>is</w:t>
      </w:r>
      <w:r w:rsidR="703E501A">
        <w:t xml:space="preserve"> provided in </w:t>
      </w:r>
      <w:r w:rsidR="006E44FE">
        <w:fldChar w:fldCharType="begin"/>
      </w:r>
      <w:r w:rsidR="006E44FE">
        <w:instrText xml:space="preserve"> REF _Ref236899391 \r \h </w:instrText>
      </w:r>
      <w:r w:rsidR="006E44FE">
        <w:fldChar w:fldCharType="separate"/>
      </w:r>
      <w:r w:rsidR="00A90BD7">
        <w:t>Appendix 1</w:t>
      </w:r>
      <w:r w:rsidR="006E44FE">
        <w:fldChar w:fldCharType="end"/>
      </w:r>
      <w:r w:rsidR="703E501A">
        <w:t>.</w:t>
      </w:r>
    </w:p>
    <w:p w14:paraId="47F8EFC8" w14:textId="5E2B4603" w:rsidR="00F953C1" w:rsidRPr="007A6DCA" w:rsidRDefault="00F953C1" w:rsidP="007A6DCA">
      <w:pPr>
        <w:pStyle w:val="Heading3"/>
      </w:pPr>
      <w:bookmarkStart w:id="47" w:name="_Toc234512859"/>
      <w:bookmarkStart w:id="48" w:name="_Toc236686014"/>
      <w:bookmarkStart w:id="49" w:name="_Toc241658022"/>
      <w:r>
        <w:t>Methodology</w:t>
      </w:r>
      <w:bookmarkEnd w:id="47"/>
      <w:bookmarkEnd w:id="48"/>
      <w:bookmarkEnd w:id="49"/>
      <w:r>
        <w:t xml:space="preserve"> </w:t>
      </w:r>
    </w:p>
    <w:p w14:paraId="34139E61" w14:textId="77777777" w:rsidR="00F953C1" w:rsidRPr="00500EBB" w:rsidRDefault="00F953C1" w:rsidP="00F953C1">
      <w:pPr>
        <w:pStyle w:val="USBodyText"/>
      </w:pPr>
      <w:r w:rsidRPr="00500EBB">
        <w:t xml:space="preserve">MartinJenkins and dandolo undertook the review in two phases. Our work across both phases has been directly supported by an expert advisory group representing a diverse range of knowledge and perspectives relevant to </w:t>
      </w:r>
      <w:r>
        <w:t xml:space="preserve">ITE </w:t>
      </w:r>
      <w:r w:rsidRPr="00500EBB">
        <w:t xml:space="preserve">in Aotearoa New Zealand. This included four workshops with the full expert advisory group and engagements with individual experts to discuss points of detail aligned with their expertise. </w:t>
      </w:r>
    </w:p>
    <w:p w14:paraId="6FAFB718" w14:textId="7929212C" w:rsidR="00F953C1" w:rsidRPr="00500EBB" w:rsidRDefault="00F953C1" w:rsidP="00F953C1">
      <w:pPr>
        <w:pStyle w:val="USBodyText"/>
      </w:pPr>
      <w:r w:rsidRPr="00500EBB">
        <w:t xml:space="preserve">Further details of the six members of our expert advisory group are provided in </w:t>
      </w:r>
      <w:r w:rsidR="006E44FE">
        <w:fldChar w:fldCharType="begin"/>
      </w:r>
      <w:r w:rsidR="006E44FE">
        <w:instrText xml:space="preserve"> REF _Ref236899406 \r \h </w:instrText>
      </w:r>
      <w:r w:rsidR="006E44FE">
        <w:fldChar w:fldCharType="separate"/>
      </w:r>
      <w:r w:rsidR="00A90BD7">
        <w:t>Appendix 2</w:t>
      </w:r>
      <w:r w:rsidR="006E44FE">
        <w:fldChar w:fldCharType="end"/>
      </w:r>
      <w:r w:rsidRPr="006522E7">
        <w:t>.</w:t>
      </w:r>
      <w:r w:rsidRPr="00500EBB">
        <w:t xml:space="preserve"> </w:t>
      </w:r>
    </w:p>
    <w:p w14:paraId="430FF4FA" w14:textId="24255922" w:rsidR="00F953C1" w:rsidRPr="00500EBB" w:rsidRDefault="00F953C1" w:rsidP="006E44FE">
      <w:pPr>
        <w:pStyle w:val="USBodyText"/>
        <w:spacing w:after="60"/>
      </w:pPr>
      <w:r w:rsidRPr="00500EBB">
        <w:t xml:space="preserve">In Phase 1A, we sought to understand the context of the review, including surfacing what is working well and what could be improved in the </w:t>
      </w:r>
      <w:r w:rsidR="242530F1">
        <w:t xml:space="preserve">ITE Programme </w:t>
      </w:r>
      <w:r w:rsidRPr="00500EBB">
        <w:t>Requirements. To do this, we:</w:t>
      </w:r>
    </w:p>
    <w:p w14:paraId="5635EBF7" w14:textId="0ADBBE30" w:rsidR="00F953C1" w:rsidRPr="00E642F2" w:rsidRDefault="22C43748" w:rsidP="00F953C1">
      <w:pPr>
        <w:pStyle w:val="USBullet1"/>
      </w:pPr>
      <w:r>
        <w:t xml:space="preserve">Undertook a preliminary review of the current </w:t>
      </w:r>
      <w:r w:rsidR="3042065A">
        <w:t xml:space="preserve">ITE Programme </w:t>
      </w:r>
      <w:r>
        <w:t xml:space="preserve">Requirements and the 2026 Standards </w:t>
      </w:r>
      <w:r w:rsidR="515E9A78">
        <w:t>for the Teaching Profession</w:t>
      </w:r>
    </w:p>
    <w:p w14:paraId="6DAA5811" w14:textId="77777777" w:rsidR="00F953C1" w:rsidRPr="00E642F2" w:rsidRDefault="00F953C1" w:rsidP="00F953C1">
      <w:pPr>
        <w:pStyle w:val="USBullet1"/>
      </w:pPr>
      <w:r w:rsidRPr="00E642F2">
        <w:t>Interviewed key stakeholders in ITE</w:t>
      </w:r>
    </w:p>
    <w:p w14:paraId="3B016F40" w14:textId="77777777" w:rsidR="00F953C1" w:rsidRPr="00E642F2" w:rsidRDefault="00F953C1" w:rsidP="00F953C1">
      <w:pPr>
        <w:pStyle w:val="USBullet1"/>
      </w:pPr>
      <w:r w:rsidRPr="00E642F2">
        <w:lastRenderedPageBreak/>
        <w:t>Undertook a high-level literature and international landscape scan of best practice in ITE</w:t>
      </w:r>
    </w:p>
    <w:p w14:paraId="4115B375" w14:textId="77777777" w:rsidR="00F953C1" w:rsidRPr="00E642F2" w:rsidRDefault="00F953C1" w:rsidP="00F953C1">
      <w:pPr>
        <w:pStyle w:val="USBullet1"/>
      </w:pPr>
      <w:r w:rsidRPr="00E642F2">
        <w:t>Held a workshop with our expert advisory panel</w:t>
      </w:r>
    </w:p>
    <w:p w14:paraId="789254BC" w14:textId="600ECB82" w:rsidR="00F953C1" w:rsidRPr="00E642F2" w:rsidRDefault="00F953C1" w:rsidP="006E44FE">
      <w:pPr>
        <w:pStyle w:val="USBullet1"/>
        <w:spacing w:after="180"/>
      </w:pPr>
      <w:r w:rsidRPr="00E642F2">
        <w:t>Held a workshop with the Ministry of Education</w:t>
      </w:r>
      <w:r w:rsidR="008136D7">
        <w:t>.</w:t>
      </w:r>
    </w:p>
    <w:p w14:paraId="20C9AA35" w14:textId="7FDA73D2" w:rsidR="00F953C1" w:rsidRPr="00500EBB" w:rsidRDefault="00F953C1" w:rsidP="00F953C1">
      <w:pPr>
        <w:pStyle w:val="USBodyText"/>
      </w:pPr>
      <w:r>
        <w:t xml:space="preserve">Our initial findings report, submitted at the conclusion of Phase 1A, set out our initial assessment of why the </w:t>
      </w:r>
      <w:r w:rsidR="242530F1">
        <w:t xml:space="preserve">ITE Programme </w:t>
      </w:r>
      <w:r>
        <w:t xml:space="preserve">Requirements need to change and possible opportunities for improvement to be explored in greater depth in Phase 1B. The Ministry provided feedback on Phase 1A, and we have incorporated this in material improvements </w:t>
      </w:r>
      <w:r w:rsidR="697B871D">
        <w:t>for</w:t>
      </w:r>
      <w:r>
        <w:t xml:space="preserve"> this output.</w:t>
      </w:r>
    </w:p>
    <w:p w14:paraId="73937B1B" w14:textId="346C12A4" w:rsidR="00F953C1" w:rsidRPr="00500EBB" w:rsidRDefault="00F953C1" w:rsidP="006E44FE">
      <w:pPr>
        <w:pStyle w:val="USBodyText"/>
        <w:spacing w:after="60"/>
      </w:pPr>
      <w:r>
        <w:t xml:space="preserve">In Phase 1B, we tested and refined our preliminary findings to develop a case for </w:t>
      </w:r>
      <w:r w:rsidR="00F31A0B">
        <w:t xml:space="preserve">review </w:t>
      </w:r>
      <w:r>
        <w:t xml:space="preserve">and set of practical opportunities to strengthen the </w:t>
      </w:r>
      <w:r w:rsidR="242530F1">
        <w:t xml:space="preserve">ITE Programme </w:t>
      </w:r>
      <w:r>
        <w:t>Requirements. To do this, we:</w:t>
      </w:r>
    </w:p>
    <w:p w14:paraId="7BE6C26D" w14:textId="77777777" w:rsidR="00F953C1" w:rsidRPr="00E642F2" w:rsidRDefault="00F953C1" w:rsidP="00F953C1">
      <w:pPr>
        <w:pStyle w:val="USBullet1"/>
      </w:pPr>
      <w:r>
        <w:t>R</w:t>
      </w:r>
      <w:r w:rsidRPr="00A57F0F">
        <w:t>eview</w:t>
      </w:r>
      <w:r>
        <w:t>ed</w:t>
      </w:r>
      <w:r w:rsidRPr="00E642F2">
        <w:t xml:space="preserve"> literature </w:t>
      </w:r>
      <w:r>
        <w:t xml:space="preserve">on ITE best practice </w:t>
      </w:r>
      <w:r w:rsidRPr="00E642F2">
        <w:t xml:space="preserve">and international </w:t>
      </w:r>
      <w:r>
        <w:t>ITE frameworks</w:t>
      </w:r>
      <w:r w:rsidRPr="00E642F2">
        <w:t xml:space="preserve"> </w:t>
      </w:r>
    </w:p>
    <w:p w14:paraId="5EBDC71B" w14:textId="77777777" w:rsidR="00F953C1" w:rsidRPr="00E642F2" w:rsidRDefault="00F953C1" w:rsidP="00F953C1">
      <w:pPr>
        <w:pStyle w:val="USBullet1"/>
      </w:pPr>
      <w:r w:rsidRPr="00E642F2">
        <w:t xml:space="preserve">Held </w:t>
      </w:r>
      <w:r>
        <w:t xml:space="preserve">three </w:t>
      </w:r>
      <w:r w:rsidRPr="00E642F2">
        <w:t>workshops with our expert advisory panel</w:t>
      </w:r>
    </w:p>
    <w:p w14:paraId="318C4C39" w14:textId="7F91B8AB" w:rsidR="00F953C1" w:rsidRPr="00E642F2" w:rsidRDefault="00F953C1" w:rsidP="006E44FE">
      <w:pPr>
        <w:pStyle w:val="USBullet1"/>
        <w:spacing w:after="180"/>
      </w:pPr>
      <w:r w:rsidRPr="00E642F2">
        <w:t>Held targeted engagement with individual experts to discuss specific opportunities for improvement</w:t>
      </w:r>
      <w:r w:rsidR="007B211D">
        <w:t>.</w:t>
      </w:r>
    </w:p>
    <w:p w14:paraId="4571A160" w14:textId="54CFEE00" w:rsidR="2BADC9EE" w:rsidRDefault="3AE0136C" w:rsidP="35C216F2">
      <w:pPr>
        <w:pStyle w:val="USBodyText"/>
      </w:pPr>
      <w:r>
        <w:t xml:space="preserve">At the conclusion of this phase, we submitted a report to the Ministry setting out the opportunities for improvement which form the basis of this discussion </w:t>
      </w:r>
      <w:r w:rsidR="00C820D7">
        <w:t>document</w:t>
      </w:r>
      <w:r>
        <w:t xml:space="preserve">.  </w:t>
      </w:r>
    </w:p>
    <w:p w14:paraId="44C57D12" w14:textId="45C9CD47" w:rsidR="3C57B4EA" w:rsidRDefault="037C6AF3" w:rsidP="1709B4D8">
      <w:pPr>
        <w:pStyle w:val="USBodyText"/>
      </w:pPr>
      <w:r>
        <w:t xml:space="preserve">Across these initial phases, formal consultation with ITE providers was out of scope. However, as part of Phase 1A, we undertook interviews with a few key ITE stakeholders, including several stakeholders directly involved in the provision of ITE and representing ITE providers.  </w:t>
      </w:r>
    </w:p>
    <w:p w14:paraId="7A5347E1" w14:textId="568A90E7" w:rsidR="00F953C1" w:rsidRPr="007A6DCA" w:rsidRDefault="22C43748" w:rsidP="007A6DCA">
      <w:pPr>
        <w:pStyle w:val="Heading3"/>
      </w:pPr>
      <w:bookmarkStart w:id="50" w:name="_Toc234512860"/>
      <w:bookmarkStart w:id="51" w:name="_Toc236686015"/>
      <w:bookmarkStart w:id="52" w:name="_Toc241658023"/>
      <w:r>
        <w:t>Te Whare o Rongotauira</w:t>
      </w:r>
      <w:bookmarkEnd w:id="50"/>
      <w:bookmarkEnd w:id="51"/>
      <w:bookmarkEnd w:id="52"/>
      <w:r>
        <w:t xml:space="preserve"> </w:t>
      </w:r>
    </w:p>
    <w:p w14:paraId="03147826" w14:textId="0E47E099" w:rsidR="002D3AE1" w:rsidRDefault="00F953C1" w:rsidP="00974B51">
      <w:pPr>
        <w:spacing w:before="120" w:after="240" w:line="276" w:lineRule="auto"/>
      </w:pPr>
      <w:r w:rsidRPr="00836DD9">
        <w:t>The review of Te Whare o Rongotauira, the Māori-medium ITE Programme Approval, Monitoring and Review</w:t>
      </w:r>
      <w:r w:rsidRPr="00836DD9">
        <w:rPr>
          <w:rFonts w:ascii="Aptos" w:hAnsi="Aptos"/>
        </w:rPr>
        <w:t xml:space="preserve"> </w:t>
      </w:r>
      <w:r w:rsidRPr="00836DD9">
        <w:t xml:space="preserve">Requirements, is outside the scope of this project. We understand that there </w:t>
      </w:r>
      <w:r w:rsidR="00170D29" w:rsidRPr="00836DD9">
        <w:t xml:space="preserve">will be a </w:t>
      </w:r>
      <w:r w:rsidRPr="00836DD9">
        <w:t xml:space="preserve">process </w:t>
      </w:r>
      <w:r w:rsidR="00170D29" w:rsidRPr="00836DD9">
        <w:t xml:space="preserve">to </w:t>
      </w:r>
      <w:r w:rsidRPr="00836DD9">
        <w:t xml:space="preserve">consider </w:t>
      </w:r>
      <w:r w:rsidR="00170D29" w:rsidRPr="00836DD9">
        <w:t>any updates or alignment</w:t>
      </w:r>
      <w:r w:rsidRPr="00836DD9">
        <w:t xml:space="preserve"> with </w:t>
      </w:r>
      <w:r w:rsidR="00170D29" w:rsidRPr="00836DD9">
        <w:t>any new ITE Programme requirements</w:t>
      </w:r>
      <w:r w:rsidRPr="00836DD9">
        <w:t>. Any review of Te Whare o Rongotauira should be undertaken by those with appropriate Māori-medium expertise and in partnership with the Māori medium sector.</w:t>
      </w:r>
      <w:r w:rsidR="00F65692">
        <w:t xml:space="preserve"> </w:t>
      </w:r>
    </w:p>
    <w:p w14:paraId="306DA50A" w14:textId="5BE1D898" w:rsidR="00F953C1" w:rsidRPr="007A6DCA" w:rsidRDefault="17ADCA98" w:rsidP="007A6DCA">
      <w:pPr>
        <w:pStyle w:val="Heading3"/>
      </w:pPr>
      <w:bookmarkStart w:id="53" w:name="_Toc234512862"/>
      <w:bookmarkStart w:id="54" w:name="_Toc236686017"/>
      <w:bookmarkStart w:id="55" w:name="_Toc241658024"/>
      <w:r>
        <w:t xml:space="preserve">Engagement </w:t>
      </w:r>
      <w:r w:rsidR="00F953C1">
        <w:t>with expert advisory panel</w:t>
      </w:r>
      <w:bookmarkEnd w:id="53"/>
      <w:bookmarkEnd w:id="54"/>
      <w:bookmarkEnd w:id="55"/>
      <w:r w:rsidR="00F953C1">
        <w:t xml:space="preserve"> </w:t>
      </w:r>
    </w:p>
    <w:p w14:paraId="79614779" w14:textId="77777777" w:rsidR="00F953C1" w:rsidRPr="004F7843" w:rsidRDefault="00F953C1" w:rsidP="00F953C1">
      <w:pPr>
        <w:pStyle w:val="USBodyText"/>
      </w:pPr>
      <w:r>
        <w:t xml:space="preserve">An expert advisory panel of Dr Tony Scott, Dr Nina Hood ONZM, Helena McAlister, Iva Ropati, Lisa Rodgers PSM and Dr Zid Mancenido supported this review. We greatly valued the expertise, perspectives and challenge provided by the panel throughout the project. While their insights informed our thinking, the findings and opportunities presented in this report reflect the independent analysis and judgements of MartinJenkins and dandolo and should not be attributed to individual panel members. </w:t>
      </w:r>
    </w:p>
    <w:p w14:paraId="4FA9E969" w14:textId="77777777" w:rsidR="003235C8" w:rsidRDefault="003235C8">
      <w:pPr>
        <w:rPr>
          <w:rFonts w:eastAsiaTheme="majorEastAsia" w:cstheme="majorBidi"/>
          <w:b/>
          <w:color w:val="549D9E"/>
          <w:sz w:val="28"/>
          <w:szCs w:val="28"/>
        </w:rPr>
      </w:pPr>
      <w:bookmarkStart w:id="56" w:name="_Toc234512863"/>
      <w:r>
        <w:br w:type="page"/>
      </w:r>
    </w:p>
    <w:p w14:paraId="18356DD6" w14:textId="036E548D" w:rsidR="00F23A42" w:rsidRPr="00500EBB" w:rsidRDefault="00F23A42" w:rsidP="003235C8">
      <w:pPr>
        <w:pStyle w:val="Heading1"/>
      </w:pPr>
      <w:bookmarkStart w:id="57" w:name="_Toc236686018"/>
      <w:bookmarkStart w:id="58" w:name="_Toc241658025"/>
      <w:r>
        <w:lastRenderedPageBreak/>
        <w:t>Review Framework</w:t>
      </w:r>
      <w:bookmarkEnd w:id="56"/>
      <w:bookmarkEnd w:id="57"/>
      <w:bookmarkEnd w:id="58"/>
    </w:p>
    <w:p w14:paraId="54C35A52" w14:textId="3F93FE23" w:rsidR="00F23A42" w:rsidRDefault="00F23A42" w:rsidP="006E44FE">
      <w:pPr>
        <w:pStyle w:val="USBodyText"/>
        <w:spacing w:after="60"/>
      </w:pPr>
      <w:r w:rsidRPr="00500EBB">
        <w:t xml:space="preserve">We have developed a </w:t>
      </w:r>
      <w:r>
        <w:t>R</w:t>
      </w:r>
      <w:r w:rsidRPr="00500EBB">
        <w:t xml:space="preserve">eview </w:t>
      </w:r>
      <w:r>
        <w:t>F</w:t>
      </w:r>
      <w:r w:rsidRPr="00500EBB">
        <w:t xml:space="preserve">ramework outlining </w:t>
      </w:r>
      <w:r>
        <w:t xml:space="preserve">our approach to reviewing the </w:t>
      </w:r>
      <w:r w:rsidR="242530F1">
        <w:t xml:space="preserve">ITE Programme </w:t>
      </w:r>
      <w:r>
        <w:t>Requirements (</w:t>
      </w:r>
      <w:r w:rsidR="006E44FE">
        <w:fldChar w:fldCharType="begin"/>
      </w:r>
      <w:r w:rsidR="006E44FE">
        <w:instrText xml:space="preserve"> REF _Ref236899445 \h </w:instrText>
      </w:r>
      <w:r w:rsidR="006E44FE">
        <w:fldChar w:fldCharType="separate"/>
      </w:r>
      <w:r w:rsidR="004B2328" w:rsidRPr="00F66F24">
        <w:t xml:space="preserve">Figure </w:t>
      </w:r>
      <w:r w:rsidR="004B2328">
        <w:rPr>
          <w:noProof/>
        </w:rPr>
        <w:t>1</w:t>
      </w:r>
      <w:r w:rsidR="006E44FE">
        <w:fldChar w:fldCharType="end"/>
      </w:r>
      <w:r>
        <w:t>)</w:t>
      </w:r>
      <w:r w:rsidRPr="00500EBB">
        <w:t xml:space="preserve">. </w:t>
      </w:r>
      <w:r>
        <w:t>The framework provides a clear and transparent basis for the review, comprising of three components:</w:t>
      </w:r>
    </w:p>
    <w:p w14:paraId="471715B6" w14:textId="72C26245" w:rsidR="00F23A42" w:rsidRDefault="1297650C" w:rsidP="008C000E">
      <w:pPr>
        <w:pStyle w:val="USNumber1"/>
        <w:numPr>
          <w:ilvl w:val="0"/>
          <w:numId w:val="36"/>
        </w:numPr>
      </w:pPr>
      <w:r w:rsidRPr="008C000E">
        <w:rPr>
          <w:b/>
          <w:bCs/>
        </w:rPr>
        <w:t>Understanding the context, rationale and objectives of the review</w:t>
      </w:r>
      <w:r>
        <w:t xml:space="preserve">: our understanding of the environment in which ITE operates in Aotearoa New Zealand and the case for </w:t>
      </w:r>
      <w:r w:rsidR="00F31A0B">
        <w:t>review</w:t>
      </w:r>
      <w:r>
        <w:t>.</w:t>
      </w:r>
    </w:p>
    <w:p w14:paraId="4A0A148C" w14:textId="1FD96256" w:rsidR="00F23A42" w:rsidRDefault="1297650C" w:rsidP="008C000E">
      <w:pPr>
        <w:pStyle w:val="USNumber1"/>
        <w:numPr>
          <w:ilvl w:val="0"/>
          <w:numId w:val="36"/>
        </w:numPr>
      </w:pPr>
      <w:r w:rsidRPr="008C000E">
        <w:rPr>
          <w:b/>
          <w:bCs/>
        </w:rPr>
        <w:t>Principles informing the review</w:t>
      </w:r>
      <w:r>
        <w:t xml:space="preserve">: the considerations that have guided our judgements about the </w:t>
      </w:r>
      <w:r w:rsidR="0960D603">
        <w:t xml:space="preserve">ITE Programme </w:t>
      </w:r>
      <w:r>
        <w:t xml:space="preserve">Requirements and the direction changes should take. </w:t>
      </w:r>
    </w:p>
    <w:p w14:paraId="3C418827" w14:textId="1C995FF3" w:rsidR="00F23A42" w:rsidRDefault="1297650C" w:rsidP="00F66F24">
      <w:pPr>
        <w:pStyle w:val="USNumber1"/>
        <w:numPr>
          <w:ilvl w:val="0"/>
          <w:numId w:val="36"/>
        </w:numPr>
        <w:spacing w:after="180"/>
      </w:pPr>
      <w:r w:rsidRPr="008C000E">
        <w:rPr>
          <w:b/>
          <w:bCs/>
        </w:rPr>
        <w:t xml:space="preserve">Opportunities to improve the </w:t>
      </w:r>
      <w:r w:rsidR="0960D603" w:rsidRPr="008C000E">
        <w:rPr>
          <w:b/>
          <w:bCs/>
        </w:rPr>
        <w:t xml:space="preserve">ITE Programme </w:t>
      </w:r>
      <w:r w:rsidRPr="008C000E">
        <w:rPr>
          <w:b/>
          <w:bCs/>
        </w:rPr>
        <w:t>Requirements</w:t>
      </w:r>
      <w:r>
        <w:t xml:space="preserve">: the specific changes we believe will strengthen the coherence, quality and consistency of ITE provision. </w:t>
      </w:r>
    </w:p>
    <w:p w14:paraId="3911033B" w14:textId="77777777" w:rsidR="00F23A42" w:rsidRDefault="00F23A42" w:rsidP="00A72A54">
      <w:pPr>
        <w:pStyle w:val="USBodyText"/>
      </w:pPr>
      <w:r>
        <w:t xml:space="preserve">Each component is developed in depth in the sections that follow. </w:t>
      </w:r>
    </w:p>
    <w:p w14:paraId="786A2494" w14:textId="08B999C7" w:rsidR="000A64EF" w:rsidRPr="00446AA7" w:rsidRDefault="4609C2AC" w:rsidP="002E622E">
      <w:pPr>
        <w:pStyle w:val="Caption"/>
      </w:pPr>
      <w:bookmarkStart w:id="59" w:name="_Ref236899445"/>
      <w:bookmarkStart w:id="60" w:name="_Toc240542073"/>
      <w:r w:rsidRPr="00F66F24">
        <w:lastRenderedPageBreak/>
        <w:t xml:space="preserve">Figure </w:t>
      </w:r>
      <w:r>
        <w:fldChar w:fldCharType="begin"/>
      </w:r>
      <w:r>
        <w:instrText>SEQ Figure \* ARABIC</w:instrText>
      </w:r>
      <w:r>
        <w:fldChar w:fldCharType="separate"/>
      </w:r>
      <w:r w:rsidR="004B2328">
        <w:rPr>
          <w:noProof/>
        </w:rPr>
        <w:t>1</w:t>
      </w:r>
      <w:r>
        <w:fldChar w:fldCharType="end"/>
      </w:r>
      <w:bookmarkEnd w:id="59"/>
      <w:r w:rsidRPr="00F66F24">
        <w:t xml:space="preserve">: </w:t>
      </w:r>
      <w:r w:rsidRPr="00F66F24">
        <w:tab/>
        <w:t xml:space="preserve">Framework for reviewing the </w:t>
      </w:r>
      <w:r w:rsidR="0960D603" w:rsidRPr="00F66F24">
        <w:t xml:space="preserve">ITE Programme </w:t>
      </w:r>
      <w:r w:rsidRPr="00F66F24">
        <w:t>Requirements</w:t>
      </w:r>
      <w:bookmarkEnd w:id="60"/>
    </w:p>
    <w:p w14:paraId="3C6415B5" w14:textId="61CC54B7" w:rsidR="003603AC" w:rsidRPr="00D53814" w:rsidRDefault="4A28EEEF" w:rsidP="00E82EAB">
      <w:pPr>
        <w:pStyle w:val="USBodyText"/>
      </w:pPr>
      <w:r>
        <w:rPr>
          <w:noProof/>
        </w:rPr>
        <w:drawing>
          <wp:inline distT="0" distB="0" distL="0" distR="0" wp14:anchorId="029EE168" wp14:editId="09632517">
            <wp:extent cx="5762625" cy="4542609"/>
            <wp:effectExtent l="0" t="0" r="0" b="0"/>
            <wp:docPr id="1483202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20202" name="drawing"/>
                    <pic:cNvPicPr/>
                  </pic:nvPicPr>
                  <pic:blipFill>
                    <a:blip r:embed="rId41"/>
                    <a:stretch>
                      <a:fillRect/>
                    </a:stretch>
                  </pic:blipFill>
                  <pic:spPr>
                    <a:xfrm>
                      <a:off x="0" y="0"/>
                      <a:ext cx="5762625" cy="4542609"/>
                    </a:xfrm>
                    <a:prstGeom prst="rect">
                      <a:avLst/>
                    </a:prstGeom>
                  </pic:spPr>
                </pic:pic>
              </a:graphicData>
            </a:graphic>
          </wp:inline>
        </w:drawing>
      </w:r>
    </w:p>
    <w:p w14:paraId="78EA1880" w14:textId="6DF27F7B" w:rsidR="00C15C3A" w:rsidRPr="000C426E" w:rsidRDefault="00C15C3A" w:rsidP="00D47977">
      <w:pPr>
        <w:pStyle w:val="Heading1"/>
      </w:pPr>
      <w:bookmarkStart w:id="61" w:name="_Toc234512864"/>
      <w:bookmarkStart w:id="62" w:name="_Toc236686019"/>
      <w:bookmarkStart w:id="63" w:name="_Toc241658026"/>
      <w:r>
        <w:lastRenderedPageBreak/>
        <w:t>Context of ITE in Aotearoa New Zealand</w:t>
      </w:r>
      <w:bookmarkEnd w:id="61"/>
      <w:bookmarkEnd w:id="62"/>
      <w:bookmarkEnd w:id="63"/>
    </w:p>
    <w:p w14:paraId="47BAE3C8" w14:textId="77777777" w:rsidR="00C15C3A" w:rsidRDefault="00C15C3A" w:rsidP="005105D6">
      <w:pPr>
        <w:pStyle w:val="USBodyText"/>
        <w:spacing w:after="60"/>
      </w:pPr>
      <w:r w:rsidRPr="006166F8">
        <w:t xml:space="preserve">This section establishes the foundations for the review. </w:t>
      </w:r>
      <w:r>
        <w:t>It describes the:</w:t>
      </w:r>
    </w:p>
    <w:p w14:paraId="67C13E1B" w14:textId="77777777" w:rsidR="00C15C3A" w:rsidRPr="00C80156" w:rsidRDefault="00C15C3A" w:rsidP="001C5980">
      <w:pPr>
        <w:pStyle w:val="USBullet1"/>
      </w:pPr>
      <w:r>
        <w:t>Purpose of ITE</w:t>
      </w:r>
    </w:p>
    <w:p w14:paraId="7B787276" w14:textId="58D9A56D" w:rsidR="00C15C3A" w:rsidRPr="00C80156" w:rsidRDefault="00C15C3A" w:rsidP="001C5980">
      <w:pPr>
        <w:pStyle w:val="USBullet1"/>
      </w:pPr>
      <w:r>
        <w:t xml:space="preserve">Role of the </w:t>
      </w:r>
      <w:r w:rsidR="242530F1">
        <w:t xml:space="preserve">ITE Programme </w:t>
      </w:r>
      <w:r>
        <w:t xml:space="preserve">Requirements and their relationship to </w:t>
      </w:r>
      <w:r w:rsidR="00C702BB">
        <w:t>the Standards for the Teaching Profession</w:t>
      </w:r>
    </w:p>
    <w:p w14:paraId="56CC2535" w14:textId="77777777" w:rsidR="00C15C3A" w:rsidRPr="00C80156" w:rsidRDefault="00C15C3A" w:rsidP="001C5980">
      <w:pPr>
        <w:pStyle w:val="USBullet1"/>
      </w:pPr>
      <w:r>
        <w:t>Diversity of providers and delivery models</w:t>
      </w:r>
    </w:p>
    <w:p w14:paraId="70BC4455" w14:textId="1245D242" w:rsidR="00C15C3A" w:rsidRDefault="00C15C3A" w:rsidP="005105D6">
      <w:pPr>
        <w:pStyle w:val="USBullet1"/>
        <w:spacing w:after="180"/>
      </w:pPr>
      <w:r>
        <w:t>Distribution of system roles and responsibilities</w:t>
      </w:r>
      <w:r w:rsidR="008136D7">
        <w:t>.</w:t>
      </w:r>
    </w:p>
    <w:p w14:paraId="0196682B" w14:textId="712FB435" w:rsidR="00C15C3A" w:rsidRPr="001C5980" w:rsidRDefault="00C15C3A" w:rsidP="00DD368D">
      <w:pPr>
        <w:pStyle w:val="Heading3"/>
      </w:pPr>
      <w:bookmarkStart w:id="64" w:name="_Toc234512865"/>
      <w:bookmarkStart w:id="65" w:name="_Toc236686020"/>
      <w:bookmarkStart w:id="66" w:name="_Toc241658027"/>
      <w:r>
        <w:t xml:space="preserve">The </w:t>
      </w:r>
      <w:r w:rsidR="00B44D9B">
        <w:t xml:space="preserve">role </w:t>
      </w:r>
      <w:r>
        <w:t xml:space="preserve">of </w:t>
      </w:r>
      <w:bookmarkEnd w:id="64"/>
      <w:r>
        <w:t>ITE</w:t>
      </w:r>
      <w:bookmarkEnd w:id="65"/>
      <w:bookmarkEnd w:id="66"/>
    </w:p>
    <w:p w14:paraId="0226F3B2" w14:textId="2602A6F4" w:rsidR="00C15C3A" w:rsidRDefault="00C15C3A" w:rsidP="001C5980">
      <w:pPr>
        <w:pStyle w:val="USBodyText"/>
      </w:pPr>
      <w:r>
        <w:t>ITE provides the foundational training required for individuals to become qualified and registered teachers in Aotearoa New Zealand.</w:t>
      </w:r>
      <w:r w:rsidRPr="2F2DCFD8">
        <w:rPr>
          <w:rStyle w:val="FootnoteReference"/>
          <w:rFonts w:ascii="Aptos" w:hAnsi="Aptos"/>
        </w:rPr>
        <w:footnoteReference w:id="5"/>
      </w:r>
      <w:r>
        <w:t xml:space="preserve"> It equips student teachers with the knowledge, </w:t>
      </w:r>
      <w:r w:rsidR="00EA70EC">
        <w:t>practices</w:t>
      </w:r>
      <w:r>
        <w:t>,</w:t>
      </w:r>
      <w:r w:rsidR="00EA70EC">
        <w:t xml:space="preserve"> capabilities</w:t>
      </w:r>
      <w:r>
        <w:t xml:space="preserve"> and experience needed to move confidently into teaching roles across early childhood education (ECE), primary, and secondary education environments.</w:t>
      </w:r>
      <w:r w:rsidRPr="2F2DCFD8">
        <w:rPr>
          <w:rStyle w:val="FootnoteReference"/>
          <w:rFonts w:ascii="Aptos" w:hAnsi="Aptos"/>
        </w:rPr>
        <w:footnoteReference w:id="6"/>
      </w:r>
    </w:p>
    <w:p w14:paraId="2B5F9E60" w14:textId="77777777" w:rsidR="00C15C3A" w:rsidRPr="00500EBB" w:rsidRDefault="00C15C3A" w:rsidP="001C5980">
      <w:pPr>
        <w:pStyle w:val="USBodyText"/>
      </w:pPr>
      <w:r w:rsidRPr="00500EBB">
        <w:t>ITE bridges theory and practice by covering how students learn and develop, how to teach effectively, and how to apply relevant curriculum frameworks. It includes professional and cultural competencies, including te ao Māori, and incorporates hands-on teaching experience through placements in centres, schools, and kura.</w:t>
      </w:r>
    </w:p>
    <w:p w14:paraId="0E4B9C62" w14:textId="55B0F3D3" w:rsidR="00C15C3A" w:rsidRDefault="00C15C3A" w:rsidP="66849E4A">
      <w:pPr>
        <w:pStyle w:val="USBodyText"/>
        <w:rPr>
          <w:highlight w:val="cyan"/>
        </w:rPr>
      </w:pPr>
      <w:r>
        <w:t>Programmes prepare teachers to deliver Te Whāriki,</w:t>
      </w:r>
      <w:r w:rsidRPr="2F2DCFD8">
        <w:rPr>
          <w:rStyle w:val="FootnoteReference"/>
          <w:rFonts w:ascii="Aptos" w:hAnsi="Aptos"/>
        </w:rPr>
        <w:footnoteReference w:id="7"/>
      </w:r>
      <w:r>
        <w:t xml:space="preserve"> the New Zealand Curriculum</w:t>
      </w:r>
      <w:r w:rsidRPr="2F2DCFD8">
        <w:rPr>
          <w:rStyle w:val="FootnoteReference"/>
          <w:rFonts w:ascii="Aptos" w:hAnsi="Aptos"/>
        </w:rPr>
        <w:footnoteReference w:id="8"/>
      </w:r>
      <w:r>
        <w:t xml:space="preserve"> or Te Marautanga o Aotearoa</w:t>
      </w:r>
      <w:r w:rsidRPr="2F2DCFD8">
        <w:rPr>
          <w:rStyle w:val="FootnoteReference"/>
          <w:rFonts w:ascii="Aptos" w:hAnsi="Aptos"/>
        </w:rPr>
        <w:footnoteReference w:id="9"/>
      </w:r>
      <w:r w:rsidR="00F65692">
        <w:t xml:space="preserve"> </w:t>
      </w:r>
      <w:r>
        <w:t xml:space="preserve">and play a critical role in preparing a workforce that can respond to diverse learners, whānau, and communities in an increasingly complex education environments. </w:t>
      </w:r>
      <w:r w:rsidR="60F34FA2" w:rsidRPr="00F66F24">
        <w:t>Many programmes do this successfully, prod</w:t>
      </w:r>
      <w:r w:rsidR="2A992DEB" w:rsidRPr="00F66F24">
        <w:t>ucing graduates that are well-equipped to be</w:t>
      </w:r>
      <w:r w:rsidR="035EE0DC" w:rsidRPr="00F66F24">
        <w:t xml:space="preserve">gin </w:t>
      </w:r>
      <w:r w:rsidR="2A992DEB" w:rsidRPr="00F66F24">
        <w:t>their teaching careers.</w:t>
      </w:r>
    </w:p>
    <w:p w14:paraId="25C7045E" w14:textId="3ECB5DB4" w:rsidR="00170D29" w:rsidRDefault="72D034C8" w:rsidP="005B7D05">
      <w:pPr>
        <w:pStyle w:val="USBodyText"/>
      </w:pPr>
      <w:r>
        <w:t>W</w:t>
      </w:r>
      <w:r w:rsidR="00D11DD3">
        <w:t xml:space="preserve">hile </w:t>
      </w:r>
      <w:r w:rsidR="00B7226D">
        <w:t>ITE plays a distinct role in the preparation</w:t>
      </w:r>
      <w:r w:rsidR="00605E73">
        <w:t xml:space="preserve"> </w:t>
      </w:r>
      <w:r w:rsidR="00DC0F1C">
        <w:t>o</w:t>
      </w:r>
      <w:r w:rsidR="00605E73">
        <w:t>f high-quality teachers</w:t>
      </w:r>
      <w:r w:rsidR="00D11DD3">
        <w:t xml:space="preserve">, it sits within </w:t>
      </w:r>
      <w:r w:rsidR="00F91C04">
        <w:t>a broader ecosystem of influences. ITE provides the foundational training</w:t>
      </w:r>
      <w:r w:rsidR="00191CB8">
        <w:t xml:space="preserve">, but </w:t>
      </w:r>
      <w:r w:rsidR="00F91C04">
        <w:t xml:space="preserve">teacher effectiveness is shaped by </w:t>
      </w:r>
      <w:r w:rsidR="007C5553">
        <w:lastRenderedPageBreak/>
        <w:t>factors beyond the scope of ITE, including school context, leadership, professional development opportunities, and the diversity of experiences gained through a teacher’s career.</w:t>
      </w:r>
    </w:p>
    <w:p w14:paraId="05BB1C15" w14:textId="109BFCF9" w:rsidR="00C15C3A" w:rsidRPr="001C5980" w:rsidRDefault="3BC95EBD" w:rsidP="00DD368D">
      <w:pPr>
        <w:pStyle w:val="Heading3"/>
      </w:pPr>
      <w:bookmarkStart w:id="67" w:name="_Toc234512866"/>
      <w:bookmarkStart w:id="68" w:name="_Toc236686021"/>
      <w:bookmarkStart w:id="69" w:name="_Toc241658028"/>
      <w:r>
        <w:t xml:space="preserve">The </w:t>
      </w:r>
      <w:r w:rsidR="00C15C3A">
        <w:t xml:space="preserve">ITE </w:t>
      </w:r>
      <w:r w:rsidR="495BAF7C">
        <w:t xml:space="preserve">Programme </w:t>
      </w:r>
      <w:r w:rsidR="00C15C3A">
        <w:t xml:space="preserve">Requirements and </w:t>
      </w:r>
      <w:r w:rsidR="00C702BB">
        <w:t>the Standards for the Teaching Professio</w:t>
      </w:r>
      <w:r w:rsidR="00C15C3A">
        <w:t>n</w:t>
      </w:r>
      <w:bookmarkEnd w:id="67"/>
      <w:bookmarkEnd w:id="68"/>
      <w:bookmarkEnd w:id="69"/>
    </w:p>
    <w:p w14:paraId="7630FD7F" w14:textId="6093B14D" w:rsidR="00C15C3A" w:rsidRDefault="210AC5A1" w:rsidP="001C5980">
      <w:pPr>
        <w:pStyle w:val="USBodyText"/>
      </w:pPr>
      <w:r>
        <w:t>The ITE Programme Requirements</w:t>
      </w:r>
      <w:r w:rsidR="475125C5">
        <w:t xml:space="preserve"> establish the expectations that all ITE programmes must meet in relation to programme design, delivery, assessment and quality assurance.</w:t>
      </w:r>
      <w:r w:rsidRPr="2F2DCFD8">
        <w:rPr>
          <w:rStyle w:val="FootnoteReference"/>
          <w:rFonts w:ascii="Aptos" w:hAnsi="Aptos"/>
        </w:rPr>
        <w:footnoteReference w:id="10"/>
      </w:r>
      <w:r w:rsidR="475125C5">
        <w:t xml:space="preserve"> </w:t>
      </w:r>
      <w:r w:rsidR="33DE7D8F">
        <w:t>They are the primary regulatory mechanism for setting nationally consistent expectation</w:t>
      </w:r>
      <w:r w:rsidR="3447D538">
        <w:t>s</w:t>
      </w:r>
      <w:r w:rsidR="33DE7D8F">
        <w:t xml:space="preserve"> for ITE and establishing the strong foundational standard for entry into, and successful completion of, an approved ITE programme. Through these requirements, the system provides assurance that graduating teachers have developed the knowledge, </w:t>
      </w:r>
      <w:r w:rsidR="00EA70EC">
        <w:t>practices</w:t>
      </w:r>
      <w:r w:rsidR="33DE7D8F">
        <w:t xml:space="preserve">, </w:t>
      </w:r>
      <w:r w:rsidR="00A81211">
        <w:t xml:space="preserve">and </w:t>
      </w:r>
      <w:r w:rsidR="00EA70EC">
        <w:t xml:space="preserve">capabilities </w:t>
      </w:r>
      <w:r w:rsidR="33DE7D8F">
        <w:t xml:space="preserve">expected for entry to the </w:t>
      </w:r>
      <w:r w:rsidR="313D3595">
        <w:t xml:space="preserve">profession. </w:t>
      </w:r>
    </w:p>
    <w:p w14:paraId="5079EB9B" w14:textId="100C7020" w:rsidR="00C15C3A" w:rsidRDefault="69478906" w:rsidP="005105D6">
      <w:pPr>
        <w:pStyle w:val="USBodyText"/>
        <w:spacing w:after="60"/>
      </w:pPr>
      <w:r>
        <w:t>The ITE Programme Requirements</w:t>
      </w:r>
      <w:r w:rsidR="475125C5">
        <w:t xml:space="preserve"> set out the requirements that programmes must meet, including: </w:t>
      </w:r>
    </w:p>
    <w:p w14:paraId="70508248" w14:textId="749698F0" w:rsidR="00C15C3A" w:rsidRDefault="475125C5" w:rsidP="001C5980">
      <w:pPr>
        <w:pStyle w:val="USBullet1"/>
      </w:pPr>
      <w:r>
        <w:t xml:space="preserve">Graduate outcomes aligned with </w:t>
      </w:r>
      <w:r w:rsidR="5B09ED61">
        <w:t>the Standards for the Teaching Profession</w:t>
      </w:r>
    </w:p>
    <w:p w14:paraId="5BA2F05A" w14:textId="77777777" w:rsidR="00C15C3A" w:rsidRDefault="00C15C3A" w:rsidP="001C5980">
      <w:pPr>
        <w:pStyle w:val="USBullet1"/>
      </w:pPr>
      <w:r>
        <w:t>Programme design and structure, including integration of theory and practice</w:t>
      </w:r>
    </w:p>
    <w:p w14:paraId="14EB91A0" w14:textId="77777777" w:rsidR="00C15C3A" w:rsidRDefault="00C15C3A" w:rsidP="001C5980">
      <w:pPr>
        <w:pStyle w:val="USBullet1"/>
      </w:pPr>
      <w:r>
        <w:t>Delivery methods that support diverse learners</w:t>
      </w:r>
    </w:p>
    <w:p w14:paraId="2C3E744D" w14:textId="5EA09C8B" w:rsidR="00C15C3A" w:rsidRDefault="00C15C3A" w:rsidP="001C5980">
      <w:pPr>
        <w:pStyle w:val="USBullet1"/>
      </w:pPr>
      <w:r>
        <w:t xml:space="preserve">Assessment practices to ensure student teachers meet </w:t>
      </w:r>
      <w:r w:rsidR="00C702BB">
        <w:t>the Standards for the Teaching Profession</w:t>
      </w:r>
    </w:p>
    <w:p w14:paraId="73008B41" w14:textId="77777777" w:rsidR="00C15C3A" w:rsidRDefault="00C15C3A" w:rsidP="001C5980">
      <w:pPr>
        <w:pStyle w:val="USBullet1"/>
      </w:pPr>
      <w:r>
        <w:t>Entry requirements and pathways into ITE</w:t>
      </w:r>
    </w:p>
    <w:p w14:paraId="76EB4248" w14:textId="15B66B7A" w:rsidR="00C15C3A" w:rsidRDefault="00C15C3A" w:rsidP="005105D6">
      <w:pPr>
        <w:pStyle w:val="USBullet1"/>
        <w:spacing w:after="180"/>
      </w:pPr>
      <w:r>
        <w:t>Approvals, monitoring and review and moderation processes to maintain quality</w:t>
      </w:r>
      <w:r w:rsidR="008136D7">
        <w:t>.</w:t>
      </w:r>
    </w:p>
    <w:p w14:paraId="3A5AC628" w14:textId="15150450" w:rsidR="00C15C3A" w:rsidRPr="00F50FBB" w:rsidRDefault="475125C5" w:rsidP="001C5980">
      <w:pPr>
        <w:pStyle w:val="USBodyText"/>
      </w:pPr>
      <w:r>
        <w:t xml:space="preserve">Each of the </w:t>
      </w:r>
      <w:r w:rsidR="0960D603">
        <w:t xml:space="preserve">ITE Programme </w:t>
      </w:r>
      <w:r>
        <w:t xml:space="preserve">Requirements includes the standard itself, </w:t>
      </w:r>
      <w:r w:rsidR="77FEBFC5">
        <w:t>along with</w:t>
      </w:r>
      <w:r w:rsidR="3C8C0388">
        <w:t xml:space="preserve"> </w:t>
      </w:r>
      <w:r>
        <w:t xml:space="preserve">evidence expectations and guidance </w:t>
      </w:r>
      <w:r w:rsidR="66BFAEA7">
        <w:t xml:space="preserve">to support </w:t>
      </w:r>
      <w:r>
        <w:t>providers</w:t>
      </w:r>
      <w:r w:rsidR="200395AD">
        <w:t xml:space="preserve"> </w:t>
      </w:r>
      <w:r w:rsidR="3DCC6051">
        <w:t>in meeting</w:t>
      </w:r>
      <w:r w:rsidR="200395AD">
        <w:t xml:space="preserve"> </w:t>
      </w:r>
      <w:r w:rsidR="1A7554F2">
        <w:t xml:space="preserve">the </w:t>
      </w:r>
      <w:r w:rsidR="00246D15">
        <w:t>Teaching Council of Aotearoa New Zealand</w:t>
      </w:r>
      <w:r w:rsidR="200395AD">
        <w:t xml:space="preserve"> program</w:t>
      </w:r>
      <w:r w:rsidR="6765AFB0">
        <w:t>me</w:t>
      </w:r>
      <w:r w:rsidR="200395AD">
        <w:t xml:space="preserve"> approval and monitoring </w:t>
      </w:r>
      <w:r w:rsidR="304BF370">
        <w:t>requirements</w:t>
      </w:r>
      <w:r w:rsidR="009034BD">
        <w:t>.</w:t>
      </w:r>
    </w:p>
    <w:p w14:paraId="4770CC11" w14:textId="7D5FEA86" w:rsidR="00C15C3A" w:rsidRPr="00500EBB" w:rsidRDefault="475125C5" w:rsidP="001C5980">
      <w:pPr>
        <w:pStyle w:val="USBodyText"/>
      </w:pPr>
      <w:r>
        <w:t>Through the</w:t>
      </w:r>
      <w:r w:rsidR="0960D603">
        <w:t xml:space="preserve"> ITE Programme</w:t>
      </w:r>
      <w:r>
        <w:t xml:space="preserve"> Requirements, ITE programmes are required to be designed to ensure graduates can meet </w:t>
      </w:r>
      <w:r w:rsidR="5B09ED61">
        <w:t>the Standards for the Teaching Profession</w:t>
      </w:r>
      <w:r>
        <w:t xml:space="preserve"> (in a supported environment).</w:t>
      </w:r>
      <w:r w:rsidR="00C15C3A" w:rsidRPr="1709B4D8">
        <w:rPr>
          <w:rStyle w:val="FootnoteReference"/>
          <w:rFonts w:ascii="Aptos" w:hAnsi="Aptos"/>
        </w:rPr>
        <w:footnoteReference w:id="11"/>
      </w:r>
      <w:r>
        <w:t xml:space="preserve"> </w:t>
      </w:r>
      <w:r w:rsidR="1B7B47A5" w:rsidRPr="1709B4D8">
        <w:t>The Standards for the Teaching Profession</w:t>
      </w:r>
      <w:r w:rsidR="4699D67D">
        <w:t xml:space="preserve"> </w:t>
      </w:r>
      <w:r w:rsidR="131BFB76">
        <w:t xml:space="preserve">and the </w:t>
      </w:r>
      <w:r w:rsidR="0960D603">
        <w:t xml:space="preserve">ITE Programme </w:t>
      </w:r>
      <w:r w:rsidR="131BFB76">
        <w:t xml:space="preserve">Requirements perform distinct but complementary functions within the regulatory system. </w:t>
      </w:r>
      <w:r w:rsidR="30610BCE">
        <w:t>The ITE Programme Requirements</w:t>
      </w:r>
      <w:r w:rsidR="131BFB76">
        <w:t xml:space="preserve"> establish the foundational expectation that approved ITE providers must meet and the threshold graduates must demonstrate to complete a programme.</w:t>
      </w:r>
      <w:r w:rsidR="6DAEBF87">
        <w:t xml:space="preserve"> They </w:t>
      </w:r>
      <w:r w:rsidR="03D2BFAA">
        <w:t>set</w:t>
      </w:r>
      <w:r w:rsidR="6DAEBF87">
        <w:t xml:space="preserve"> the </w:t>
      </w:r>
      <w:r w:rsidR="03D2BFAA">
        <w:t>standard for programme approval and graduate readiness, providing assurance that all graduates have met the agreed expectation for the teaching profession</w:t>
      </w:r>
      <w:r w:rsidR="0CC36247">
        <w:t>.</w:t>
      </w:r>
      <w:r w:rsidR="131BFB76">
        <w:t xml:space="preserve"> </w:t>
      </w:r>
      <w:r w:rsidR="78D165F0">
        <w:t>The Standards for the Teaching Profession</w:t>
      </w:r>
      <w:r>
        <w:t xml:space="preserve"> define the knowledge, practice and professional expectations required of </w:t>
      </w:r>
      <w:r w:rsidR="131BFB76">
        <w:t>teachers and</w:t>
      </w:r>
      <w:r>
        <w:t xml:space="preserve"> provide a common framework for professional practice, growth and certification across the teaching profession. The system is transitioning from the </w:t>
      </w:r>
      <w:r>
        <w:lastRenderedPageBreak/>
        <w:t>2017 Standards for the Teaching Profession to the 2026 Standards, with all programmes required to align with the new 2026 Standards from 2027.</w:t>
      </w:r>
      <w:r w:rsidR="00C15C3A" w:rsidRPr="1709B4D8">
        <w:rPr>
          <w:rStyle w:val="FootnoteReference"/>
          <w:rFonts w:ascii="Aptos" w:hAnsi="Aptos"/>
        </w:rPr>
        <w:footnoteReference w:id="12"/>
      </w:r>
      <w:r>
        <w:t xml:space="preserve"> </w:t>
      </w:r>
    </w:p>
    <w:p w14:paraId="4D51725B" w14:textId="561853DB" w:rsidR="00C15C3A" w:rsidRPr="001C5980" w:rsidRDefault="00C15C3A" w:rsidP="00DD368D">
      <w:pPr>
        <w:pStyle w:val="Heading3"/>
      </w:pPr>
      <w:bookmarkStart w:id="70" w:name="_Toc234512867"/>
      <w:bookmarkStart w:id="71" w:name="_Toc236686022"/>
      <w:bookmarkStart w:id="72" w:name="_Toc241658029"/>
      <w:r>
        <w:t>Providers and delivery models</w:t>
      </w:r>
      <w:bookmarkEnd w:id="70"/>
      <w:bookmarkEnd w:id="71"/>
      <w:bookmarkEnd w:id="72"/>
    </w:p>
    <w:p w14:paraId="489CE027" w14:textId="77777777" w:rsidR="00C15C3A" w:rsidRPr="00500EBB" w:rsidRDefault="00C15C3A" w:rsidP="001C5980">
      <w:pPr>
        <w:pStyle w:val="USBodyText"/>
      </w:pPr>
      <w:r w:rsidRPr="00500EBB">
        <w:t xml:space="preserve">ITE in New Zealand is delivered by a diverse range of approved providers, including universities, institutes of technology and polytechnics, wānanga, and </w:t>
      </w:r>
      <w:r>
        <w:t>private training establishments.</w:t>
      </w:r>
      <w:r w:rsidRPr="00500EBB">
        <w:t xml:space="preserve"> Providers offer broadly similar qualification pathways, including </w:t>
      </w:r>
      <w:r>
        <w:t>B</w:t>
      </w:r>
      <w:r w:rsidRPr="00500EBB">
        <w:t xml:space="preserve">achelor, </w:t>
      </w:r>
      <w:r>
        <w:t>G</w:t>
      </w:r>
      <w:r w:rsidRPr="00500EBB">
        <w:t xml:space="preserve">raduate </w:t>
      </w:r>
      <w:r>
        <w:t>D</w:t>
      </w:r>
      <w:r w:rsidRPr="00500EBB">
        <w:t xml:space="preserve">iploma, </w:t>
      </w:r>
      <w:r>
        <w:t>P</w:t>
      </w:r>
      <w:r w:rsidRPr="00500EBB">
        <w:t xml:space="preserve">ostgraduate diploma, and </w:t>
      </w:r>
      <w:r>
        <w:t>M</w:t>
      </w:r>
      <w:r w:rsidRPr="00500EBB">
        <w:t>aster</w:t>
      </w:r>
      <w:r>
        <w:t>-level</w:t>
      </w:r>
      <w:r w:rsidRPr="00500EBB">
        <w:t xml:space="preserve"> programmes. These pathways vary considerably in duration, from intensive one-year graduate entry qualifications through to three- and four-year undergraduate programmes. Universities remain the dominant providers of primary and secondary ITE programmes, training 83 percent of graduates in primary </w:t>
      </w:r>
      <w:r>
        <w:t xml:space="preserve">programmes </w:t>
      </w:r>
      <w:r w:rsidRPr="00500EBB">
        <w:t xml:space="preserve">and 85 percent in secondary </w:t>
      </w:r>
      <w:r>
        <w:t xml:space="preserve">programmes </w:t>
      </w:r>
      <w:r w:rsidRPr="00500EBB">
        <w:t>in 2024. Private Training Establishments account for the majority of ECE ITE programme graduates.</w:t>
      </w:r>
    </w:p>
    <w:p w14:paraId="455022DE" w14:textId="77777777" w:rsidR="00C15C3A" w:rsidRPr="00500EBB" w:rsidRDefault="00C15C3A" w:rsidP="001C5980">
      <w:pPr>
        <w:pStyle w:val="USBodyText"/>
      </w:pPr>
      <w:r w:rsidRPr="00500EBB">
        <w:t>Programmes are delivered through three main models: campus-based, blended or distance, and employment-based delivery. Campus-based programmes involve primarily face-to-face learning combined with professional experience placements in schools or early learning settings.</w:t>
      </w:r>
      <w:r w:rsidRPr="43B75BAF">
        <w:rPr>
          <w:rStyle w:val="FootnoteReference"/>
          <w:rFonts w:ascii="Aptos" w:hAnsi="Aptos"/>
        </w:rPr>
        <w:footnoteReference w:id="13"/>
      </w:r>
      <w:r w:rsidRPr="00500EBB">
        <w:t xml:space="preserve"> Blended and distance models integrate online learning with in-person and school-based components, enabling more flexible and regionally accessible study.</w:t>
      </w:r>
      <w:r w:rsidRPr="43B75BAF">
        <w:rPr>
          <w:rStyle w:val="FootnoteReference"/>
          <w:rFonts w:ascii="Aptos" w:hAnsi="Aptos"/>
        </w:rPr>
        <w:footnoteReference w:id="14"/>
      </w:r>
      <w:r w:rsidRPr="00500EBB">
        <w:t xml:space="preserve"> Employment-based models embed trainees in schools from the outset, allowing them to work while completing their qualification with structured mentoring and academic support. Together, these models provide multiple pathways into teaching and enable providers to respond to different learner needs and workforce demands.</w:t>
      </w:r>
      <w:r w:rsidRPr="43B75BAF">
        <w:rPr>
          <w:rStyle w:val="FootnoteReference"/>
          <w:rFonts w:ascii="Aptos" w:hAnsi="Aptos"/>
        </w:rPr>
        <w:footnoteReference w:id="15"/>
      </w:r>
    </w:p>
    <w:p w14:paraId="2E566B4D" w14:textId="57D3874F" w:rsidR="00C15C3A" w:rsidRPr="00500EBB" w:rsidRDefault="00C15C3A" w:rsidP="001C5980">
      <w:pPr>
        <w:pStyle w:val="USBodyText"/>
      </w:pPr>
      <w:r w:rsidRPr="00500EBB">
        <w:t>A</w:t>
      </w:r>
      <w:r>
        <w:t xml:space="preserve"> list of </w:t>
      </w:r>
      <w:r w:rsidRPr="00500EBB">
        <w:t xml:space="preserve">providers and programmes currently offered across Aotearoa New Zealand is provided in </w:t>
      </w:r>
      <w:r w:rsidR="009D734B">
        <w:rPr>
          <w:highlight w:val="yellow"/>
        </w:rPr>
        <w:fldChar w:fldCharType="begin"/>
      </w:r>
      <w:r w:rsidR="009D734B">
        <w:instrText xml:space="preserve"> REF _Ref236899516 \r \h </w:instrText>
      </w:r>
      <w:r w:rsidR="009D734B">
        <w:rPr>
          <w:highlight w:val="yellow"/>
        </w:rPr>
      </w:r>
      <w:r w:rsidR="009D734B">
        <w:rPr>
          <w:highlight w:val="yellow"/>
        </w:rPr>
        <w:fldChar w:fldCharType="separate"/>
      </w:r>
      <w:r w:rsidR="00A90BD7">
        <w:t>Appendix 3</w:t>
      </w:r>
      <w:r w:rsidR="009D734B">
        <w:rPr>
          <w:highlight w:val="yellow"/>
        </w:rPr>
        <w:fldChar w:fldCharType="end"/>
      </w:r>
      <w:r w:rsidRPr="00775DDA">
        <w:t>.</w:t>
      </w:r>
      <w:r w:rsidR="00A365EE">
        <w:rPr>
          <w:rStyle w:val="FootnoteReference"/>
        </w:rPr>
        <w:footnoteReference w:id="16"/>
      </w:r>
      <w:r w:rsidRPr="00500EBB">
        <w:t xml:space="preserve"> </w:t>
      </w:r>
    </w:p>
    <w:p w14:paraId="445F3BD8" w14:textId="5A181B45" w:rsidR="00C15C3A" w:rsidRPr="00500EBB" w:rsidRDefault="00C15C3A" w:rsidP="00DD368D">
      <w:pPr>
        <w:pStyle w:val="Heading3"/>
      </w:pPr>
      <w:bookmarkStart w:id="73" w:name="_Toc234512868"/>
      <w:bookmarkStart w:id="74" w:name="_Toc236686023"/>
      <w:bookmarkStart w:id="75" w:name="_Toc241658030"/>
      <w:r>
        <w:t>System roles and responsibilities</w:t>
      </w:r>
      <w:bookmarkEnd w:id="73"/>
      <w:bookmarkEnd w:id="74"/>
      <w:bookmarkEnd w:id="75"/>
      <w:r>
        <w:t xml:space="preserve"> </w:t>
      </w:r>
    </w:p>
    <w:p w14:paraId="1487A344" w14:textId="42AF01DB" w:rsidR="00C15C3A" w:rsidRPr="00500EBB" w:rsidRDefault="00C15C3A" w:rsidP="005105D6">
      <w:pPr>
        <w:pStyle w:val="USBodyText"/>
        <w:spacing w:after="60"/>
      </w:pPr>
      <w:r w:rsidRPr="00500EBB">
        <w:t xml:space="preserve">Responsibility for ITE is distributed across education bodies. </w:t>
      </w:r>
    </w:p>
    <w:p w14:paraId="328F1A5B" w14:textId="7E4A138C" w:rsidR="00C15C3A" w:rsidRPr="00604368" w:rsidRDefault="00C15C3A" w:rsidP="001C5980">
      <w:pPr>
        <w:pStyle w:val="USBullet1"/>
      </w:pPr>
      <w:r>
        <w:t>The Ministry of Education provides overall policy stewardship for ITE and has responsibility for setting teaching Standards, teacher registration requirements,</w:t>
      </w:r>
      <w:r w:rsidR="000B4321">
        <w:t xml:space="preserve"> practi</w:t>
      </w:r>
      <w:r w:rsidR="00175240">
        <w:t>s</w:t>
      </w:r>
      <w:r w:rsidR="000B4321">
        <w:t>ing certificate</w:t>
      </w:r>
      <w:r w:rsidR="00175240">
        <w:t>s</w:t>
      </w:r>
      <w:r w:rsidR="000B4321">
        <w:t xml:space="preserve"> criteria</w:t>
      </w:r>
      <w:r>
        <w:t xml:space="preserve"> and ITE Programme Requirements. </w:t>
      </w:r>
    </w:p>
    <w:p w14:paraId="36F2E6CE" w14:textId="2B03CFED" w:rsidR="00C15C3A" w:rsidRPr="009D08F3" w:rsidRDefault="00C15C3A" w:rsidP="66849E4A">
      <w:pPr>
        <w:pStyle w:val="USBullet1"/>
      </w:pPr>
      <w:r w:rsidRPr="009D08F3">
        <w:lastRenderedPageBreak/>
        <w:t xml:space="preserve">The </w:t>
      </w:r>
      <w:r w:rsidR="00246D15">
        <w:t xml:space="preserve">Teaching Council of Aotearoa New Zealand </w:t>
      </w:r>
      <w:r w:rsidRPr="009D08F3">
        <w:t xml:space="preserve">is responsible for approving, monitoring, and reviewing ITE programmes against the </w:t>
      </w:r>
      <w:r w:rsidR="242530F1" w:rsidRPr="009D08F3">
        <w:t xml:space="preserve">ITE Programme </w:t>
      </w:r>
      <w:r w:rsidRPr="009D08F3">
        <w:t>Requirements.</w:t>
      </w:r>
      <w:r w:rsidR="4F5A352D" w:rsidRPr="009D08F3">
        <w:t xml:space="preserve"> This includes </w:t>
      </w:r>
      <w:r w:rsidR="3444C4DE" w:rsidRPr="009D08F3">
        <w:t xml:space="preserve">Te Whare o Rongotauira.  </w:t>
      </w:r>
    </w:p>
    <w:p w14:paraId="1F8D4D32" w14:textId="77777777" w:rsidR="00C15C3A" w:rsidRPr="00604368" w:rsidRDefault="00C15C3A" w:rsidP="001C5980">
      <w:pPr>
        <w:pStyle w:val="USBullet1"/>
      </w:pPr>
      <w:r w:rsidRPr="00604368">
        <w:t>Separate quality assurance from an academic qualification perspective is undertaken by either the Committee on University Academic Programmes (</w:t>
      </w:r>
      <w:r>
        <w:t xml:space="preserve">CUAP) </w:t>
      </w:r>
      <w:r w:rsidRPr="00604368">
        <w:t>(for university providers) or the New Zealand Qualifications Authority (</w:t>
      </w:r>
      <w:r>
        <w:t>NZQA)</w:t>
      </w:r>
      <w:r w:rsidRPr="00604368">
        <w:t xml:space="preserve"> (for non-university providers), meaning ITE programmes are subject to dual regulatory and oversight processes. </w:t>
      </w:r>
    </w:p>
    <w:p w14:paraId="0AD74146" w14:textId="77777777" w:rsidR="00C15C3A" w:rsidRPr="00604368" w:rsidRDefault="00C15C3A" w:rsidP="005105D6">
      <w:pPr>
        <w:pStyle w:val="USBullet1"/>
        <w:spacing w:after="180"/>
      </w:pPr>
      <w:r>
        <w:t>The</w:t>
      </w:r>
      <w:r w:rsidRPr="00604368">
        <w:t xml:space="preserve"> Tertiary Education Commission </w:t>
      </w:r>
      <w:r>
        <w:t>(TEC) supports</w:t>
      </w:r>
      <w:r w:rsidRPr="00604368">
        <w:t xml:space="preserve"> ITE provision through funding and investment arrangements. </w:t>
      </w:r>
    </w:p>
    <w:p w14:paraId="7EEFC031" w14:textId="7E591AD3" w:rsidR="00C15C3A" w:rsidRPr="00500EBB" w:rsidRDefault="00C15C3A" w:rsidP="001C5980">
      <w:pPr>
        <w:pStyle w:val="USBodyText"/>
      </w:pPr>
      <w:r w:rsidRPr="00500EBB">
        <w:t>A summary of the educational bodies involved in ITE regulation and their primar</w:t>
      </w:r>
      <w:r>
        <w:t>y</w:t>
      </w:r>
      <w:r w:rsidRPr="00500EBB">
        <w:t xml:space="preserve"> responsibilities is provided in </w:t>
      </w:r>
      <w:r w:rsidR="009D734B">
        <w:rPr>
          <w:highlight w:val="yellow"/>
        </w:rPr>
        <w:fldChar w:fldCharType="begin"/>
      </w:r>
      <w:r w:rsidR="009D734B">
        <w:instrText xml:space="preserve"> REF _Ref236899527 \r \h </w:instrText>
      </w:r>
      <w:r w:rsidR="009D734B">
        <w:rPr>
          <w:highlight w:val="yellow"/>
        </w:rPr>
      </w:r>
      <w:r w:rsidR="009D734B">
        <w:rPr>
          <w:highlight w:val="yellow"/>
        </w:rPr>
        <w:fldChar w:fldCharType="separate"/>
      </w:r>
      <w:r w:rsidR="00A90BD7">
        <w:t>Appendix 4</w:t>
      </w:r>
      <w:r w:rsidR="009D734B">
        <w:rPr>
          <w:highlight w:val="yellow"/>
        </w:rPr>
        <w:fldChar w:fldCharType="end"/>
      </w:r>
      <w:r w:rsidR="007E3EF0">
        <w:t>.</w:t>
      </w:r>
    </w:p>
    <w:p w14:paraId="4EAD069F" w14:textId="77777777" w:rsidR="00C15C3A" w:rsidRPr="00500EBB" w:rsidRDefault="00C15C3A" w:rsidP="001C5980">
      <w:pPr>
        <w:pStyle w:val="USBodyText"/>
      </w:pPr>
      <w:r w:rsidRPr="00500EBB">
        <w:t xml:space="preserve">Schools, kura, and ECE services are essential partners in the delivery of ITE. They provide the professional experience placements through which student teachers develop and demonstrate teaching capability in authentic educational settings. Professional experience enables student teachers to apply theory to practice, develop classroom or teaching skills, build relationships with learners and whānau, and gain exposure to the day-to-day realities of teaching. High-quality professional experiences are widely recognised as one of the most important contributors to teacher preparedness and successful transition into the profession. Schools, kura and ECE services also continue to play a key role after graduation through structured induction and mentoring. </w:t>
      </w:r>
    </w:p>
    <w:p w14:paraId="5EE3CE1D" w14:textId="77777777" w:rsidR="00C15C3A" w:rsidRDefault="00C15C3A" w:rsidP="001C5980">
      <w:pPr>
        <w:pStyle w:val="USBodyText"/>
      </w:pPr>
      <w:r w:rsidRPr="00500EBB">
        <w:t xml:space="preserve">Together, these form a layered regulatory and operational framework in which responsibility for policy stewardship, standard setting, programme approval, quality assurance, funding, and professional practice is distributed across multiple actors. As a result, ITE providers operate within a system </w:t>
      </w:r>
      <w:r>
        <w:t xml:space="preserve">whereby different organisations contribute to shaping programme quality and graduate readiness. </w:t>
      </w:r>
    </w:p>
    <w:p w14:paraId="616B5E48" w14:textId="7A4EEE34" w:rsidR="00423FE3" w:rsidRPr="00423FE3" w:rsidRDefault="00CD2B5E" w:rsidP="00D47977">
      <w:pPr>
        <w:pStyle w:val="Heading1"/>
      </w:pPr>
      <w:bookmarkStart w:id="76" w:name="_Toc236686024"/>
      <w:bookmarkStart w:id="77" w:name="_Toc241658031"/>
      <w:r>
        <w:lastRenderedPageBreak/>
        <w:t>Trigger for this review</w:t>
      </w:r>
      <w:bookmarkEnd w:id="76"/>
      <w:bookmarkEnd w:id="77"/>
    </w:p>
    <w:p w14:paraId="6F0CD90E" w14:textId="02759984" w:rsidR="00423FE3" w:rsidRDefault="00423FE3" w:rsidP="00423FE3">
      <w:pPr>
        <w:pStyle w:val="USBodyText"/>
      </w:pPr>
      <w:r>
        <w:t xml:space="preserve">Changes to </w:t>
      </w:r>
      <w:r w:rsidR="00C702BB">
        <w:t>the Standards for the Teaching Profession</w:t>
      </w:r>
      <w:r>
        <w:t xml:space="preserve"> provide a specific trigger to reconsider the </w:t>
      </w:r>
      <w:r w:rsidR="242530F1">
        <w:t xml:space="preserve">ITE Programme </w:t>
      </w:r>
      <w:r>
        <w:t>Requirements, in the context of wider imperatives to evolve ITE to deliver better equipped graduate teachers.</w:t>
      </w:r>
    </w:p>
    <w:p w14:paraId="5AEFD350" w14:textId="70B98C48" w:rsidR="00423FE3" w:rsidRPr="00604368" w:rsidRDefault="4113581E" w:rsidP="00354639">
      <w:pPr>
        <w:pStyle w:val="Heading4"/>
      </w:pPr>
      <w:bookmarkStart w:id="78" w:name="_Toc1081063396"/>
      <w:r>
        <w:t xml:space="preserve">The 2026 Standards </w:t>
      </w:r>
      <w:r w:rsidR="7C4585DF">
        <w:t xml:space="preserve">for the Teaching Profession </w:t>
      </w:r>
      <w:r>
        <w:t xml:space="preserve">represent a significant change in what is expected of teachers and necessitate changes to the </w:t>
      </w:r>
      <w:r w:rsidR="0960D603">
        <w:t xml:space="preserve">ITE Programme </w:t>
      </w:r>
      <w:r>
        <w:t>Requirements.</w:t>
      </w:r>
      <w:bookmarkEnd w:id="78"/>
    </w:p>
    <w:p w14:paraId="3D8A8D30" w14:textId="115C9D0B" w:rsidR="00423FE3" w:rsidRPr="00500EBB" w:rsidRDefault="00423FE3" w:rsidP="00423FE3">
      <w:pPr>
        <w:pStyle w:val="USBodyText"/>
      </w:pPr>
      <w:r>
        <w:t>From 1 January 2027, the 2026 Standards take formal effect across Aotearoa New Zealand. While they build on the 2017 Standards, the 2026 Standards mark a material shift in expectations of the knowledge and practices teachers need to support learner success, setting a clearer direction for the profession and reflecting contemporary expectations of what effective teaching looks like. For example, th</w:t>
      </w:r>
      <w:r w:rsidR="2A18F420">
        <w:t>e</w:t>
      </w:r>
      <w:r>
        <w:t xml:space="preserve"> 2026 Standards provide for a stronger focus on literacy and numeracy.</w:t>
      </w:r>
    </w:p>
    <w:p w14:paraId="23D402FB" w14:textId="283E343A" w:rsidR="7B68B52F" w:rsidRPr="009D08F3" w:rsidRDefault="7B68B52F" w:rsidP="66849E4A">
      <w:pPr>
        <w:pStyle w:val="USBodyText"/>
      </w:pPr>
      <w:r w:rsidRPr="009D08F3">
        <w:t>Revising the Standards for the Teaching Profession will not, by itself, drive change in ITE programmes. Australia's experience with ITE reform shows that national graduate standards alone did not ensure consistency in what preservice teachers were actually taught</w:t>
      </w:r>
      <w:r w:rsidR="5D32AB57" w:rsidRPr="009D08F3">
        <w:rPr>
          <w:rFonts w:asciiTheme="minorHAnsi" w:eastAsiaTheme="minorEastAsia" w:hAnsiTheme="minorHAnsi"/>
          <w:szCs w:val="19"/>
        </w:rPr>
        <w:t>.</w:t>
      </w:r>
      <w:r w:rsidRPr="009D08F3">
        <w:rPr>
          <w:rStyle w:val="FootnoteReference"/>
        </w:rPr>
        <w:footnoteReference w:id="17"/>
      </w:r>
    </w:p>
    <w:p w14:paraId="07573E36" w14:textId="4228E7B8" w:rsidR="00423FE3" w:rsidRPr="009D08F3" w:rsidRDefault="3C9BF96E" w:rsidP="00423FE3">
      <w:pPr>
        <w:pStyle w:val="USBodyText"/>
      </w:pPr>
      <w:r w:rsidRPr="009D08F3">
        <w:t>The ITE Programme Requirements</w:t>
      </w:r>
      <w:r w:rsidR="00423FE3" w:rsidRPr="009D08F3">
        <w:t xml:space="preserve"> are the primary mechanism for ensuring ITE courses equip student teachers with the necessary skills and knowledge before they enter the profession. They cover programme design, delivery, assessment, partnerships, entry requirements, moderation and review, with the outcome of producing graduate teachers who meet </w:t>
      </w:r>
      <w:r w:rsidR="00C702BB" w:rsidRPr="009D08F3">
        <w:t>the Standards for the Teaching Profession</w:t>
      </w:r>
      <w:r w:rsidR="00423FE3" w:rsidRPr="009D08F3">
        <w:t xml:space="preserve">. </w:t>
      </w:r>
    </w:p>
    <w:p w14:paraId="2B0E5433" w14:textId="3BF1FFA5" w:rsidR="004D4E9B" w:rsidRPr="0044046A" w:rsidRDefault="4AA399F8" w:rsidP="045E5A3E">
      <w:pPr>
        <w:pStyle w:val="USBodyText"/>
      </w:pPr>
      <w:r w:rsidRPr="009D08F3">
        <w:t>The current ITE Programme Requirements have many strengths. But</w:t>
      </w:r>
      <w:r>
        <w:t xml:space="preserve"> b</w:t>
      </w:r>
      <w:r w:rsidR="7875CE01">
        <w:t>ecause the</w:t>
      </w:r>
      <w:r w:rsidR="242530F1">
        <w:t xml:space="preserve"> ITE Programme</w:t>
      </w:r>
      <w:r w:rsidR="7875CE01">
        <w:t xml:space="preserve"> Requirements are directly anchored to </w:t>
      </w:r>
      <w:r w:rsidR="00C702BB">
        <w:t>the Standards for the Teaching Profession</w:t>
      </w:r>
      <w:r w:rsidR="7875CE01">
        <w:t xml:space="preserve">, the introduction of the revised Standards provides a clear trigger to review and </w:t>
      </w:r>
      <w:r w:rsidR="42A38015">
        <w:t xml:space="preserve">consider changes to </w:t>
      </w:r>
      <w:r w:rsidR="7875CE01">
        <w:t xml:space="preserve">the </w:t>
      </w:r>
      <w:r w:rsidR="242530F1">
        <w:t xml:space="preserve">ITE Programme </w:t>
      </w:r>
      <w:r w:rsidR="7875CE01">
        <w:t>Requirements, so they continue to give effect to what the profession now expects of beginning teachers.</w:t>
      </w:r>
      <w:r w:rsidR="297152A2">
        <w:t xml:space="preserve"> </w:t>
      </w:r>
      <w:r w:rsidR="53786345">
        <w:t xml:space="preserve">This </w:t>
      </w:r>
      <w:r w:rsidR="139354B0">
        <w:t>is particularly important</w:t>
      </w:r>
      <w:r w:rsidR="53786345">
        <w:t xml:space="preserve"> in </w:t>
      </w:r>
      <w:r w:rsidR="139354B0">
        <w:t>a</w:t>
      </w:r>
      <w:r w:rsidR="53786345">
        <w:t xml:space="preserve"> context of </w:t>
      </w:r>
      <w:r w:rsidR="6D1EA759">
        <w:t xml:space="preserve">increased interest in practice-based approaches to teacher preparation, growing expectations regarding graduate readiness, changes in curriculum, and a stronger focus on ensuring beginning teachers enter the profession equipped with the skills required to succeed in increasingly diverse and complex learning environments. </w:t>
      </w:r>
    </w:p>
    <w:p w14:paraId="546B00B5" w14:textId="1883144B" w:rsidR="00423FE3" w:rsidRDefault="4113581E" w:rsidP="00354639">
      <w:pPr>
        <w:pStyle w:val="Heading4"/>
      </w:pPr>
      <w:bookmarkStart w:id="79" w:name="_Toc786390092"/>
      <w:r>
        <w:lastRenderedPageBreak/>
        <w:t xml:space="preserve">Under the current model, responsibility for how graduates meet </w:t>
      </w:r>
      <w:r w:rsidR="5B09ED61">
        <w:t>the Standards for the Teaching Profession</w:t>
      </w:r>
      <w:r>
        <w:t xml:space="preserve"> largely sits with providers.</w:t>
      </w:r>
      <w:bookmarkEnd w:id="79"/>
      <w:r w:rsidR="00423FE3">
        <w:t xml:space="preserve"> </w:t>
      </w:r>
    </w:p>
    <w:p w14:paraId="28070968" w14:textId="0E9BFBEF" w:rsidR="00423FE3" w:rsidRDefault="00423FE3" w:rsidP="00423FE3">
      <w:pPr>
        <w:pStyle w:val="USBodyText"/>
      </w:pPr>
      <w:r>
        <w:t xml:space="preserve">The current </w:t>
      </w:r>
      <w:r w:rsidR="35D0EF16">
        <w:t xml:space="preserve">ITE Programme </w:t>
      </w:r>
      <w:r>
        <w:t xml:space="preserve">Requirements give providers substantial discretion in how they interpret and operationalise </w:t>
      </w:r>
      <w:r w:rsidR="00C702BB">
        <w:t>the Standards for the Teaching Profession</w:t>
      </w:r>
      <w:r>
        <w:t xml:space="preserve">. Providers determine how </w:t>
      </w:r>
      <w:r w:rsidR="00C702BB">
        <w:t>the Standards for the Teaching Profession</w:t>
      </w:r>
      <w:r>
        <w:t xml:space="preserve"> are translated into programme content, assessment and graduate expectations, and what student teachers must learn to demonstrate them in a supported environment. </w:t>
      </w:r>
    </w:p>
    <w:p w14:paraId="3100929B" w14:textId="750F1005" w:rsidR="00423FE3" w:rsidRDefault="00423FE3" w:rsidP="00E95872">
      <w:pPr>
        <w:pStyle w:val="USBodyText"/>
        <w:spacing w:after="360"/>
        <w:rPr>
          <w:b/>
          <w:bCs/>
        </w:rPr>
      </w:pPr>
      <w:r>
        <w:t xml:space="preserve">This flexibility supports diversity in programme design and delivery. It also means there is no common expectation of the essential knowledge, practices and </w:t>
      </w:r>
      <w:r w:rsidR="00B36372">
        <w:t xml:space="preserve">capabilities </w:t>
      </w:r>
      <w:r>
        <w:t>that all beginning teachers should develop before entering the profession and requires each provider to independently determine what the revised Standards mean for the design of their programmes. This places significant reliance on provider interpretation to deliver system-wide outcomes.</w:t>
      </w:r>
    </w:p>
    <w:tbl>
      <w:tblPr>
        <w:tblStyle w:val="TableGrid"/>
        <w:tblW w:w="0" w:type="auto"/>
        <w:tblCellMar>
          <w:top w:w="198" w:type="dxa"/>
          <w:left w:w="170" w:type="dxa"/>
          <w:bottom w:w="198" w:type="dxa"/>
          <w:right w:w="170" w:type="dxa"/>
        </w:tblCellMar>
        <w:tblLook w:val="06A0" w:firstRow="1" w:lastRow="0" w:firstColumn="1" w:lastColumn="0" w:noHBand="1" w:noVBand="1"/>
      </w:tblPr>
      <w:tblGrid>
        <w:gridCol w:w="9060"/>
      </w:tblGrid>
      <w:tr w:rsidR="727D27C3" w14:paraId="3DD70C0F" w14:textId="77777777" w:rsidTr="66849E4A">
        <w:trPr>
          <w:trHeight w:val="300"/>
        </w:trPr>
        <w:tc>
          <w:tcPr>
            <w:tcW w:w="9060" w:type="dxa"/>
            <w:tcBorders>
              <w:top w:val="nil"/>
              <w:left w:val="nil"/>
              <w:bottom w:val="nil"/>
              <w:right w:val="nil"/>
            </w:tcBorders>
            <w:shd w:val="clear" w:color="auto" w:fill="D5E4E6" w:themeFill="accent1" w:themeFillTint="33"/>
          </w:tcPr>
          <w:p w14:paraId="68CA9649" w14:textId="261DFE17" w:rsidR="560A33A2" w:rsidRDefault="7AE9AAE4" w:rsidP="00FF68D0">
            <w:pPr>
              <w:pStyle w:val="Heading4"/>
              <w:spacing w:before="0" w:after="0"/>
            </w:pPr>
            <w:bookmarkStart w:id="80" w:name="_Toc42103913"/>
            <w:r>
              <w:t>For discussion</w:t>
            </w:r>
            <w:r w:rsidR="28792ED3">
              <w:t>:</w:t>
            </w:r>
            <w:bookmarkEnd w:id="80"/>
          </w:p>
          <w:p w14:paraId="1A125A12" w14:textId="39DCFD87" w:rsidR="63C15A98" w:rsidRDefault="53F70B54" w:rsidP="63C15A98">
            <w:pPr>
              <w:pStyle w:val="USBullet1"/>
              <w:spacing w:before="120" w:after="120"/>
            </w:pPr>
            <w:r>
              <w:t>To what extent should the ITE Programme Requirements prescribe how the Standards for the Teaching Profession</w:t>
            </w:r>
            <w:r w:rsidR="42082473">
              <w:t xml:space="preserve"> </w:t>
            </w:r>
            <w:r w:rsidR="73E75D4D">
              <w:t>are reflected in programme design, content and assessment?</w:t>
            </w:r>
          </w:p>
          <w:p w14:paraId="71E43FBC" w14:textId="3D01D7B9" w:rsidR="727D27C3" w:rsidRDefault="06753933" w:rsidP="001F3AA3">
            <w:pPr>
              <w:pStyle w:val="USBullet1"/>
              <w:spacing w:before="120" w:after="120"/>
            </w:pPr>
            <w:r>
              <w:t>In what areas is greater consistency across providers warranted, and where should providers retain flexibility?</w:t>
            </w:r>
          </w:p>
        </w:tc>
      </w:tr>
    </w:tbl>
    <w:p w14:paraId="79651605" w14:textId="55A19149" w:rsidR="727D27C3" w:rsidRDefault="727D27C3" w:rsidP="727D27C3">
      <w:pPr>
        <w:pStyle w:val="USBodyText"/>
      </w:pPr>
    </w:p>
    <w:p w14:paraId="3C95D39B" w14:textId="4F776991" w:rsidR="00DA421C" w:rsidRPr="00B4300F" w:rsidRDefault="3F30F37B" w:rsidP="00605FD8">
      <w:pPr>
        <w:pStyle w:val="Heading1"/>
      </w:pPr>
      <w:bookmarkStart w:id="81" w:name="_Toc241658032"/>
      <w:r>
        <w:lastRenderedPageBreak/>
        <w:t>Wider context</w:t>
      </w:r>
      <w:bookmarkEnd w:id="81"/>
    </w:p>
    <w:p w14:paraId="05E895E1" w14:textId="75EED81D" w:rsidR="6F5462D2" w:rsidRDefault="6F5462D2" w:rsidP="35C216F2">
      <w:pPr>
        <w:pStyle w:val="USBodyText"/>
      </w:pPr>
      <w:r>
        <w:t xml:space="preserve">We have four interlinked reasons that, together, make the case for </w:t>
      </w:r>
      <w:r w:rsidR="1F72387D">
        <w:t>the ITE Programme Requirements to provide a clearer</w:t>
      </w:r>
      <w:r w:rsidR="5D6836B3">
        <w:t xml:space="preserve"> and </w:t>
      </w:r>
      <w:r w:rsidR="182EA32F">
        <w:t>more consistent</w:t>
      </w:r>
      <w:r>
        <w:t xml:space="preserve"> </w:t>
      </w:r>
      <w:r w:rsidR="5EC71A70">
        <w:t>foundation for teacher preparation</w:t>
      </w:r>
      <w:r w:rsidR="00353289">
        <w:t>,</w:t>
      </w:r>
      <w:r>
        <w:t xml:space="preserve"> and a more direct representation of </w:t>
      </w:r>
      <w:r w:rsidRPr="6B86200F">
        <w:rPr>
          <w:i/>
          <w:iCs/>
        </w:rPr>
        <w:t>how</w:t>
      </w:r>
      <w:r>
        <w:t xml:space="preserve"> </w:t>
      </w:r>
      <w:r w:rsidR="00C702BB">
        <w:t>the Standards for the Teaching Profession</w:t>
      </w:r>
      <w:r>
        <w:t xml:space="preserve"> should be represented in ITE through the requirements.</w:t>
      </w:r>
    </w:p>
    <w:p w14:paraId="217CF65B" w14:textId="3DBF3F8E" w:rsidR="00423FE3" w:rsidRDefault="4113581E" w:rsidP="00D27FBB">
      <w:pPr>
        <w:pStyle w:val="Heading5"/>
      </w:pPr>
      <w:bookmarkStart w:id="82" w:name="_Toc367334036"/>
      <w:r>
        <w:t>There is a strong imperative to improve teacher preparedness to contribute to improving student outcomes.</w:t>
      </w:r>
      <w:bookmarkEnd w:id="82"/>
    </w:p>
    <w:p w14:paraId="5203BEB9" w14:textId="77777777" w:rsidR="00423FE3" w:rsidRDefault="00423FE3" w:rsidP="00423FE3">
      <w:pPr>
        <w:pStyle w:val="USBodyText"/>
        <w:rPr>
          <w:color w:val="000000"/>
        </w:rPr>
      </w:pPr>
      <w:r>
        <w:rPr>
          <w:color w:val="000000"/>
        </w:rPr>
        <w:t>Improving student outcomes remains a persistent challenge in</w:t>
      </w:r>
      <w:r w:rsidRPr="00F04089">
        <w:rPr>
          <w:color w:val="000000"/>
        </w:rPr>
        <w:t xml:space="preserve"> Aotearoa New Zealand, particularly in literacy and numeracy</w:t>
      </w:r>
      <w:r>
        <w:rPr>
          <w:color w:val="000000"/>
        </w:rPr>
        <w:t xml:space="preserve">, </w:t>
      </w:r>
      <w:r w:rsidRPr="00500EBB">
        <w:t xml:space="preserve">with declines evidenced across national and international measures, including </w:t>
      </w:r>
      <w:r>
        <w:t>the National Certificate of Educational Achievement (NCEA)</w:t>
      </w:r>
      <w:r w:rsidRPr="00500EBB">
        <w:t>, national monitoring studies, and P</w:t>
      </w:r>
      <w:r>
        <w:t>rogramme for International Student Assessment (P</w:t>
      </w:r>
      <w:r w:rsidRPr="00500EBB">
        <w:t>ISA</w:t>
      </w:r>
      <w:r>
        <w:t>)</w:t>
      </w:r>
      <w:r w:rsidRPr="00500EBB">
        <w:t>.</w:t>
      </w:r>
      <w:r w:rsidRPr="43B75BAF">
        <w:rPr>
          <w:rStyle w:val="FootnoteReference"/>
          <w:rFonts w:ascii="Aptos" w:hAnsi="Aptos"/>
        </w:rPr>
        <w:footnoteReference w:id="18"/>
      </w:r>
    </w:p>
    <w:p w14:paraId="74B8ABDA" w14:textId="0DAC941E" w:rsidR="00423FE3" w:rsidRDefault="00423FE3" w:rsidP="00423FE3">
      <w:pPr>
        <w:pStyle w:val="USBodyText"/>
      </w:pPr>
      <w:r>
        <w:t xml:space="preserve">There are also widening gaps across the system. </w:t>
      </w:r>
      <w:r w:rsidRPr="005821EA">
        <w:t>Māori</w:t>
      </w:r>
      <w:r>
        <w:t xml:space="preserve"> </w:t>
      </w:r>
      <w:r w:rsidRPr="005821EA">
        <w:t>and Pasifika learners, and learners from lower socioeconomic backgrounds, continue to experience poorer outcomes on many measures of achievement and educational success.</w:t>
      </w:r>
      <w:r w:rsidRPr="00473E95">
        <w:rPr>
          <w:vertAlign w:val="superscript"/>
        </w:rPr>
        <w:footnoteReference w:id="19"/>
      </w:r>
      <w:r>
        <w:t xml:space="preserve"> </w:t>
      </w:r>
      <w:r w:rsidRPr="00B13152">
        <w:t>While these outcomes reflect a complex set of factors, they reinforce the importance of ensuring all learners have access to high-quality teaching and learning experiences throughout their educational journey.</w:t>
      </w:r>
    </w:p>
    <w:p w14:paraId="6BA5B291" w14:textId="15942679" w:rsidR="00423FE3" w:rsidRDefault="00423FE3" w:rsidP="00423FE3">
      <w:pPr>
        <w:pStyle w:val="USBodyText"/>
        <w:rPr>
          <w:b/>
          <w:bCs/>
        </w:rPr>
      </w:pPr>
      <w:r w:rsidRPr="00295D76">
        <w:t xml:space="preserve">There is strong evidence that </w:t>
      </w:r>
      <w:r>
        <w:t xml:space="preserve">the quality of teaching </w:t>
      </w:r>
      <w:r w:rsidRPr="00295D76">
        <w:t xml:space="preserve">is a critical in-system influence on learner outcomes across both early learning and school settings. High-quality teaching </w:t>
      </w:r>
      <w:r>
        <w:t xml:space="preserve">in </w:t>
      </w:r>
      <w:r w:rsidRPr="00295D76">
        <w:t>schools and kura contributes not only to academic achievement, but also to learner wellbeing, engagement and longer-term educational success.</w:t>
      </w:r>
      <w:r w:rsidRPr="43B75BAF">
        <w:rPr>
          <w:rStyle w:val="FootnoteReference"/>
          <w:rFonts w:ascii="Aptos" w:hAnsi="Aptos"/>
        </w:rPr>
        <w:footnoteReference w:id="20"/>
      </w:r>
      <w:r w:rsidRPr="00295D76">
        <w:t xml:space="preserve"> In </w:t>
      </w:r>
      <w:r>
        <w:t>ECE</w:t>
      </w:r>
      <w:r w:rsidRPr="00295D76">
        <w:t>, the quality of teaching practice and interactions experienced by children is a key determinant of learning and development.</w:t>
      </w:r>
      <w:r w:rsidRPr="43B75BAF">
        <w:rPr>
          <w:rStyle w:val="FootnoteReference"/>
          <w:rFonts w:ascii="Aptos" w:hAnsi="Aptos"/>
        </w:rPr>
        <w:footnoteReference w:id="21"/>
      </w:r>
      <w:r w:rsidR="00F65692">
        <w:t xml:space="preserve"> </w:t>
      </w:r>
    </w:p>
    <w:p w14:paraId="4EC065ED" w14:textId="2BCB1FD6" w:rsidR="00423FE3" w:rsidRDefault="00423FE3" w:rsidP="00423FE3">
      <w:pPr>
        <w:pStyle w:val="USBodyText"/>
      </w:pPr>
      <w:r>
        <w:t>While teacher quality is influenced by many factors, ITE plays a crucial role in equipping beginning teachers with the knowledge, practices</w:t>
      </w:r>
      <w:r w:rsidR="003C4E28">
        <w:t xml:space="preserve"> and capabilities</w:t>
      </w:r>
      <w:r>
        <w:t xml:space="preserve"> they need on entry to the profession. ITE is where expectations of practice are first established and where teachers develop the core capabilities </w:t>
      </w:r>
      <w:r>
        <w:lastRenderedPageBreak/>
        <w:t xml:space="preserve">that underpin their future development. While teaching capability continues to grow throughout a teacher’s career, the foundations established through ITE are important. </w:t>
      </w:r>
    </w:p>
    <w:p w14:paraId="46131BAD" w14:textId="7B31B922" w:rsidR="00423FE3" w:rsidRPr="000A1220" w:rsidRDefault="5E5D1682" w:rsidP="00423FE3">
      <w:pPr>
        <w:pStyle w:val="USBodyText"/>
        <w:rPr>
          <w:b/>
          <w:bCs/>
        </w:rPr>
      </w:pPr>
      <w:r>
        <w:t>The ITE Programme Requirements</w:t>
      </w:r>
      <w:r w:rsidR="00423FE3">
        <w:t xml:space="preserve"> cannot address student outcomes on their own. However, as the primary mechanism for setting expectations for what beginning teachers should know and be able to do before entering the profession, they establish an important foundation for the quality and consistency of teaching across the system.</w:t>
      </w:r>
    </w:p>
    <w:p w14:paraId="661988DF" w14:textId="244E648A" w:rsidR="00423FE3" w:rsidRDefault="4113581E" w:rsidP="00D27FBB">
      <w:pPr>
        <w:pStyle w:val="Heading5"/>
      </w:pPr>
      <w:bookmarkStart w:id="83" w:name="_Toc345673634"/>
      <w:r>
        <w:t>Beginning teacher preparedness is inconsistent, and variation in ITE provision likely contributes to this.</w:t>
      </w:r>
      <w:bookmarkEnd w:id="83"/>
      <w:r w:rsidR="00423FE3">
        <w:t xml:space="preserve"> </w:t>
      </w:r>
    </w:p>
    <w:p w14:paraId="7CA4C8B8" w14:textId="77777777" w:rsidR="00423FE3" w:rsidRDefault="00423FE3" w:rsidP="00423FE3">
      <w:pPr>
        <w:pStyle w:val="USBodyText"/>
      </w:pPr>
      <w:r w:rsidRPr="0068013D">
        <w:t>Recent studies show a significant and increased proportion of new teachers are entering the profession feeling unprepared to teach.</w:t>
      </w:r>
      <w:r>
        <w:t xml:space="preserve"> </w:t>
      </w:r>
      <w:r w:rsidRPr="0068013D">
        <w:t>The OECD</w:t>
      </w:r>
      <w:r>
        <w:t>’s</w:t>
      </w:r>
      <w:r w:rsidRPr="0068013D">
        <w:t xml:space="preserve"> T</w:t>
      </w:r>
      <w:r>
        <w:t xml:space="preserve">eaching and </w:t>
      </w:r>
      <w:r w:rsidRPr="0068013D">
        <w:t>L</w:t>
      </w:r>
      <w:r>
        <w:t xml:space="preserve">earning </w:t>
      </w:r>
      <w:r w:rsidRPr="0068013D">
        <w:t>I</w:t>
      </w:r>
      <w:r>
        <w:t xml:space="preserve">nternational </w:t>
      </w:r>
      <w:r w:rsidRPr="0068013D">
        <w:t>S</w:t>
      </w:r>
      <w:r>
        <w:t>urvey (TALIS)</w:t>
      </w:r>
      <w:r w:rsidRPr="0068013D">
        <w:t xml:space="preserve"> 2024 results</w:t>
      </w:r>
      <w:r>
        <w:t xml:space="preserve"> for Aotearoa New Zealand</w:t>
      </w:r>
      <w:r w:rsidRPr="0068013D">
        <w:t xml:space="preserve"> show a decline in perceived preparedness among recent graduate teachers in both </w:t>
      </w:r>
      <w:r>
        <w:t>ECE</w:t>
      </w:r>
      <w:r w:rsidRPr="0068013D">
        <w:t xml:space="preserve"> and school settings</w:t>
      </w:r>
      <w:r>
        <w:t>, with fewer than half of teachers who completed ITE between 2020 and 2024 reporting they felt adequately prepared across subject content, pedagogy and classroom practice.</w:t>
      </w:r>
      <w:r w:rsidRPr="43B75BAF">
        <w:rPr>
          <w:rStyle w:val="FootnoteReference"/>
          <w:rFonts w:ascii="Aptos" w:hAnsi="Aptos"/>
        </w:rPr>
        <w:footnoteReference w:id="22"/>
      </w:r>
    </w:p>
    <w:p w14:paraId="58B548C2" w14:textId="371AA72D" w:rsidR="00423FE3" w:rsidRDefault="34FEAEF6" w:rsidP="00423FE3">
      <w:pPr>
        <w:pStyle w:val="USBodyText"/>
      </w:pPr>
      <w:r>
        <w:t xml:space="preserve">Similarly, the Education Review Office's (ERO) </w:t>
      </w:r>
      <w:r w:rsidRPr="66849E4A">
        <w:rPr>
          <w:i/>
          <w:iCs/>
        </w:rPr>
        <w:t>Ready, set, teach</w:t>
      </w:r>
      <w:r>
        <w:t xml:space="preserve"> report found that nearly two thirds of principals believed new teachers enter the profession unprepared, while almost half of beginning teachers reported feeling underprepared themselves.</w:t>
      </w:r>
      <w:r w:rsidR="21C5D00C" w:rsidRPr="4628AA88">
        <w:rPr>
          <w:rStyle w:val="FootnoteReference"/>
          <w:rFonts w:ascii="Aptos" w:hAnsi="Aptos"/>
        </w:rPr>
        <w:footnoteReference w:id="23"/>
      </w:r>
      <w:r>
        <w:t xml:space="preserve"> Areas of concern included behaviour management, assessment, adapting teaching for different learners, and engagement with parents and whānau.</w:t>
      </w:r>
      <w:r w:rsidR="1FAA77CC">
        <w:t xml:space="preserve"> </w:t>
      </w:r>
      <w:r w:rsidR="21B43ED6">
        <w:t>The ERO report identified s</w:t>
      </w:r>
      <w:r w:rsidR="1FAA77CC">
        <w:t xml:space="preserve">imilar </w:t>
      </w:r>
      <w:r w:rsidR="21B43ED6">
        <w:t xml:space="preserve">concerns </w:t>
      </w:r>
      <w:r w:rsidR="1FAA77CC">
        <w:t>regarding teachers’ preparedness to support disable</w:t>
      </w:r>
      <w:r w:rsidR="6E45BF58">
        <w:t>d</w:t>
      </w:r>
      <w:r w:rsidR="1FAA77CC">
        <w:t xml:space="preserve"> learners,</w:t>
      </w:r>
      <w:r w:rsidR="2D861CB8">
        <w:t xml:space="preserve"> finding </w:t>
      </w:r>
      <w:r w:rsidR="1FAA77CC">
        <w:t>that man</w:t>
      </w:r>
      <w:r w:rsidR="77FDECDD">
        <w:t>y</w:t>
      </w:r>
      <w:r w:rsidR="1FAA77CC">
        <w:t xml:space="preserve"> teachers do not feel confident adapting teaching and learning environments to meet diverse needs and that preparation in this area is variable across the system.</w:t>
      </w:r>
      <w:r w:rsidR="00F879C4">
        <w:rPr>
          <w:rStyle w:val="FootnoteReference"/>
        </w:rPr>
        <w:footnoteReference w:id="24"/>
      </w:r>
    </w:p>
    <w:p w14:paraId="5ED46791" w14:textId="4959F2D0" w:rsidR="0032355C" w:rsidRDefault="00423FE3" w:rsidP="00423FE3">
      <w:pPr>
        <w:pStyle w:val="USBodyText"/>
      </w:pPr>
      <w:r>
        <w:t xml:space="preserve">While these findings should be interpreted carefully, as they reflect cohorts who completed ITE during the COVID-19 pandemic, they nonetheless raise questions about the consistency of graduate readiness across the system. </w:t>
      </w:r>
      <w:r w:rsidR="0032355C">
        <w:t xml:space="preserve">An important purpose of this engagement is to test the extent to which stakeholder experiences align with, or differ from, these findings and to identify any additional evidence or perspectives that should be considered. </w:t>
      </w:r>
    </w:p>
    <w:p w14:paraId="30C887BC" w14:textId="1AA8F53A" w:rsidR="00654EB1" w:rsidRDefault="00654EB1" w:rsidP="00423FE3">
      <w:pPr>
        <w:pStyle w:val="USBodyText"/>
      </w:pPr>
      <w:r>
        <w:t xml:space="preserve">Teacher preparedness is influenced by a range of factors, including student characteristics, programme delivery, professional experience and the support available once graduates enter the workforce. </w:t>
      </w:r>
      <w:r w:rsidR="008A2DEE">
        <w:t>While they don't control all these factors, t</w:t>
      </w:r>
      <w:r w:rsidR="000E4A56">
        <w:t xml:space="preserve">he </w:t>
      </w:r>
      <w:r w:rsidR="242530F1">
        <w:t xml:space="preserve">ITE Programme </w:t>
      </w:r>
      <w:r w:rsidR="000340E3">
        <w:t>Requirements</w:t>
      </w:r>
      <w:r w:rsidR="000E4A56">
        <w:t xml:space="preserve"> are the primary mechanism through which the system sets expectations fo</w:t>
      </w:r>
      <w:r w:rsidR="000340E3">
        <w:t xml:space="preserve">r </w:t>
      </w:r>
      <w:r w:rsidR="00EA3CCD">
        <w:t>how ITE programmes are designed, delivered and quality assured</w:t>
      </w:r>
      <w:r w:rsidR="000340E3">
        <w:t xml:space="preserve">. As a result, they have an important influence on the conditions under which beginning teacher capability is developed. </w:t>
      </w:r>
    </w:p>
    <w:p w14:paraId="3DB51584" w14:textId="2E81A6A9" w:rsidR="00423FE3" w:rsidRDefault="00423FE3" w:rsidP="00423FE3">
      <w:pPr>
        <w:pStyle w:val="USBodyText"/>
      </w:pPr>
      <w:r w:rsidRPr="002F56D4">
        <w:lastRenderedPageBreak/>
        <w:t>ERO’s finding that preparedness varies depending on where graduates studied suggests that differences in ITE provision are contributing to uneven outcomes for beginning teachers</w:t>
      </w:r>
      <w:r w:rsidRPr="00DC3640">
        <w:t>.</w:t>
      </w:r>
      <w:r w:rsidRPr="045E5A3E">
        <w:rPr>
          <w:rStyle w:val="FootnoteReference"/>
          <w:rFonts w:ascii="Aptos" w:hAnsi="Aptos"/>
        </w:rPr>
        <w:footnoteReference w:id="25"/>
      </w:r>
      <w:r w:rsidR="000340E3">
        <w:t xml:space="preserve"> </w:t>
      </w:r>
      <w:r w:rsidR="000340E3" w:rsidRPr="045E5A3E">
        <w:t xml:space="preserve">While the available evidence doesn’t directly establish a causal relationship between the </w:t>
      </w:r>
      <w:r w:rsidR="242530F1" w:rsidRPr="045E5A3E">
        <w:t xml:space="preserve">ITE Programme </w:t>
      </w:r>
      <w:r w:rsidR="000340E3" w:rsidRPr="045E5A3E">
        <w:t>Requirements and graduate preparedness, it is reasonable to expect that variation in how programme</w:t>
      </w:r>
      <w:r w:rsidR="70868AF7" w:rsidRPr="045E5A3E">
        <w:t>s</w:t>
      </w:r>
      <w:r w:rsidR="000340E3" w:rsidRPr="045E5A3E">
        <w:t xml:space="preserve"> </w:t>
      </w:r>
      <w:r w:rsidR="35F0C103" w:rsidRPr="045E5A3E">
        <w:t xml:space="preserve">develop, support and </w:t>
      </w:r>
      <w:r w:rsidR="23362C4E" w:rsidRPr="045E5A3E">
        <w:t>assess</w:t>
      </w:r>
      <w:r w:rsidR="000340E3" w:rsidRPr="045E5A3E">
        <w:t xml:space="preserve"> student teachers influences th</w:t>
      </w:r>
      <w:r w:rsidR="3C21474C" w:rsidRPr="045E5A3E">
        <w:t>e</w:t>
      </w:r>
      <w:r w:rsidR="000340E3" w:rsidRPr="045E5A3E">
        <w:t xml:space="preserve"> readiness </w:t>
      </w:r>
      <w:r w:rsidR="5E8E1575" w:rsidRPr="045E5A3E">
        <w:t>with which graduates</w:t>
      </w:r>
      <w:r w:rsidR="000340E3" w:rsidRPr="045E5A3E">
        <w:t xml:space="preserve"> enter the profession. </w:t>
      </w:r>
      <w:r w:rsidR="62CB7046" w:rsidRPr="045E5A3E">
        <w:t>As</w:t>
      </w:r>
      <w:r w:rsidR="00EB4B86" w:rsidRPr="045E5A3E">
        <w:t xml:space="preserve"> </w:t>
      </w:r>
      <w:r w:rsidR="242530F1" w:rsidRPr="045E5A3E">
        <w:t>the ITE Programme</w:t>
      </w:r>
      <w:r w:rsidR="00EB4B86" w:rsidRPr="045E5A3E">
        <w:t xml:space="preserve"> Requirements shape these aspects of ITE provision, they are likely contributing to the consistency of graduate outcomes across the system.</w:t>
      </w:r>
      <w:r w:rsidR="00EB4B86">
        <w:t xml:space="preserve"> </w:t>
      </w:r>
    </w:p>
    <w:p w14:paraId="67073707" w14:textId="406B2E40" w:rsidR="00423FE3" w:rsidRDefault="00423FE3" w:rsidP="00423FE3">
      <w:pPr>
        <w:pStyle w:val="USBodyText"/>
      </w:pPr>
      <w:r>
        <w:t xml:space="preserve">This points to a limitation in the </w:t>
      </w:r>
      <w:r w:rsidR="02B4C987">
        <w:t>current ITE Programme Requirements</w:t>
      </w:r>
      <w:r>
        <w:t xml:space="preserve">. While provider autonomy supports local responsiveness and programme diversity, it also means providers have considerable discretion in determining what beginning teachers should know and be able to do. The </w:t>
      </w:r>
      <w:r w:rsidR="39C8087E">
        <w:t>current ITE Programme Requirements</w:t>
      </w:r>
      <w:r>
        <w:t xml:space="preserve"> do not appear to provide a sufficiently clear and consistent foundation for teacher preparation across Aotearoa New Zealand. As a result, principals and early learning leaders cannot be confident that all beginning teachers enter their contexts with a common foundation of knowledge, practices</w:t>
      </w:r>
      <w:r w:rsidR="00B377D5">
        <w:t xml:space="preserve"> and capabilities</w:t>
      </w:r>
      <w:r>
        <w:t>. Strengthening the foundation would improve confidence that all graduates enter the profession with the essential knowledge, practices</w:t>
      </w:r>
      <w:r w:rsidR="00B377D5">
        <w:t xml:space="preserve"> and capabilities</w:t>
      </w:r>
      <w:r>
        <w:t xml:space="preserve"> expected of beginning teachers. </w:t>
      </w:r>
    </w:p>
    <w:p w14:paraId="1AD6EBBA" w14:textId="54BBF487" w:rsidR="00423FE3" w:rsidRPr="00775DDA" w:rsidRDefault="4113581E" w:rsidP="00D27FBB">
      <w:pPr>
        <w:pStyle w:val="Heading5"/>
      </w:pPr>
      <w:bookmarkStart w:id="84" w:name="_Toc149771152"/>
      <w:r>
        <w:t>We have a stronger evidence base about effective teaching, and all student teachers should benefit from it.</w:t>
      </w:r>
      <w:bookmarkEnd w:id="84"/>
    </w:p>
    <w:p w14:paraId="421DEC6D" w14:textId="3725EA47" w:rsidR="00423FE3" w:rsidRDefault="00423FE3" w:rsidP="00423FE3">
      <w:pPr>
        <w:pStyle w:val="USBodyText"/>
      </w:pPr>
      <w:r>
        <w:t>Over the last two decades, there has been significant growth in the evidence base regarding effective teaching practice. While teacher knowledge, competencies and professional dispositions remain important, there is increasing evidence that what teachers do in practice has a strong and direct influence on learner outcomes.</w:t>
      </w:r>
      <w:r w:rsidR="00F65692">
        <w:t xml:space="preserve"> </w:t>
      </w:r>
    </w:p>
    <w:p w14:paraId="1103F1BC" w14:textId="23BBA309" w:rsidR="00423FE3" w:rsidRPr="00C74263" w:rsidRDefault="00423FE3" w:rsidP="00973A62">
      <w:pPr>
        <w:pStyle w:val="USBodyText"/>
        <w:spacing w:after="60"/>
      </w:pPr>
      <w:r w:rsidRPr="00C74263">
        <w:t>There is now greater clarity about the knowledge, teaching practices</w:t>
      </w:r>
      <w:r w:rsidR="00B377D5">
        <w:t xml:space="preserve"> and capabilities</w:t>
      </w:r>
      <w:r w:rsidRPr="00C74263">
        <w:t xml:space="preserve"> that support learning and development across early learning, schools and kura. In ECE, the quality of teaching is primarily realised through the interactions, experiences and learning opportunities children encounter in their settings.</w:t>
      </w:r>
      <w:r w:rsidRPr="43B75BAF">
        <w:rPr>
          <w:rStyle w:val="FootnoteReference"/>
          <w:rFonts w:ascii="Aptos" w:hAnsi="Aptos"/>
        </w:rPr>
        <w:footnoteReference w:id="26"/>
      </w:r>
      <w:r w:rsidRPr="00C74263">
        <w:t xml:space="preserve"> Research has identified specific practices that support children's language, social and cognitive development. Similarly, there is growing clarity about effective teaching practices in school classrooms, including:</w:t>
      </w:r>
      <w:r w:rsidRPr="43B75BAF">
        <w:rPr>
          <w:rStyle w:val="FootnoteReference"/>
          <w:rFonts w:ascii="Aptos" w:hAnsi="Aptos"/>
        </w:rPr>
        <w:footnoteReference w:id="27"/>
      </w:r>
    </w:p>
    <w:p w14:paraId="5F5D6E7F" w14:textId="77777777" w:rsidR="00423FE3" w:rsidRPr="00E13BA0" w:rsidRDefault="00423FE3" w:rsidP="00C74263">
      <w:pPr>
        <w:pStyle w:val="USBullet1"/>
      </w:pPr>
      <w:r w:rsidRPr="00E13BA0">
        <w:lastRenderedPageBreak/>
        <w:t>Ensuring cognitive engagement</w:t>
      </w:r>
      <w:r>
        <w:t xml:space="preserve"> through creating the conditions for </w:t>
      </w:r>
      <w:r w:rsidRPr="00E13BA0">
        <w:t>students to think deeply and persist through complex and challenging learning.</w:t>
      </w:r>
    </w:p>
    <w:p w14:paraId="1E64D6A1" w14:textId="77777777" w:rsidR="00423FE3" w:rsidRPr="00B50846" w:rsidRDefault="00423FE3" w:rsidP="00C74263">
      <w:pPr>
        <w:pStyle w:val="USBullet1"/>
      </w:pPr>
      <w:r w:rsidRPr="00E13BA0">
        <w:t>Crafting quality subject content</w:t>
      </w:r>
      <w:r>
        <w:t xml:space="preserve"> that builds students’ </w:t>
      </w:r>
      <w:r w:rsidRPr="00B50846">
        <w:t xml:space="preserve">understanding of subject knowledge through clear explanations, coherent sequencing and </w:t>
      </w:r>
      <w:r>
        <w:t>making</w:t>
      </w:r>
      <w:r w:rsidRPr="00B50846">
        <w:t xml:space="preserve"> connections.</w:t>
      </w:r>
    </w:p>
    <w:p w14:paraId="1D8AA5D3" w14:textId="77777777" w:rsidR="00423FE3" w:rsidRPr="00E13BA0" w:rsidRDefault="00423FE3" w:rsidP="00C74263">
      <w:pPr>
        <w:pStyle w:val="USBullet1"/>
      </w:pPr>
      <w:r>
        <w:t>E</w:t>
      </w:r>
      <w:r w:rsidRPr="00E13BA0">
        <w:t>stablishing positive, supportive classrooms that strengthen belonging, relationships and confidence.</w:t>
      </w:r>
    </w:p>
    <w:p w14:paraId="6B084021" w14:textId="77777777" w:rsidR="00423FE3" w:rsidRPr="00E13BA0" w:rsidRDefault="00423FE3" w:rsidP="00C74263">
      <w:pPr>
        <w:pStyle w:val="USBullet1"/>
      </w:pPr>
      <w:r>
        <w:t>U</w:t>
      </w:r>
      <w:r w:rsidRPr="00E13BA0">
        <w:t>sing purposeful questioning, discussion and collaboration to encourage participation, extend thinking and support rich interactions.</w:t>
      </w:r>
    </w:p>
    <w:p w14:paraId="36911FD6" w14:textId="6266188A" w:rsidR="00423FE3" w:rsidRDefault="00423FE3" w:rsidP="00973A62">
      <w:pPr>
        <w:pStyle w:val="USBullet1"/>
        <w:spacing w:after="180"/>
      </w:pPr>
      <w:r>
        <w:t>Continuously evaluating and guiding student progress by setting learning goals, diagnosing student learning, providing feedback and adapting to student thinking.</w:t>
      </w:r>
    </w:p>
    <w:p w14:paraId="787F134E" w14:textId="20CF6496" w:rsidR="00423FE3" w:rsidRPr="004615BC" w:rsidRDefault="00423FE3" w:rsidP="00423FE3">
      <w:pPr>
        <w:pStyle w:val="USBodyText"/>
      </w:pPr>
      <w:r>
        <w:t xml:space="preserve">Under the </w:t>
      </w:r>
      <w:r w:rsidR="39C8087E">
        <w:t>current ITE Programme Requirements</w:t>
      </w:r>
      <w:r>
        <w:t xml:space="preserve">, decisions about whether and how this evidence is translated into programme content largely sit with individual providers. </w:t>
      </w:r>
      <w:r w:rsidR="000043EC">
        <w:t>The</w:t>
      </w:r>
      <w:r w:rsidR="0044345A">
        <w:t xml:space="preserve"> </w:t>
      </w:r>
      <w:r w:rsidR="00355148">
        <w:t xml:space="preserve">recent </w:t>
      </w:r>
      <w:r w:rsidR="002A0441">
        <w:t xml:space="preserve">updating of the Standards for the Teaching Profession </w:t>
      </w:r>
      <w:r w:rsidR="00355148">
        <w:t>provides</w:t>
      </w:r>
      <w:r w:rsidR="00C9453A">
        <w:t xml:space="preserve"> greater clarity about the outcomes expected of graduates. However, they don’t, on their own, ensure consistency in the knowledge, practices and capabilities that</w:t>
      </w:r>
      <w:r w:rsidR="250EF4BD">
        <w:t xml:space="preserve"> student</w:t>
      </w:r>
      <w:r w:rsidR="00C9453A">
        <w:t xml:space="preserve"> teachers are exposed to through</w:t>
      </w:r>
      <w:r w:rsidR="005B590B">
        <w:t>out</w:t>
      </w:r>
      <w:r w:rsidR="00C9453A">
        <w:t xml:space="preserve"> their teacher preparation. There remains considerable scope for variation in how providers interpret and give effect to the new Standards for the Teaching Profession. </w:t>
      </w:r>
      <w:r>
        <w:t>As our understanding of effective teaching continues to develop, there is a stronger case for ensuring all beginning teachers benefit from this knowledge, regardless of where they undertake their preparation.</w:t>
      </w:r>
      <w:r w:rsidR="006B744C">
        <w:t xml:space="preserve"> The ITE Programme Requirements </w:t>
      </w:r>
      <w:r w:rsidR="007838FE">
        <w:t xml:space="preserve">have the potential to </w:t>
      </w:r>
      <w:r w:rsidR="006A4793">
        <w:t>establish clearer expectation</w:t>
      </w:r>
      <w:r w:rsidR="00DD6C9D">
        <w:t>s</w:t>
      </w:r>
      <w:r w:rsidR="006A4793">
        <w:t xml:space="preserve"> about the</w:t>
      </w:r>
      <w:r w:rsidR="00DD6C9D">
        <w:t xml:space="preserve"> </w:t>
      </w:r>
      <w:r w:rsidR="00C43C1A">
        <w:t xml:space="preserve">content and capabilities that all student teachers should </w:t>
      </w:r>
      <w:r w:rsidR="1ADD6879">
        <w:t xml:space="preserve">gain </w:t>
      </w:r>
      <w:r w:rsidR="00C43C1A">
        <w:t xml:space="preserve">during their preparation.  </w:t>
      </w:r>
    </w:p>
    <w:p w14:paraId="3E148AE0" w14:textId="50805943" w:rsidR="00423FE3" w:rsidRPr="00D966F9" w:rsidRDefault="4113581E" w:rsidP="00D27FBB">
      <w:pPr>
        <w:pStyle w:val="Heading5"/>
      </w:pPr>
      <w:bookmarkStart w:id="85" w:name="_Toc1318407490"/>
      <w:r>
        <w:t>Significant reforms across the education system are reshaping the context in which ITE programmes operate.</w:t>
      </w:r>
      <w:bookmarkEnd w:id="85"/>
      <w:r w:rsidR="00423FE3">
        <w:t xml:space="preserve"> </w:t>
      </w:r>
    </w:p>
    <w:p w14:paraId="352090D0" w14:textId="58B5B261" w:rsidR="00423FE3" w:rsidRPr="00500EBB" w:rsidRDefault="00423FE3" w:rsidP="00423FE3">
      <w:pPr>
        <w:pStyle w:val="USBodyText"/>
      </w:pPr>
      <w:r w:rsidRPr="00500EBB">
        <w:t xml:space="preserve">The shift in </w:t>
      </w:r>
      <w:r w:rsidR="00C702BB">
        <w:t>the Standards for the Teaching Profession</w:t>
      </w:r>
      <w:r w:rsidRPr="00500EBB">
        <w:t xml:space="preserve"> is part of a broader program</w:t>
      </w:r>
      <w:r>
        <w:t>me</w:t>
      </w:r>
      <w:r w:rsidRPr="00500EBB">
        <w:t xml:space="preserve"> of education reform led by the </w:t>
      </w:r>
      <w:r>
        <w:t>Government,</w:t>
      </w:r>
      <w:r w:rsidRPr="00500EBB">
        <w:t xml:space="preserve"> intended to strengthen system performance and coherence. The Government has identified six education priorities, including a clearer curriculum, improved literacy and numeracy, smarter assessment and reporting, improved teacher training, stronger learning support, and increased use of data.</w:t>
      </w:r>
      <w:r w:rsidRPr="35C216F2">
        <w:rPr>
          <w:rStyle w:val="FootnoteReference"/>
          <w:rFonts w:ascii="Aptos" w:hAnsi="Aptos"/>
        </w:rPr>
        <w:footnoteReference w:id="28"/>
      </w:r>
      <w:r w:rsidRPr="00500EBB">
        <w:t xml:space="preserve"> This reform agenda includes significant developments across governance, regulatory, environmental, and professional settings that interact with and have implications for the </w:t>
      </w:r>
      <w:r w:rsidR="242530F1">
        <w:t xml:space="preserve">ITE Programme </w:t>
      </w:r>
      <w:r w:rsidRPr="00500EBB">
        <w:t>Requirements and the provision of ITE.</w:t>
      </w:r>
    </w:p>
    <w:p w14:paraId="3D604272" w14:textId="716C3904" w:rsidR="00423FE3" w:rsidRPr="00500EBB" w:rsidRDefault="00423FE3" w:rsidP="00973A62">
      <w:pPr>
        <w:pStyle w:val="USBodyText"/>
        <w:spacing w:after="60"/>
      </w:pPr>
      <w:r>
        <w:t>Two</w:t>
      </w:r>
      <w:r w:rsidRPr="00500EBB">
        <w:t xml:space="preserve"> reforms are particularly relevant to the review of the </w:t>
      </w:r>
      <w:r w:rsidR="242530F1">
        <w:t xml:space="preserve">ITE Programme </w:t>
      </w:r>
      <w:r w:rsidRPr="00500EBB">
        <w:t>Requirements:</w:t>
      </w:r>
    </w:p>
    <w:p w14:paraId="30E1E2CF" w14:textId="77777777" w:rsidR="00423FE3" w:rsidRPr="00604368" w:rsidRDefault="00423FE3" w:rsidP="00C74263">
      <w:pPr>
        <w:pStyle w:val="USBullet1"/>
      </w:pPr>
      <w:r w:rsidRPr="00084E56">
        <w:rPr>
          <w:bCs/>
        </w:rPr>
        <w:t>The national curriculum is undergoing its most significant reform since 2007.</w:t>
      </w:r>
      <w:r w:rsidRPr="006C08D9">
        <w:rPr>
          <w:b/>
        </w:rPr>
        <w:t xml:space="preserve"> </w:t>
      </w:r>
      <w:r w:rsidRPr="00604368">
        <w:t xml:space="preserve">The New Zealand Curriculum and Te Marautanga o Aotearoa </w:t>
      </w:r>
      <w:r>
        <w:t xml:space="preserve">are being </w:t>
      </w:r>
      <w:r w:rsidRPr="00604368">
        <w:t xml:space="preserve">updated, changing not only what is taught </w:t>
      </w:r>
      <w:r w:rsidRPr="00604368">
        <w:lastRenderedPageBreak/>
        <w:t xml:space="preserve">but the teaching practices and assessment approaches expected of teachers. ITE programmes will need to prepare graduates to teach this reformed curriculum. </w:t>
      </w:r>
    </w:p>
    <w:p w14:paraId="64C6FF68" w14:textId="2F082861" w:rsidR="00423FE3" w:rsidRPr="00B8505D" w:rsidRDefault="4113581E" w:rsidP="00973A62">
      <w:pPr>
        <w:pStyle w:val="USBullet1"/>
        <w:spacing w:after="180"/>
      </w:pPr>
      <w:r>
        <w:t xml:space="preserve">Child safety obligations are being strengthened. Recent amendments to the </w:t>
      </w:r>
      <w:r w:rsidRPr="1709B4D8">
        <w:rPr>
          <w:i/>
          <w:iCs/>
        </w:rPr>
        <w:t>Education and Training Act 2020</w:t>
      </w:r>
      <w:r>
        <w:t xml:space="preserve"> make the safety of children and young people an explicit statutory purpose of the </w:t>
      </w:r>
      <w:r w:rsidR="00246D15">
        <w:t>Teaching Council of Aotearoa New Zealand</w:t>
      </w:r>
      <w:r>
        <w:t xml:space="preserve">. The amended Act also requires the Council to monitor and enforce mandatory reporting obligations. ITE programmes will need </w:t>
      </w:r>
      <w:r w:rsidR="349EFE74">
        <w:t xml:space="preserve">to </w:t>
      </w:r>
      <w:r>
        <w:t>reflect these strengthened obligations.</w:t>
      </w:r>
    </w:p>
    <w:p w14:paraId="41411B50" w14:textId="4EF1F7F5" w:rsidR="00423FE3" w:rsidRDefault="00423FE3" w:rsidP="00251D79">
      <w:pPr>
        <w:pStyle w:val="USBodyText"/>
      </w:pPr>
      <w:r>
        <w:t xml:space="preserve">These reforms are important determinants of the knowledge, practices </w:t>
      </w:r>
      <w:r w:rsidR="00B377D5">
        <w:t xml:space="preserve">and capabilities </w:t>
      </w:r>
      <w:r>
        <w:t xml:space="preserve">expected of beginning teachers and shape the environment that graduates enter. However, these developments sit outside the direct control of individual ITE providers. It is neither practical nor desirable for individual providers to independently interpret and respond to major system reforms. As these reforms continue to unfold, the </w:t>
      </w:r>
      <w:r w:rsidR="242530F1">
        <w:t xml:space="preserve">ITE Programme </w:t>
      </w:r>
      <w:r>
        <w:t xml:space="preserve">Requirements have an important role in providing a shared foundation that keeps providers, the profession and the wider education system in sync, ensuring a more consistent and supported understanding of system expectations and how they should be reflected in teacher progression. This perspective neatly aligns with the decision to bring </w:t>
      </w:r>
      <w:r w:rsidR="00C702BB">
        <w:t>the Standards for the Teaching Profession</w:t>
      </w:r>
      <w:r>
        <w:t xml:space="preserve"> and Requirements within the responsibility of the Ministry rather than at arm’s length with the </w:t>
      </w:r>
      <w:r w:rsidR="00246D15">
        <w:t>Teaching Council of Aotearoa New Zealand</w:t>
      </w:r>
      <w:r>
        <w:t>.</w:t>
      </w:r>
    </w:p>
    <w:p w14:paraId="79C1A06E" w14:textId="164FCED0" w:rsidR="00423FE3" w:rsidRPr="00604368" w:rsidRDefault="1A6FFD77" w:rsidP="727D27C3">
      <w:pPr>
        <w:pStyle w:val="Heading5"/>
      </w:pPr>
      <w:bookmarkStart w:id="86" w:name="_Toc693022019"/>
      <w:r>
        <w:t xml:space="preserve">With this context in mind, </w:t>
      </w:r>
      <w:r w:rsidR="3366CAE2">
        <w:t xml:space="preserve">there is a strong argument that </w:t>
      </w:r>
      <w:r>
        <w:t>Aotearoa New Zealand needs</w:t>
      </w:r>
      <w:r w:rsidR="46AC0FD7">
        <w:t xml:space="preserve"> ITE Programme</w:t>
      </w:r>
      <w:r>
        <w:t xml:space="preserve"> Requirements that provide a clear, consistent and high-quality foundation for teacher preparation and deliver confidence in graduate readiness.</w:t>
      </w:r>
      <w:bookmarkEnd w:id="86"/>
    </w:p>
    <w:p w14:paraId="14348A09" w14:textId="4AA212CA" w:rsidR="00423FE3" w:rsidRDefault="0C8F8C71" w:rsidP="00251D79">
      <w:pPr>
        <w:pStyle w:val="USBodyText"/>
      </w:pPr>
      <w:r>
        <w:t>The ITE Programme Requirements</w:t>
      </w:r>
      <w:r w:rsidR="00423FE3">
        <w:t xml:space="preserve"> need to remain fit for purpose in light of the evolving expectations of teachers under the new Standards, broader reforms reshaping the education system and persistent challenges in student outcomes and graduate readiness. </w:t>
      </w:r>
    </w:p>
    <w:p w14:paraId="3EA0284D" w14:textId="68F8B549" w:rsidR="00423FE3" w:rsidRPr="00500EBB" w:rsidRDefault="00423FE3" w:rsidP="00E95872">
      <w:pPr>
        <w:pStyle w:val="USBodyText"/>
        <w:spacing w:after="60"/>
      </w:pPr>
      <w:r>
        <w:t xml:space="preserve">Together, these drivers point towards the need for the </w:t>
      </w:r>
      <w:r w:rsidR="242530F1">
        <w:t xml:space="preserve">ITE Programme </w:t>
      </w:r>
      <w:r>
        <w:t xml:space="preserve">Requirements to play a stronger role in articulating the essential elements of high-quality teaching and the capabilities expected of graduates. </w:t>
      </w:r>
      <w:r w:rsidR="0C54DC92">
        <w:t>The ITE Programme Requirements</w:t>
      </w:r>
      <w:r>
        <w:t xml:space="preserve"> should define a clearer and more consistent foundation for ITE across Aotearoa New Zealand, while maintaining flexibility in how programmes are designed and delivered to reflect provider strengths and contexts:</w:t>
      </w:r>
    </w:p>
    <w:p w14:paraId="2136F22F" w14:textId="77777777" w:rsidR="00423FE3" w:rsidRDefault="00423FE3" w:rsidP="00C74263">
      <w:pPr>
        <w:pStyle w:val="USBullet1"/>
      </w:pPr>
      <w:r w:rsidRPr="00F15E43">
        <w:t xml:space="preserve">The </w:t>
      </w:r>
      <w:r>
        <w:t xml:space="preserve">review is an opportunity to identify what is currently working well and what should change to improve the quality and consistency of ITE provision. It should seek the best of both worlds: </w:t>
      </w:r>
      <w:r w:rsidRPr="00B0587D">
        <w:t xml:space="preserve">recognising and valuing the expertise of ITE providers, while establishing a stronger shared understanding of the essential knowledge, capabilities, and experiences all programmes must provide. </w:t>
      </w:r>
    </w:p>
    <w:p w14:paraId="53F5B13E" w14:textId="719C3443" w:rsidR="00423FE3" w:rsidRPr="00F15E43" w:rsidRDefault="0F7C7A35" w:rsidP="00C74263">
      <w:pPr>
        <w:pStyle w:val="USBullet1"/>
      </w:pPr>
      <w:r>
        <w:t>The ITE Programme Requirements</w:t>
      </w:r>
      <w:r w:rsidR="00423FE3">
        <w:t xml:space="preserve"> must account for Aotearoa New Zealand’s specific context, including Te Tiriti o Waitangi and the existing structure of ITE programmes, which includes the presence of one-year programmes, and the applicability of the </w:t>
      </w:r>
      <w:r w:rsidR="242530F1">
        <w:t xml:space="preserve">ITE Programme </w:t>
      </w:r>
      <w:r w:rsidR="00423FE3">
        <w:t>Requirements across all education levels from early learning to secondary.</w:t>
      </w:r>
    </w:p>
    <w:p w14:paraId="139D6BE5" w14:textId="4DF9CC47" w:rsidR="00423FE3" w:rsidRPr="00B0587D" w:rsidRDefault="00423FE3" w:rsidP="00E95872">
      <w:pPr>
        <w:pStyle w:val="USBullet1"/>
        <w:spacing w:after="360"/>
      </w:pPr>
      <w:r w:rsidRPr="00B0587D">
        <w:lastRenderedPageBreak/>
        <w:t xml:space="preserve">Greater specificity is needed to move the </w:t>
      </w:r>
      <w:r w:rsidR="242530F1">
        <w:t xml:space="preserve">ITE Programme </w:t>
      </w:r>
      <w:r w:rsidRPr="00B0587D">
        <w:t>Requirements from broadly framed expectations to a clearer definition of minimum capability</w:t>
      </w:r>
      <w:r w:rsidRPr="00F15E43">
        <w:t xml:space="preserve">, giving </w:t>
      </w:r>
      <w:r w:rsidRPr="00B0587D">
        <w:t xml:space="preserve">principals, early learning centres, kura, schools, and the system greater confidence in </w:t>
      </w:r>
      <w:r w:rsidRPr="00F15E43">
        <w:t xml:space="preserve">ITE </w:t>
      </w:r>
      <w:r w:rsidRPr="00B0587D">
        <w:t xml:space="preserve">graduate readiness. </w:t>
      </w:r>
    </w:p>
    <w:tbl>
      <w:tblPr>
        <w:tblStyle w:val="TableGrid"/>
        <w:tblW w:w="0" w:type="auto"/>
        <w:tblCellMar>
          <w:top w:w="198" w:type="dxa"/>
          <w:left w:w="170" w:type="dxa"/>
          <w:bottom w:w="198" w:type="dxa"/>
          <w:right w:w="170" w:type="dxa"/>
        </w:tblCellMar>
        <w:tblLook w:val="04A0" w:firstRow="1" w:lastRow="0" w:firstColumn="1" w:lastColumn="0" w:noHBand="0" w:noVBand="1"/>
      </w:tblPr>
      <w:tblGrid>
        <w:gridCol w:w="9060"/>
      </w:tblGrid>
      <w:tr w:rsidR="00B77E52" w14:paraId="30F35DD8" w14:textId="77777777" w:rsidTr="66849E4A">
        <w:tc>
          <w:tcPr>
            <w:tcW w:w="9060" w:type="dxa"/>
            <w:tcBorders>
              <w:top w:val="nil"/>
              <w:left w:val="nil"/>
              <w:bottom w:val="nil"/>
              <w:right w:val="nil"/>
            </w:tcBorders>
            <w:shd w:val="clear" w:color="auto" w:fill="D5E4E6" w:themeFill="accent1" w:themeFillTint="33"/>
          </w:tcPr>
          <w:p w14:paraId="397251B0" w14:textId="6EB7849D" w:rsidR="47FD7498" w:rsidRDefault="40C6B0F1" w:rsidP="004171D5">
            <w:pPr>
              <w:pStyle w:val="Heading4"/>
            </w:pPr>
            <w:bookmarkStart w:id="87" w:name="_Toc709313254"/>
            <w:r>
              <w:t>For discussion:</w:t>
            </w:r>
            <w:bookmarkEnd w:id="87"/>
          </w:p>
          <w:p w14:paraId="677E1E79" w14:textId="3CAC2A79" w:rsidR="532DFFB6" w:rsidRPr="00274F0F" w:rsidRDefault="532DFFB6" w:rsidP="66849E4A">
            <w:pPr>
              <w:pStyle w:val="USBullet1"/>
              <w:spacing w:before="120" w:after="120"/>
            </w:pPr>
            <w:r w:rsidRPr="00274F0F">
              <w:t xml:space="preserve">Is the current ITE system adequately preparing </w:t>
            </w:r>
            <w:r w:rsidR="0C59673F" w:rsidRPr="00274F0F">
              <w:t xml:space="preserve">graduates with the </w:t>
            </w:r>
            <w:r w:rsidRPr="00274F0F">
              <w:t>knowledge, practices and capabilities they need on entry to the profession</w:t>
            </w:r>
            <w:r w:rsidR="3CF657C6" w:rsidRPr="00274F0F">
              <w:t xml:space="preserve">? </w:t>
            </w:r>
          </w:p>
          <w:p w14:paraId="5BF81C38" w14:textId="77777777" w:rsidR="0051150E" w:rsidRPr="00274F0F" w:rsidRDefault="540C9673" w:rsidP="0051150E">
            <w:pPr>
              <w:pStyle w:val="USBullet1"/>
              <w:spacing w:before="120" w:after="120"/>
              <w:rPr>
                <w:rFonts w:asciiTheme="minorHAnsi" w:eastAsiaTheme="minorEastAsia" w:hAnsiTheme="minorHAnsi"/>
              </w:rPr>
            </w:pPr>
            <w:r w:rsidRPr="00274F0F">
              <w:t xml:space="preserve">Do you agree that the current ITE Programme Requirements should </w:t>
            </w:r>
            <w:r w:rsidR="61A764F1" w:rsidRPr="00274F0F">
              <w:t>define a clearer and more consistent</w:t>
            </w:r>
            <w:r w:rsidRPr="00274F0F">
              <w:t xml:space="preserve"> foundation for teacher preparation across Aotearoa New Z</w:t>
            </w:r>
            <w:r w:rsidR="2919CA6A" w:rsidRPr="00274F0F">
              <w:t>ealand? Why, or why not?</w:t>
            </w:r>
          </w:p>
          <w:p w14:paraId="39A603FA" w14:textId="7B0723DF" w:rsidR="003869D9" w:rsidRPr="0051150E" w:rsidRDefault="0099430B" w:rsidP="0051150E">
            <w:pPr>
              <w:pStyle w:val="USBullet1"/>
              <w:spacing w:before="120" w:after="120"/>
              <w:rPr>
                <w:rFonts w:asciiTheme="minorHAnsi" w:eastAsiaTheme="minorEastAsia" w:hAnsiTheme="minorHAnsi"/>
              </w:rPr>
            </w:pPr>
            <w:r>
              <w:t>What should every graduate of an approved ITE programme know and be able to do before entering the profession, regardless of where they study?</w:t>
            </w:r>
            <w:r w:rsidRPr="0051150E">
              <w:rPr>
                <w:rFonts w:asciiTheme="minorHAnsi" w:eastAsiaTheme="minorEastAsia" w:hAnsiTheme="minorHAnsi"/>
              </w:rPr>
              <w:t xml:space="preserve"> </w:t>
            </w:r>
            <w:r w:rsidR="15CA8EEE" w:rsidRPr="0051150E">
              <w:rPr>
                <w:rFonts w:asciiTheme="minorHAnsi" w:eastAsiaTheme="minorEastAsia" w:hAnsiTheme="minorHAnsi"/>
              </w:rPr>
              <w:t xml:space="preserve"> </w:t>
            </w:r>
          </w:p>
        </w:tc>
      </w:tr>
    </w:tbl>
    <w:p w14:paraId="0FE50E89" w14:textId="77777777" w:rsidR="00423FE3" w:rsidRPr="00500EBB" w:rsidRDefault="00423FE3" w:rsidP="001C5980">
      <w:pPr>
        <w:pStyle w:val="USBodyText"/>
      </w:pPr>
    </w:p>
    <w:p w14:paraId="209BEEEE" w14:textId="32F0B2C5" w:rsidR="00DD368D" w:rsidRPr="00DD368D" w:rsidRDefault="00DD368D" w:rsidP="00D47977">
      <w:pPr>
        <w:pStyle w:val="Heading1"/>
      </w:pPr>
      <w:bookmarkStart w:id="88" w:name="_Toc234512870"/>
      <w:bookmarkStart w:id="89" w:name="_Toc236686025"/>
      <w:bookmarkStart w:id="90" w:name="_Toc241658033"/>
      <w:r>
        <w:lastRenderedPageBreak/>
        <w:t>Principles informing the review</w:t>
      </w:r>
      <w:bookmarkEnd w:id="88"/>
      <w:bookmarkEnd w:id="89"/>
      <w:bookmarkEnd w:id="90"/>
    </w:p>
    <w:p w14:paraId="6F1E1BD4" w14:textId="7B3720A9" w:rsidR="008B09D4" w:rsidRDefault="00DD368D" w:rsidP="00DD368D">
      <w:pPr>
        <w:pStyle w:val="USBodyText"/>
      </w:pPr>
      <w:r>
        <w:t xml:space="preserve">In identifying the opportunities for improvement, we considered the wider context, objectives and rationale for this review, but also identified the need for a set of guiding principles to inform how we approach the potential changes to the </w:t>
      </w:r>
      <w:r w:rsidR="242530F1">
        <w:t xml:space="preserve">ITE Programme </w:t>
      </w:r>
      <w:r>
        <w:t xml:space="preserve">Requirements. </w:t>
      </w:r>
      <w:r w:rsidR="14E97624">
        <w:t xml:space="preserve">These principles </w:t>
      </w:r>
      <w:r w:rsidR="0E733863">
        <w:t>were used to</w:t>
      </w:r>
      <w:r w:rsidR="4DDB3860">
        <w:t xml:space="preserve"> </w:t>
      </w:r>
      <w:r w:rsidR="6B3E021C">
        <w:t xml:space="preserve">scaffold our consideration of </w:t>
      </w:r>
      <w:r w:rsidR="14E97624">
        <w:t xml:space="preserve">what high-quality ITE should achieve and how the ITE Programme Requirements </w:t>
      </w:r>
      <w:r w:rsidR="4EA9F4A8">
        <w:t>can</w:t>
      </w:r>
      <w:r w:rsidR="14E97624">
        <w:t xml:space="preserve"> best support </w:t>
      </w:r>
      <w:r w:rsidR="7514AEFF">
        <w:t>this</w:t>
      </w:r>
      <w:r w:rsidR="14E97624">
        <w:t xml:space="preserve">. </w:t>
      </w:r>
    </w:p>
    <w:p w14:paraId="39439ACD" w14:textId="141BE7DE" w:rsidR="00425F30" w:rsidRDefault="679510E2" w:rsidP="00DD368D">
      <w:pPr>
        <w:pStyle w:val="USBodyText"/>
      </w:pPr>
      <w:r>
        <w:t>Research, policy development and international reform activity have significantly strengthened</w:t>
      </w:r>
      <w:r w:rsidR="5F432B5A">
        <w:t xml:space="preserve"> our</w:t>
      </w:r>
      <w:r>
        <w:t xml:space="preserve"> understanding of effective teaching and high-quality teacher preparation. </w:t>
      </w:r>
      <w:r w:rsidR="7BAB0746">
        <w:t xml:space="preserve">As expectations of teaching continue to evolve, driven by new evidence and changing classroom demands, ITE needs to keep pace with the needs of the education system.  </w:t>
      </w:r>
      <w:r>
        <w:t>At the same time, there remains considerable diversity in how ITE systems are structure</w:t>
      </w:r>
      <w:r w:rsidR="690F2D02">
        <w:t>d</w:t>
      </w:r>
      <w:r>
        <w:t xml:space="preserve"> and delivered internationally</w:t>
      </w:r>
      <w:r w:rsidR="5B8E005A">
        <w:t xml:space="preserve"> and no consensus about which of these is best</w:t>
      </w:r>
      <w:r w:rsidR="4DDB3860">
        <w:t>.</w:t>
      </w:r>
    </w:p>
    <w:p w14:paraId="286A7DE8" w14:textId="4C6A9465" w:rsidR="00C544FD" w:rsidRDefault="1B4244A5" w:rsidP="2F2DCFD8">
      <w:pPr>
        <w:pStyle w:val="USBodyText"/>
        <w:rPr>
          <w:color w:val="D13438"/>
          <w:u w:val="single"/>
        </w:rPr>
      </w:pPr>
      <w:r>
        <w:t>T</w:t>
      </w:r>
      <w:r w:rsidR="7343080D">
        <w:t xml:space="preserve">here is broad consensus that high-quality programmes are grounded in evidence, provide a coherent developmental pathway, integrate theory and practice, and support graduates to develop strong foundations of professional knowledge, practice and dispositions. </w:t>
      </w:r>
      <w:r w:rsidR="6BFA644E">
        <w:t>However, there is</w:t>
      </w:r>
      <w:r w:rsidR="6BFA644E" w:rsidRPr="00CE31EF">
        <w:t xml:space="preserve"> no single internationally agreed model of effective ITE</w:t>
      </w:r>
      <w:r w:rsidR="4DDB3860" w:rsidRPr="00CE31EF">
        <w:t xml:space="preserve">. </w:t>
      </w:r>
      <w:r w:rsidR="006F5AC8" w:rsidRPr="00CE31EF">
        <w:t>Rather than prescribing a particular model of ITE, these principles</w:t>
      </w:r>
      <w:r w:rsidR="09BFF282" w:rsidRPr="00CE31EF">
        <w:t xml:space="preserve"> highlight the features of </w:t>
      </w:r>
      <w:r w:rsidR="7BAB0746" w:rsidRPr="00CE31EF">
        <w:t>high-quality teacher preparation that are most important in the Aotearoa New Zealand context</w:t>
      </w:r>
      <w:r w:rsidR="006F5AC8" w:rsidRPr="00CE31EF">
        <w:t>.</w:t>
      </w:r>
    </w:p>
    <w:p w14:paraId="0CBDA57D" w14:textId="1FC3FD33" w:rsidR="00425F30" w:rsidRDefault="18DAEAE0" w:rsidP="00DD368D">
      <w:pPr>
        <w:pStyle w:val="USBodyText"/>
      </w:pPr>
      <w:r>
        <w:t>T</w:t>
      </w:r>
      <w:r w:rsidR="493509E8">
        <w:t>he</w:t>
      </w:r>
      <w:r w:rsidR="006F5AC8">
        <w:t xml:space="preserve"> principles provide </w:t>
      </w:r>
      <w:r w:rsidR="7D7F0602">
        <w:t>a framework for considering how the ITE Programme Requirements</w:t>
      </w:r>
      <w:r w:rsidR="1E452EED">
        <w:t xml:space="preserve"> can remain aligned with contemporary evidence</w:t>
      </w:r>
      <w:r w:rsidR="21197A58">
        <w:t xml:space="preserve">, respond to the Aotearoa New Zealand context, </w:t>
      </w:r>
      <w:r w:rsidR="7DCC4397">
        <w:t>balance</w:t>
      </w:r>
      <w:r w:rsidR="14F76F47">
        <w:t xml:space="preserve"> consistency with flexibility, recognise the diversity of learners and uphold good regulatory practice. </w:t>
      </w:r>
      <w:r>
        <w:t>Together, they have informed</w:t>
      </w:r>
      <w:r w:rsidR="2F9D567C">
        <w:t xml:space="preserve"> </w:t>
      </w:r>
      <w:r w:rsidR="67B7C113">
        <w:t xml:space="preserve">our </w:t>
      </w:r>
      <w:r w:rsidR="2F9D567C">
        <w:t>judgements regarding the capabilit</w:t>
      </w:r>
      <w:r w:rsidR="76FA3841">
        <w:t xml:space="preserve">ies expected of graduating teachers, the content of the ITE Programme Requirements and the degree of prescription appropriate within them. </w:t>
      </w:r>
    </w:p>
    <w:p w14:paraId="1929D9C9" w14:textId="119EE7C5" w:rsidR="00DD368D" w:rsidRDefault="00DD368D" w:rsidP="00973A62">
      <w:pPr>
        <w:pStyle w:val="USBodyText"/>
        <w:spacing w:after="60"/>
      </w:pPr>
      <w:r>
        <w:t>The f</w:t>
      </w:r>
      <w:r w:rsidR="2A6B23F5">
        <w:t>ive</w:t>
      </w:r>
      <w:r>
        <w:t xml:space="preserve"> principles that underpin this review, explained in further detail below, are: </w:t>
      </w:r>
    </w:p>
    <w:p w14:paraId="7594A5C5" w14:textId="3B677CF4" w:rsidR="00DD368D" w:rsidRDefault="002227AC" w:rsidP="00DD368D">
      <w:pPr>
        <w:pStyle w:val="USBullet1"/>
      </w:pPr>
      <w:r>
        <w:t>Aligning</w:t>
      </w:r>
      <w:r w:rsidR="00C51486">
        <w:t xml:space="preserve"> </w:t>
      </w:r>
      <w:r w:rsidR="00DD368D">
        <w:t xml:space="preserve">with </w:t>
      </w:r>
      <w:r w:rsidR="006F5AC8">
        <w:t>contemporary evidence</w:t>
      </w:r>
      <w:r w:rsidR="00934895">
        <w:t xml:space="preserve"> in effective teaching</w:t>
      </w:r>
    </w:p>
    <w:p w14:paraId="62A867C8" w14:textId="77777777" w:rsidR="00DD368D" w:rsidRDefault="00DD368D" w:rsidP="00DD368D">
      <w:pPr>
        <w:pStyle w:val="USBullet1"/>
      </w:pPr>
      <w:r>
        <w:t>Responding to the Aotearoa New Zealand context with a genuine commitment to te ao Māori</w:t>
      </w:r>
    </w:p>
    <w:p w14:paraId="71A24F2D" w14:textId="77777777" w:rsidR="00DD368D" w:rsidRDefault="00DD368D" w:rsidP="00DD368D">
      <w:pPr>
        <w:pStyle w:val="USBullet1"/>
      </w:pPr>
      <w:r>
        <w:t>Ensuring ITE recognises the diversity of learners</w:t>
      </w:r>
    </w:p>
    <w:p w14:paraId="7AC46449" w14:textId="77777777" w:rsidR="00DD368D" w:rsidRDefault="00DD368D" w:rsidP="00DD368D">
      <w:pPr>
        <w:pStyle w:val="USBullet1"/>
      </w:pPr>
      <w:r>
        <w:t>Balancing consistency with contextualisation</w:t>
      </w:r>
    </w:p>
    <w:p w14:paraId="17190C18" w14:textId="7827E329" w:rsidR="00173912" w:rsidRPr="00A123F8" w:rsidRDefault="00173912" w:rsidP="00973A62">
      <w:pPr>
        <w:pStyle w:val="USBullet1"/>
        <w:spacing w:after="180"/>
      </w:pPr>
      <w:r>
        <w:t>Applying good regulatory practice</w:t>
      </w:r>
      <w:r w:rsidR="00F204E8">
        <w:t>.</w:t>
      </w:r>
    </w:p>
    <w:p w14:paraId="5B4836EF" w14:textId="303613FA" w:rsidR="00DD368D" w:rsidRPr="00500EBB" w:rsidRDefault="00934895" w:rsidP="00DD368D">
      <w:pPr>
        <w:pStyle w:val="Heading3"/>
      </w:pPr>
      <w:bookmarkStart w:id="91" w:name="_Toc234512871"/>
      <w:bookmarkStart w:id="92" w:name="_Toc236686026"/>
      <w:bookmarkStart w:id="93" w:name="_Toc241658034"/>
      <w:r>
        <w:t>Aligning with</w:t>
      </w:r>
      <w:r w:rsidR="00DD368D">
        <w:t xml:space="preserve"> </w:t>
      </w:r>
      <w:r w:rsidR="00D03EE8">
        <w:t>contemporary evidence</w:t>
      </w:r>
      <w:r w:rsidR="00DD368D">
        <w:t xml:space="preserve"> </w:t>
      </w:r>
      <w:r>
        <w:t>in effective teaching</w:t>
      </w:r>
      <w:bookmarkEnd w:id="91"/>
      <w:bookmarkEnd w:id="92"/>
      <w:bookmarkEnd w:id="93"/>
    </w:p>
    <w:p w14:paraId="0EF8D28D" w14:textId="614C5ED5" w:rsidR="004C6CE2" w:rsidRDefault="00DD368D" w:rsidP="004C6CE2">
      <w:pPr>
        <w:pStyle w:val="USBodyText"/>
        <w:spacing w:after="60"/>
      </w:pPr>
      <w:r>
        <w:t>Over the past two decades, significant research, policy development and reform activity have strengthened understanding</w:t>
      </w:r>
      <w:r w:rsidR="004C6CE2">
        <w:t xml:space="preserve"> of</w:t>
      </w:r>
      <w:r>
        <w:t xml:space="preserve"> </w:t>
      </w:r>
      <w:r w:rsidR="00E757CE">
        <w:t>w</w:t>
      </w:r>
      <w:r>
        <w:t xml:space="preserve">hat beginning teachers should know, understand and be able to do to teach effectively. </w:t>
      </w:r>
      <w:r w:rsidR="004C6CE2">
        <w:t xml:space="preserve">This includes the capabilities required of beginning teachers to effectively support </w:t>
      </w:r>
      <w:r w:rsidR="004C6CE2">
        <w:lastRenderedPageBreak/>
        <w:t>students.</w:t>
      </w:r>
      <w:r w:rsidR="004C6CE2" w:rsidRPr="2F2DCFD8">
        <w:rPr>
          <w:b/>
          <w:bCs/>
        </w:rPr>
        <w:t xml:space="preserve"> </w:t>
      </w:r>
      <w:r w:rsidR="004C6CE2">
        <w:t>ITE programmes need to prepare student teachers to use the curriculum, pedagogy and assessment practices required in early learning, schools and kura.</w:t>
      </w:r>
    </w:p>
    <w:p w14:paraId="7A4467FF" w14:textId="48C705C1" w:rsidR="00CB2724" w:rsidRDefault="00174040" w:rsidP="2F2DCFD8">
      <w:pPr>
        <w:pStyle w:val="USBodyText"/>
        <w:spacing w:after="60"/>
      </w:pPr>
      <w:r>
        <w:t>ITE plays a critical role in ensuring beginning teachers</w:t>
      </w:r>
      <w:r w:rsidR="00CB2724">
        <w:t xml:space="preserve"> enter the profession with these foundations. Many comparable jurisdictions recognised for the quality of their teacher education systems – including England, Wales, Singapore and Australia – have been undergoing significant and sustained reform over the last twenty years to ensure ITE reflects the contemporary evidence base for effective teaching and teacher preparation. </w:t>
      </w:r>
    </w:p>
    <w:p w14:paraId="2D56A0B7" w14:textId="77777777" w:rsidR="00CB2724" w:rsidRDefault="00CB2724" w:rsidP="00CB2724">
      <w:pPr>
        <w:pStyle w:val="USBodyText"/>
      </w:pPr>
      <w:r>
        <w:t>These international reforms recognise that expectations of teaching continue to evolve and that ITE systems must be regularly reviewed to remain aligned with contemporary evidence, system priorities and the capabilities required of beginning teachers. They also reinforce the importance of ensuring all graduates enter the profession with a strong foundation of professional knowledge and practice.</w:t>
      </w:r>
    </w:p>
    <w:p w14:paraId="59F7A101" w14:textId="1FF80F7A" w:rsidR="006739FB" w:rsidRPr="00500EBB" w:rsidRDefault="006739FB" w:rsidP="00CB2724">
      <w:pPr>
        <w:pStyle w:val="USBodyText"/>
      </w:pPr>
      <w:r>
        <w:t xml:space="preserve">This principle also recognises that evidence should be understood </w:t>
      </w:r>
      <w:r w:rsidR="00DB73E9">
        <w:t xml:space="preserve">broadly and </w:t>
      </w:r>
      <w:r>
        <w:t>approp</w:t>
      </w:r>
      <w:r w:rsidR="00DB73E9">
        <w:t>riately. Research evidence is an important source of insight into effective teaching, but it is not the only source. M</w:t>
      </w:r>
      <w:r w:rsidR="00DB73E9" w:rsidRPr="2F2DCFD8">
        <w:rPr>
          <w:lang w:val="mi-NZ"/>
        </w:rPr>
        <w:t>ā</w:t>
      </w:r>
      <w:r w:rsidR="00DB73E9">
        <w:t>tauranga Māori, Kaupapa Māori evidence, Māori education research, professional expertise and practice-based knowledge all contribute to understanding effective teaching within the Aotearoa New Zealand context. The nature and maturity of the evidence base will vary across Engli</w:t>
      </w:r>
      <w:r w:rsidR="00B3769A">
        <w:t>s</w:t>
      </w:r>
      <w:r w:rsidR="00DB73E9">
        <w:t>h</w:t>
      </w:r>
      <w:r w:rsidR="00B3769A">
        <w:t>-</w:t>
      </w:r>
      <w:r w:rsidR="00DB73E9">
        <w:t>medium</w:t>
      </w:r>
      <w:r w:rsidR="00B3769A">
        <w:t xml:space="preserve"> and Māori-medium</w:t>
      </w:r>
      <w:r w:rsidR="00A05B7B">
        <w:t xml:space="preserve"> contexts</w:t>
      </w:r>
      <w:r w:rsidR="00B3769A">
        <w:t xml:space="preserve">, and </w:t>
      </w:r>
      <w:r w:rsidR="00A05B7B">
        <w:t xml:space="preserve">from </w:t>
      </w:r>
      <w:r w:rsidR="00DB73E9">
        <w:t>early learning</w:t>
      </w:r>
      <w:r w:rsidR="00B3769A">
        <w:t xml:space="preserve"> through to school</w:t>
      </w:r>
      <w:r w:rsidR="00A05B7B">
        <w:t>ing</w:t>
      </w:r>
      <w:r w:rsidR="00B3769A">
        <w:t xml:space="preserve">. </w:t>
      </w:r>
    </w:p>
    <w:p w14:paraId="06FB257D" w14:textId="5B2CE467" w:rsidR="00CB2724" w:rsidRDefault="00384F39" w:rsidP="004C6CE2">
      <w:pPr>
        <w:pStyle w:val="USBodyText"/>
        <w:spacing w:after="60"/>
      </w:pPr>
      <w:r>
        <w:t xml:space="preserve">This does not imply that all providers should deliver ITE in the same way. However, where there is a strong and established evidence base regarding the capabilities beginning teachers should develop, there is a stronger case for ensuring those capabilities are reflected consistently across programmes. </w:t>
      </w:r>
    </w:p>
    <w:p w14:paraId="07CABB54" w14:textId="2F0D498F" w:rsidR="00C249E8" w:rsidRDefault="00C249E8" w:rsidP="004C6CE2">
      <w:pPr>
        <w:pStyle w:val="USBodyText"/>
        <w:spacing w:after="60"/>
      </w:pPr>
      <w:r>
        <w:t>Proposed changes to the ITE programme requirements should seek to reflect the strongest available evidence and</w:t>
      </w:r>
      <w:r w:rsidR="00831A4D">
        <w:t xml:space="preserve"> professional knowledge regarding what beginning teachers need to know and be able to do before entering the profession. </w:t>
      </w:r>
    </w:p>
    <w:p w14:paraId="74729AFF" w14:textId="6F494921" w:rsidR="00DD368D" w:rsidRPr="00DD368D" w:rsidRDefault="00DD368D" w:rsidP="2F2DCFD8">
      <w:pPr>
        <w:pStyle w:val="Heading3"/>
        <w:spacing w:after="60"/>
      </w:pPr>
      <w:bookmarkStart w:id="94" w:name="_Toc234512872"/>
      <w:bookmarkStart w:id="95" w:name="_Toc236686027"/>
      <w:bookmarkStart w:id="96" w:name="_Toc241658035"/>
      <w:r>
        <w:t>Responding to the Aotearoa New Zealand context with a genuine commitment to te ao Māori</w:t>
      </w:r>
      <w:bookmarkEnd w:id="94"/>
      <w:bookmarkEnd w:id="95"/>
      <w:bookmarkEnd w:id="96"/>
    </w:p>
    <w:p w14:paraId="6BB124F1" w14:textId="77777777" w:rsidR="00DD368D" w:rsidRPr="00500EBB" w:rsidRDefault="00DD368D" w:rsidP="00DD368D">
      <w:pPr>
        <w:pStyle w:val="USBodyText"/>
      </w:pPr>
      <w:r w:rsidRPr="00500EBB">
        <w:t xml:space="preserve">While contemporary evidence provides important insights into effective teacher preparation, those insights must be considered within the specific context of Aotearoa New Zealand. Education in Aotearoa New Zealand operates within a unique social, cultural and historical context. Māori are tangata whenua, and te ao Māori, te reo Māori, mātauranga Māori and Māori aspirations are integral to the foundations of the education system. </w:t>
      </w:r>
    </w:p>
    <w:p w14:paraId="05E31895" w14:textId="4EAE47F0" w:rsidR="00DD368D" w:rsidRDefault="00DD368D" w:rsidP="00DD368D">
      <w:pPr>
        <w:pStyle w:val="USBodyText"/>
      </w:pPr>
      <w:r w:rsidRPr="00500EBB">
        <w:t>Legislative and policy settings recognise that educational success must reflect the identities, languages, cultures and aspirations of learners and their communities, and that Māori learners should be supported to achieve educational success as Māori.</w:t>
      </w:r>
      <w:r w:rsidRPr="43B75BAF">
        <w:rPr>
          <w:rStyle w:val="FootnoteReference"/>
          <w:rFonts w:ascii="Aptos" w:hAnsi="Aptos"/>
        </w:rPr>
        <w:footnoteReference w:id="29"/>
      </w:r>
      <w:r w:rsidR="00F65692">
        <w:t xml:space="preserve"> </w:t>
      </w:r>
      <w:r w:rsidRPr="00500EBB">
        <w:t xml:space="preserve">This creates clear expectations that the </w:t>
      </w:r>
      <w:r w:rsidRPr="00500EBB">
        <w:lastRenderedPageBreak/>
        <w:t xml:space="preserve">education workforce is equipped to engage meaningfully with Māori learners, whānau, hapū and iwi, </w:t>
      </w:r>
      <w:r>
        <w:t>and contribute to educational success for Māori as Māori.</w:t>
      </w:r>
    </w:p>
    <w:p w14:paraId="7432B650" w14:textId="77777777" w:rsidR="00DD368D" w:rsidRPr="00500EBB" w:rsidRDefault="00DD368D" w:rsidP="00DD368D">
      <w:pPr>
        <w:pStyle w:val="USBodyText"/>
      </w:pPr>
      <w:r w:rsidRPr="00500EBB">
        <w:t>A growing body of Aotearoa New Zealand evidence has also strengthened understanding of what effective teaching practice looks like within this context. Research highlights the importance of culturally responsive pedagogies, strong and reciprocal relationships with learners and whānau, high expectations for Māori learners, and teaching approaches that reject deficit explanations for educational achievement.</w:t>
      </w:r>
      <w:r w:rsidRPr="43B75BAF">
        <w:rPr>
          <w:rStyle w:val="FootnoteReference"/>
          <w:rFonts w:ascii="Aptos" w:hAnsi="Aptos"/>
        </w:rPr>
        <w:footnoteReference w:id="30"/>
      </w:r>
      <w:r w:rsidRPr="00500EBB">
        <w:t xml:space="preserve"> More recent work has emphasised the importance of identity, belonging, connectedness, place and learner wellbeing as central contributors to educational success, and highlighted the role of Te Tiriti o Waitangi, local histories and understanding of colonisation in shaping equitable and culturally responsive practice.</w:t>
      </w:r>
      <w:r w:rsidRPr="43B75BAF">
        <w:rPr>
          <w:rStyle w:val="FootnoteReference"/>
          <w:rFonts w:ascii="Aptos" w:hAnsi="Aptos"/>
        </w:rPr>
        <w:footnoteReference w:id="31"/>
      </w:r>
      <w:r w:rsidRPr="00500EBB">
        <w:t xml:space="preserve"> </w:t>
      </w:r>
    </w:p>
    <w:p w14:paraId="5888FF04" w14:textId="26CB364D" w:rsidR="00DD368D" w:rsidRPr="00500EBB" w:rsidRDefault="00DD368D" w:rsidP="00DD368D">
      <w:pPr>
        <w:pStyle w:val="USBodyText"/>
      </w:pPr>
      <w:r w:rsidRPr="00500EBB">
        <w:t>These expectations are reflected in professional frameworks for teachers. Tātaiako identifies competencies such as whanaungatanga, manaakitanga, tangata whenuatanga, ako and wānanga as core capabilities required to work effectively with Māori learners, whānau, hapū and iwi.</w:t>
      </w:r>
      <w:r w:rsidRPr="43B75BAF">
        <w:rPr>
          <w:rStyle w:val="FootnoteReference"/>
          <w:rFonts w:ascii="Aptos" w:hAnsi="Aptos"/>
        </w:rPr>
        <w:footnoteReference w:id="32"/>
      </w:r>
      <w:r w:rsidR="00F65692">
        <w:t xml:space="preserve"> </w:t>
      </w:r>
    </w:p>
    <w:p w14:paraId="1AAC2249" w14:textId="0CE44F80" w:rsidR="00DD368D" w:rsidRPr="00500EBB" w:rsidRDefault="00DD368D" w:rsidP="00DD368D">
      <w:pPr>
        <w:pStyle w:val="USBodyText"/>
      </w:pPr>
      <w:r>
        <w:t xml:space="preserve">ITE plays a critical role in developing these capabilities. </w:t>
      </w:r>
      <w:r w:rsidR="06E9E618">
        <w:t>The ITE Programme Requirements</w:t>
      </w:r>
      <w:r>
        <w:t xml:space="preserve"> therefore need to establish clear and consistent expectations that all graduates are prepared to honour Te Tiriti o Waitangi in practice, engage authentically with te ao Māori, work in partnership with learners, whānau and communities, and contribute to educational success for Māori as Māori.</w:t>
      </w:r>
      <w:r w:rsidR="00F65692">
        <w:t xml:space="preserve"> </w:t>
      </w:r>
      <w:r>
        <w:t xml:space="preserve">This includes ensuring graduates develop the knowledge, </w:t>
      </w:r>
      <w:r w:rsidR="00B377D5">
        <w:t>practices, capabilities and</w:t>
      </w:r>
      <w:r>
        <w:t xml:space="preserve"> </w:t>
      </w:r>
      <w:r w:rsidR="00962A02">
        <w:t xml:space="preserve">professional </w:t>
      </w:r>
      <w:r>
        <w:t xml:space="preserve">dispositions required to apply culturally responsive pedagogies, draw on local contexts and histories, and honour the place of Māori as tangata whenua. </w:t>
      </w:r>
    </w:p>
    <w:p w14:paraId="3F3149F8" w14:textId="2BE91F18" w:rsidR="00DD368D" w:rsidRDefault="3FCF0D6A" w:rsidP="2F2DCFD8">
      <w:pPr>
        <w:pStyle w:val="USBodyText"/>
        <w:spacing w:after="60"/>
      </w:pPr>
      <w:r w:rsidRPr="00B61E2A">
        <w:t xml:space="preserve">In applying this principle, the review has been careful not to diminish aspects of the </w:t>
      </w:r>
      <w:r w:rsidR="30B4A349" w:rsidRPr="00B61E2A">
        <w:t>current ITE Programme</w:t>
      </w:r>
      <w:r w:rsidR="30B4A349">
        <w:t xml:space="preserve"> Requirements</w:t>
      </w:r>
      <w:r>
        <w:t xml:space="preserve"> that support culturally responsive practice, te reo Māori, and authentic partnerships with learners, whānau and communities. </w:t>
      </w:r>
      <w:r w:rsidR="101F938E">
        <w:t>Our p</w:t>
      </w:r>
      <w:r>
        <w:t>ropos</w:t>
      </w:r>
      <w:r w:rsidR="3B8E0186">
        <w:t>als</w:t>
      </w:r>
      <w:r>
        <w:t xml:space="preserve"> should retain and build on these foundations while strengthening the overall clarity and coherence of the </w:t>
      </w:r>
      <w:r w:rsidR="242530F1">
        <w:t xml:space="preserve">ITE Programme </w:t>
      </w:r>
      <w:r>
        <w:t>Requirements.</w:t>
      </w:r>
    </w:p>
    <w:p w14:paraId="60EF7D78" w14:textId="0D18D04C" w:rsidR="00DD368D" w:rsidRPr="00DD368D" w:rsidRDefault="00DD368D" w:rsidP="00DD368D">
      <w:pPr>
        <w:pStyle w:val="Heading3"/>
      </w:pPr>
      <w:bookmarkStart w:id="97" w:name="_Toc234512873"/>
      <w:bookmarkStart w:id="98" w:name="_Toc236686028"/>
      <w:bookmarkStart w:id="99" w:name="_Toc241658036"/>
      <w:r>
        <w:t>Ensuring ITE recognises the diversity of learners</w:t>
      </w:r>
      <w:bookmarkEnd w:id="97"/>
      <w:bookmarkEnd w:id="98"/>
      <w:bookmarkEnd w:id="99"/>
    </w:p>
    <w:p w14:paraId="5EAD3E48" w14:textId="77777777" w:rsidR="00DD368D" w:rsidRPr="009E0FC3" w:rsidRDefault="00DD368D" w:rsidP="00DD368D">
      <w:pPr>
        <w:pStyle w:val="USBodyText"/>
      </w:pPr>
      <w:r>
        <w:t xml:space="preserve">A defining feature of teaching is responding effectively to the diverse learners, communities and contexts that make up Aotearoa New Zealand’s education system. ITE programmes must effectively </w:t>
      </w:r>
      <w:r>
        <w:lastRenderedPageBreak/>
        <w:t xml:space="preserve">prepare beginning teachers to work effectively with learners who bring different identities, languages, cultures, experiences and learning needs, and adapt their practice accordingly. </w:t>
      </w:r>
    </w:p>
    <w:p w14:paraId="373B3A41" w14:textId="0222072C" w:rsidR="00DD368D" w:rsidRDefault="00DD368D" w:rsidP="00DD368D">
      <w:pPr>
        <w:pStyle w:val="USBodyText"/>
      </w:pPr>
      <w:r>
        <w:t xml:space="preserve">This includes being prepared to support learners with disabilities and additional learning needs, neurodivergent learners, Pasifika learners, and learners from culturally and linguistically diverse backgrounds. Effective teaching requires high expectations for all learners, an understanding of the factors that influence participation and achievement, and the ability to adapt teaching in response to learner needs and context. </w:t>
      </w:r>
      <w:r w:rsidR="600C3CF5">
        <w:t xml:space="preserve">Low expectations, limited adaption of teaching approaches and inconsistent access to inclusive teaching practices can affect participation, learning and achievement. </w:t>
      </w:r>
      <w:r>
        <w:t>Teachers should be equipped not only with strong pedagogical knowledge, but also with the capability to respond to the diverse communities, knowledge systems and cultural contexts that shape learners' educational experiences.</w:t>
      </w:r>
    </w:p>
    <w:p w14:paraId="0F397B1C" w14:textId="3D82AFCD" w:rsidR="5A2E9B17" w:rsidRDefault="598B5920" w:rsidP="5A2E9B17">
      <w:pPr>
        <w:pStyle w:val="USBodyText"/>
      </w:pPr>
      <w:r>
        <w:t xml:space="preserve">Disabled learners are a diverse group with different strengths, identities, aspirations and support needs. </w:t>
      </w:r>
      <w:r w:rsidR="4DB47B9D">
        <w:t>Disabled learners represent a significant part of the education system and most disabled learners attend mainstream education settings. This means that teaching disabled learners isn’t a specialist capability required by a small number of tea</w:t>
      </w:r>
      <w:r w:rsidR="57F6C9BF">
        <w:t xml:space="preserve">chers, but a core part of effective teaching practice for much of the workforce. </w:t>
      </w:r>
    </w:p>
    <w:p w14:paraId="5C55F5E9" w14:textId="558BDD06" w:rsidR="5A2E9B17" w:rsidRDefault="374E24F5" w:rsidP="5A2E9B17">
      <w:pPr>
        <w:pStyle w:val="USBodyText"/>
      </w:pPr>
      <w:r>
        <w:t xml:space="preserve">The New Zealand Disability Strategy identifies an </w:t>
      </w:r>
      <w:r w:rsidR="598B5920">
        <w:t xml:space="preserve">inclusive education system </w:t>
      </w:r>
      <w:r w:rsidR="3586BD79">
        <w:t xml:space="preserve">as one that </w:t>
      </w:r>
      <w:r w:rsidR="598B5920">
        <w:t xml:space="preserve">requires teachers to hold high expectations for disabled learners and to be able to adapt their teaching, assessment and learning environments so all learners can participate, progress and </w:t>
      </w:r>
      <w:r w:rsidR="09ED2A23">
        <w:t>achieve their potential</w:t>
      </w:r>
      <w:r w:rsidR="598B5920">
        <w:t>.</w:t>
      </w:r>
      <w:r w:rsidR="598B5920" w:rsidRPr="57E86B04">
        <w:rPr>
          <w:rStyle w:val="FootnoteReference"/>
        </w:rPr>
        <w:footnoteReference w:id="33"/>
      </w:r>
      <w:r w:rsidR="598B5920">
        <w:t xml:space="preserve"> This includes</w:t>
      </w:r>
      <w:r w:rsidR="2B25EECB">
        <w:t xml:space="preserve"> identifying,</w:t>
      </w:r>
      <w:r w:rsidR="598B5920">
        <w:t xml:space="preserve"> understanding</w:t>
      </w:r>
      <w:r w:rsidR="354AFFE2">
        <w:t xml:space="preserve"> </w:t>
      </w:r>
      <w:r w:rsidR="4C2FEAF0">
        <w:t>and responding</w:t>
      </w:r>
      <w:r w:rsidR="4D5FF122">
        <w:t xml:space="preserve"> to</w:t>
      </w:r>
      <w:r w:rsidR="4C2FEAF0">
        <w:t xml:space="preserve"> </w:t>
      </w:r>
      <w:r w:rsidR="354AFFE2">
        <w:t xml:space="preserve">learning support needs, </w:t>
      </w:r>
      <w:r w:rsidR="72A625E5">
        <w:t xml:space="preserve">and working effectively </w:t>
      </w:r>
      <w:r w:rsidR="1AB73BC9">
        <w:t xml:space="preserve">with learners, whānau and specialist services as necessary. </w:t>
      </w:r>
    </w:p>
    <w:p w14:paraId="7636B13E" w14:textId="4DFA2B71" w:rsidR="00DD368D" w:rsidRDefault="00DD368D" w:rsidP="00DD368D">
      <w:pPr>
        <w:pStyle w:val="USBodyText"/>
      </w:pPr>
      <w:r>
        <w:t xml:space="preserve">Pasifika </w:t>
      </w:r>
      <w:r w:rsidR="6A8BE62E">
        <w:t xml:space="preserve">peoples </w:t>
      </w:r>
      <w:r>
        <w:t>also represent a significant and growing part of New Zealand's population and education system, with their own languages, cultures, knowledge systems and aspirations that contribute to the richness and diversity of learning communities.</w:t>
      </w:r>
      <w:r w:rsidRPr="2F2DCFD8">
        <w:rPr>
          <w:rStyle w:val="FootnoteReference"/>
        </w:rPr>
        <w:footnoteReference w:id="34"/>
      </w:r>
      <w:r>
        <w:t xml:space="preserve"> Professional frameworks such as Tapasā highlight the importance of understanding and responding to the identities, languages and cultures of Pasifika learners, building collaborative and respectful relationships with families and communities, and implementing pedagogical approaches that are effective for Pasifika learners.</w:t>
      </w:r>
      <w:r w:rsidRPr="2F2DCFD8">
        <w:rPr>
          <w:rStyle w:val="FootnoteReference"/>
        </w:rPr>
        <w:footnoteReference w:id="35"/>
      </w:r>
      <w:r w:rsidR="00F65692">
        <w:t xml:space="preserve"> </w:t>
      </w:r>
    </w:p>
    <w:p w14:paraId="2B3A8B5D" w14:textId="6D222F5E" w:rsidR="00DD368D" w:rsidRDefault="00DD368D" w:rsidP="00DD368D">
      <w:pPr>
        <w:pStyle w:val="USBodyText"/>
      </w:pPr>
      <w:r>
        <w:t>ITE plays a critical role in developing these core capabilities before teachers enter the profession.</w:t>
      </w:r>
      <w:r w:rsidR="00F65692">
        <w:t xml:space="preserve"> </w:t>
      </w:r>
      <w:r w:rsidR="2990056C">
        <w:t>The ITE Programme Requirements</w:t>
      </w:r>
      <w:r>
        <w:t xml:space="preserve"> need to ensure that all student teachers have opportunities to develop the knowledge, </w:t>
      </w:r>
      <w:r w:rsidR="004D5FDB">
        <w:t>practices</w:t>
      </w:r>
      <w:r>
        <w:t>, capabilities and professional dispositions required to work effectively with diverse learners, see effective practice modelled, apply that learning in authentic settings, and receive feedback on their emerging practice. Proposed changes to the</w:t>
      </w:r>
      <w:r w:rsidR="242530F1">
        <w:t xml:space="preserve"> ITE Programme</w:t>
      </w:r>
      <w:r>
        <w:t xml:space="preserve"> Requirements should </w:t>
      </w:r>
      <w:r>
        <w:lastRenderedPageBreak/>
        <w:t>strengthen confidence that all graduates are prepared to meet the needs of the diverse learners they will encounter throughout their careers.</w:t>
      </w:r>
    </w:p>
    <w:p w14:paraId="000141BC" w14:textId="0CBDC4C8" w:rsidR="00DD368D" w:rsidRPr="00DD368D" w:rsidRDefault="00DD368D" w:rsidP="00DD368D">
      <w:pPr>
        <w:pStyle w:val="Heading3"/>
      </w:pPr>
      <w:bookmarkStart w:id="100" w:name="_Toc234512874"/>
      <w:bookmarkStart w:id="101" w:name="_Toc236686029"/>
      <w:bookmarkStart w:id="102" w:name="_Toc241658037"/>
      <w:r>
        <w:t>Balancing programme consistency with contextualisation</w:t>
      </w:r>
      <w:bookmarkEnd w:id="100"/>
      <w:bookmarkEnd w:id="101"/>
      <w:bookmarkEnd w:id="102"/>
    </w:p>
    <w:p w14:paraId="4B437FB2" w14:textId="5526060D" w:rsidR="00DD368D" w:rsidRPr="00310568" w:rsidRDefault="1AE9E6ED" w:rsidP="00DD368D">
      <w:pPr>
        <w:pStyle w:val="USBodyText"/>
      </w:pPr>
      <w:r>
        <w:t>The ITE Programme Requirements</w:t>
      </w:r>
      <w:r w:rsidR="00DD368D">
        <w:t xml:space="preserve"> play an important role in establishing a common foundation for the teaching profession. They provide assurance that all graduates develop the core knowledge, </w:t>
      </w:r>
      <w:r w:rsidR="004D5FDB">
        <w:t xml:space="preserve">practices, </w:t>
      </w:r>
      <w:r w:rsidR="00962A02">
        <w:t xml:space="preserve">and </w:t>
      </w:r>
      <w:r w:rsidR="004D5FDB">
        <w:t xml:space="preserve">capabilities </w:t>
      </w:r>
      <w:r w:rsidR="00DD368D">
        <w:t xml:space="preserve">required for entry to teaching, regardless of the provider through which they complete their qualification. </w:t>
      </w:r>
    </w:p>
    <w:p w14:paraId="7786A48E" w14:textId="77777777" w:rsidR="00DD368D" w:rsidRDefault="00DD368D" w:rsidP="00DD368D">
      <w:pPr>
        <w:pStyle w:val="USBodyText"/>
      </w:pPr>
      <w:r w:rsidRPr="00310568">
        <w:t>There is a clear case for greater consistency. Evidence and research increasingly point to a set of core capabilities, knowledge areas, and practices that underpin effective teaching and should form part of every graduate’s preparation. Great</w:t>
      </w:r>
      <w:r>
        <w:t>er</w:t>
      </w:r>
      <w:r w:rsidRPr="00310568">
        <w:t xml:space="preserve"> consistency in these areas would strengthen </w:t>
      </w:r>
      <w:r>
        <w:t xml:space="preserve">confidence that all beginning teachers enter the profession with the essential capabilities needed to support learner success. </w:t>
      </w:r>
    </w:p>
    <w:p w14:paraId="0363E1F0" w14:textId="77777777" w:rsidR="00DD368D" w:rsidRDefault="00DD368D" w:rsidP="00DD368D">
      <w:pPr>
        <w:pStyle w:val="USBodyText"/>
      </w:pPr>
      <w:r>
        <w:t>There is also a case for contextualisation. There is no single model through which capabilities must be developed. Providers operate in different contexts, work with different communities and learner populations, draw on different areas of expertise and employ different approaches to programme design, structure and delivery. The diversity of educational settings across Aotearoa New Zealand means that providers must be able to respond to local needs, priorities and opportunities, including through meaningful partnerships with hapū and iwi, schools, kura, early learning services and wider communities.</w:t>
      </w:r>
    </w:p>
    <w:p w14:paraId="35C3F536" w14:textId="313ABE91" w:rsidR="00903E0E" w:rsidRPr="00500EBB" w:rsidRDefault="74D3956B" w:rsidP="00903E0E">
      <w:pPr>
        <w:pStyle w:val="USBodyText"/>
        <w:spacing w:after="60"/>
      </w:pPr>
      <w:r>
        <w:t xml:space="preserve">This review recognises that the current ITE Programme Requirements have made a positive contribution </w:t>
      </w:r>
      <w:r w:rsidR="19EA87A5" w:rsidRPr="00274F0F">
        <w:t>to strengthen aspects of teacher preparation that are particularly important within an Aotearoa New Zealand context.</w:t>
      </w:r>
    </w:p>
    <w:p w14:paraId="64996B71" w14:textId="09E91E30" w:rsidR="00903E0E" w:rsidRPr="00500EBB" w:rsidRDefault="1BD21648" w:rsidP="00903E0E">
      <w:pPr>
        <w:pStyle w:val="USBodyText"/>
        <w:spacing w:after="60"/>
      </w:pPr>
      <w:r>
        <w:t xml:space="preserve">OECD TALIS 2024 </w:t>
      </w:r>
      <w:r w:rsidR="6D3A41CD">
        <w:t xml:space="preserve">data </w:t>
      </w:r>
      <w:r>
        <w:t>suggests that more recently qualified teachers report stronger preparation in:</w:t>
      </w:r>
      <w:r w:rsidR="76851E6E" w:rsidRPr="2F2DCFD8">
        <w:rPr>
          <w:rStyle w:val="FootnoteReference"/>
          <w:rFonts w:ascii="Aptos" w:hAnsi="Aptos"/>
        </w:rPr>
        <w:footnoteReference w:id="36"/>
      </w:r>
      <w:r>
        <w:t xml:space="preserve"> </w:t>
      </w:r>
    </w:p>
    <w:p w14:paraId="6CBBB1C7" w14:textId="77777777" w:rsidR="00903E0E" w:rsidRDefault="00903E0E" w:rsidP="00903E0E">
      <w:pPr>
        <w:pStyle w:val="USBullet1"/>
      </w:pPr>
      <w:r>
        <w:t>Integrating the principles of Te Tiriti o Waitangi</w:t>
      </w:r>
    </w:p>
    <w:p w14:paraId="1FF67D68" w14:textId="2965AB0E" w:rsidR="00903E0E" w:rsidRDefault="00903E0E" w:rsidP="00903E0E">
      <w:pPr>
        <w:pStyle w:val="USBullet1"/>
      </w:pPr>
      <w:r>
        <w:t>Using digital tools for teaching</w:t>
      </w:r>
    </w:p>
    <w:p w14:paraId="1A1D2181" w14:textId="4A9CACA2" w:rsidR="00903E0E" w:rsidRDefault="00903E0E" w:rsidP="00903E0E">
      <w:pPr>
        <w:pStyle w:val="USBullet1"/>
      </w:pPr>
      <w:r>
        <w:t>Teaching in multicultural and multilingual contexts</w:t>
      </w:r>
    </w:p>
    <w:p w14:paraId="0D89454E" w14:textId="3DBB1186" w:rsidR="00903E0E" w:rsidRPr="00604368" w:rsidRDefault="00903E0E" w:rsidP="00903E0E">
      <w:pPr>
        <w:pStyle w:val="USBullet1"/>
      </w:pPr>
      <w:r>
        <w:t>Supporting students</w:t>
      </w:r>
      <w:r w:rsidR="79382B17">
        <w:t>’</w:t>
      </w:r>
      <w:r>
        <w:t xml:space="preserve"> social and emotional development</w:t>
      </w:r>
    </w:p>
    <w:p w14:paraId="77A0166D" w14:textId="77777777" w:rsidR="00903E0E" w:rsidRPr="00604368" w:rsidRDefault="00903E0E" w:rsidP="00903E0E">
      <w:pPr>
        <w:pStyle w:val="USBullet1"/>
        <w:spacing w:after="180"/>
      </w:pPr>
      <w:r>
        <w:t>Affirming the language, culture, and identity of students in their class.</w:t>
      </w:r>
    </w:p>
    <w:p w14:paraId="0C81C99D" w14:textId="2E67BB58" w:rsidR="005A78EC" w:rsidRDefault="00AE53AC" w:rsidP="00DD368D">
      <w:pPr>
        <w:pStyle w:val="USBodyText"/>
      </w:pPr>
      <w:r>
        <w:t>These trends align with areas that received increased emphasis through the 2019 Requirements,</w:t>
      </w:r>
      <w:r w:rsidR="00AF4A01">
        <w:t xml:space="preserve"> and w</w:t>
      </w:r>
      <w:r>
        <w:t xml:space="preserve">hile this review proposes significant changes to improve the coherence, clarity and overall fitness-for-purpose of the Requirements, it has been informed by these existing strengths. </w:t>
      </w:r>
      <w:r w:rsidR="00AF4A01">
        <w:t xml:space="preserve">Proposed changes </w:t>
      </w:r>
      <w:r w:rsidR="00AF4A01">
        <w:lastRenderedPageBreak/>
        <w:t xml:space="preserve">should retain and build on areas that contribute positively to graduate preparedness, while strengthening the overall architecture of the requirements. </w:t>
      </w:r>
    </w:p>
    <w:p w14:paraId="29DF5B87" w14:textId="0F3F5A8F" w:rsidR="00DD368D" w:rsidRDefault="00DD368D" w:rsidP="00DD368D">
      <w:pPr>
        <w:pStyle w:val="USBodyText"/>
      </w:pPr>
      <w:r>
        <w:t>The challenge for the</w:t>
      </w:r>
      <w:r w:rsidR="242530F1">
        <w:t xml:space="preserve"> ITE Programme</w:t>
      </w:r>
      <w:r>
        <w:t xml:space="preserve"> Requirements is therefore not whether consistency or contextualisation is more important; it is determining where consistency is required to ensure all graduates develop core capabilities, and where flexibility enables providers to exercise professional expertise, respond to context, and deliver high-quality programmes. </w:t>
      </w:r>
    </w:p>
    <w:p w14:paraId="78C70B61" w14:textId="15491991" w:rsidR="00DD368D" w:rsidRDefault="00DD368D" w:rsidP="00DD368D">
      <w:pPr>
        <w:pStyle w:val="USBodyText"/>
      </w:pPr>
      <w:r>
        <w:t xml:space="preserve">This review has therefore considered the extent to which the </w:t>
      </w:r>
      <w:r w:rsidR="242530F1">
        <w:t xml:space="preserve">ITE Programme </w:t>
      </w:r>
      <w:r>
        <w:t>Requirements strike an appropriate balance between consistency and contextualisation. Proposed changes seek to provide greater clarity about the core capabilities expected of all graduates, while avoiding unnecessary prescription. The intention is to strengthen professional capability across the system, rather than drive compliance with a single model of teacher preparation.</w:t>
      </w:r>
    </w:p>
    <w:p w14:paraId="01DED8AC" w14:textId="356A9E6A" w:rsidR="006425A1" w:rsidRPr="00A123F8" w:rsidRDefault="4AD40571" w:rsidP="1709B4D8">
      <w:pPr>
        <w:pStyle w:val="Heading3"/>
      </w:pPr>
      <w:bookmarkStart w:id="103" w:name="_Toc236686030"/>
      <w:bookmarkStart w:id="104" w:name="_Toc241658038"/>
      <w:r>
        <w:t>Applying good regulatory practice</w:t>
      </w:r>
      <w:bookmarkEnd w:id="103"/>
      <w:bookmarkEnd w:id="104"/>
    </w:p>
    <w:p w14:paraId="08808004" w14:textId="1A323D46" w:rsidR="006425A1" w:rsidRPr="00A123F8" w:rsidRDefault="10A4CF0C" w:rsidP="1709B4D8">
      <w:pPr>
        <w:pStyle w:val="USBodyText"/>
      </w:pPr>
      <w:r w:rsidRPr="1709B4D8">
        <w:t>The ITE Programme Requirements</w:t>
      </w:r>
      <w:r w:rsidR="2764AE6B" w:rsidRPr="1709B4D8">
        <w:t xml:space="preserve"> are </w:t>
      </w:r>
      <w:r w:rsidR="3A6BED9F" w:rsidRPr="1709B4D8">
        <w:t xml:space="preserve">a key </w:t>
      </w:r>
      <w:r w:rsidR="2764AE6B" w:rsidRPr="1709B4D8">
        <w:t xml:space="preserve">regulatory instrument intended to support the wider teaching workforce regulatory system. </w:t>
      </w:r>
      <w:r w:rsidR="2F1BDE7B" w:rsidRPr="1709B4D8">
        <w:t xml:space="preserve">They establish the expectations that approved providers must meet and provide assurance that graduates are ready to enter the profession. </w:t>
      </w:r>
      <w:r w:rsidR="41B4A773" w:rsidRPr="1709B4D8">
        <w:t>Whil</w:t>
      </w:r>
      <w:r w:rsidR="7D2014F4" w:rsidRPr="1709B4D8">
        <w:t>e this review is not a first-principles review of the regulatory framework, it recognises the importance of ensuring the</w:t>
      </w:r>
      <w:r w:rsidR="71D41026" w:rsidRPr="1709B4D8">
        <w:t xml:space="preserve"> </w:t>
      </w:r>
      <w:r w:rsidR="0960D603" w:rsidRPr="1709B4D8">
        <w:t xml:space="preserve">ITE Programme </w:t>
      </w:r>
      <w:r w:rsidR="71D41026" w:rsidRPr="1709B4D8">
        <w:t xml:space="preserve">Requirements </w:t>
      </w:r>
      <w:r w:rsidR="7D2014F4" w:rsidRPr="1709B4D8">
        <w:t>reflect</w:t>
      </w:r>
      <w:r w:rsidR="71D41026" w:rsidRPr="1709B4D8">
        <w:t xml:space="preserve"> principles of good regulatory practice.</w:t>
      </w:r>
      <w:r w:rsidR="00324E8B" w:rsidRPr="1709B4D8">
        <w:rPr>
          <w:rStyle w:val="FootnoteReference"/>
        </w:rPr>
        <w:footnoteReference w:id="37"/>
      </w:r>
      <w:r w:rsidR="71D41026" w:rsidRPr="1709B4D8">
        <w:t xml:space="preserve"> </w:t>
      </w:r>
    </w:p>
    <w:p w14:paraId="46FC4AEC" w14:textId="7AE6362B" w:rsidR="002F2B4F" w:rsidRPr="00A123F8" w:rsidRDefault="478C0CA1" w:rsidP="1709B4D8">
      <w:pPr>
        <w:pStyle w:val="USBodyText"/>
      </w:pPr>
      <w:r>
        <w:t>Good regulat</w:t>
      </w:r>
      <w:r w:rsidR="024C61D5">
        <w:t xml:space="preserve">ion should be clear about its purpose and the outcomes it intends to achieve. </w:t>
      </w:r>
      <w:r w:rsidR="7B049997">
        <w:t>The ITE Programme Requirements</w:t>
      </w:r>
      <w:r w:rsidR="024C61D5">
        <w:t xml:space="preserve"> should establish a clear threshold for graduate readiness, be capable of consistent interpretation and application, and provide confidence that all graduates have met the expectation required for entry to the profession. Requirements should be accessibl</w:t>
      </w:r>
      <w:r w:rsidR="58FF232A">
        <w:t xml:space="preserve">e and easy to understand, capable of supporting predictable and consistent outcomes, and aligned with the wider teacher workforce regulatory system and education priorities. </w:t>
      </w:r>
      <w:r w:rsidR="024C61D5">
        <w:t xml:space="preserve"> </w:t>
      </w:r>
    </w:p>
    <w:p w14:paraId="60E5757B" w14:textId="73D5652E" w:rsidR="002E2754" w:rsidRPr="00A123F8" w:rsidRDefault="5516C205" w:rsidP="1709B4D8">
      <w:pPr>
        <w:pStyle w:val="USBodyText"/>
      </w:pPr>
      <w:r>
        <w:t>Regulatory requirements should also be proportionate to the risks they are intended to address. Changes should be informed by evidence and analysis, and consideration should be given to both the benefits of strengthening regulation and the costs of implementation. This</w:t>
      </w:r>
      <w:r w:rsidR="7C6624BF">
        <w:t xml:space="preserve"> </w:t>
      </w:r>
      <w:r>
        <w:t xml:space="preserve">includes </w:t>
      </w:r>
      <w:r w:rsidR="7C6624BF">
        <w:t>recognising that greater prescription is not always appropriate, and that Requirements should provide sufficient clarity and assurance, while allowing flexibility for providers to exercise professional judgement and responsiveness to context.</w:t>
      </w:r>
    </w:p>
    <w:p w14:paraId="793EA1C6" w14:textId="2E901BEE" w:rsidR="00E91F26" w:rsidRDefault="383D0950" w:rsidP="00B160B0">
      <w:pPr>
        <w:pStyle w:val="USBodyText"/>
        <w:spacing w:after="360"/>
      </w:pPr>
      <w:r>
        <w:t>Many of the opportunities for improvement that we have identified involve balancing competing consideration</w:t>
      </w:r>
      <w:r w:rsidR="55028F92">
        <w:t xml:space="preserve">s. </w:t>
      </w:r>
      <w:r w:rsidR="1AEE2752">
        <w:t xml:space="preserve">While the opportunities have been informed by good regulatory practice, an important purpose of </w:t>
      </w:r>
      <w:r w:rsidR="55E7EAA3">
        <w:t>this engagement</w:t>
      </w:r>
      <w:r w:rsidR="123D5A23">
        <w:t xml:space="preserve"> will be to test these judgements and better understand the risks, benefits, implementation considerations and unintended consequences</w:t>
      </w:r>
      <w:r w:rsidR="122A6FB9">
        <w:t xml:space="preserve">. This will help determine </w:t>
      </w:r>
      <w:r w:rsidR="122A6FB9">
        <w:lastRenderedPageBreak/>
        <w:t xml:space="preserve">whether the proposed changes strike an appropriate balance between improving graduate readiness and ensuring the </w:t>
      </w:r>
      <w:r w:rsidR="0960D603">
        <w:t xml:space="preserve">ITE Programme </w:t>
      </w:r>
      <w:r w:rsidR="122A6FB9">
        <w:t xml:space="preserve">Requirements are proportionate, effective and workable in practice. </w:t>
      </w:r>
    </w:p>
    <w:tbl>
      <w:tblPr>
        <w:tblStyle w:val="TableGrid"/>
        <w:tblW w:w="0" w:type="auto"/>
        <w:tblCellMar>
          <w:top w:w="198" w:type="dxa"/>
          <w:left w:w="170" w:type="dxa"/>
          <w:bottom w:w="198" w:type="dxa"/>
          <w:right w:w="170" w:type="dxa"/>
        </w:tblCellMar>
        <w:tblLook w:val="06A0" w:firstRow="1" w:lastRow="0" w:firstColumn="1" w:lastColumn="0" w:noHBand="1" w:noVBand="1"/>
      </w:tblPr>
      <w:tblGrid>
        <w:gridCol w:w="9060"/>
      </w:tblGrid>
      <w:tr w:rsidR="76D84600" w14:paraId="47B735A6" w14:textId="77777777" w:rsidTr="275913F7">
        <w:trPr>
          <w:trHeight w:val="300"/>
        </w:trPr>
        <w:tc>
          <w:tcPr>
            <w:tcW w:w="9060" w:type="dxa"/>
            <w:tcBorders>
              <w:top w:val="nil"/>
              <w:left w:val="nil"/>
              <w:bottom w:val="nil"/>
              <w:right w:val="nil"/>
            </w:tcBorders>
            <w:shd w:val="clear" w:color="auto" w:fill="D5E4E6" w:themeFill="accent1" w:themeFillTint="33"/>
          </w:tcPr>
          <w:p w14:paraId="35047B87" w14:textId="209C6A70" w:rsidR="59E36916" w:rsidRDefault="47E9A89E" w:rsidP="005E62CD">
            <w:pPr>
              <w:pStyle w:val="Heading4"/>
              <w:spacing w:before="0"/>
            </w:pPr>
            <w:bookmarkStart w:id="105" w:name="_Toc199382232"/>
            <w:r>
              <w:t>For discussion:</w:t>
            </w:r>
            <w:bookmarkEnd w:id="105"/>
          </w:p>
          <w:p w14:paraId="20DEE922" w14:textId="7DFAB1BB" w:rsidR="78BCEE36" w:rsidRDefault="2294CAA4" w:rsidP="28AE6171">
            <w:pPr>
              <w:pStyle w:val="USBullet1"/>
              <w:spacing w:before="120" w:after="120"/>
            </w:pPr>
            <w:r>
              <w:t>Do the proposed principles provide an appropriate foundation for reviewing the ITE Programme Requirements? Why</w:t>
            </w:r>
            <w:r w:rsidR="06066FA8">
              <w:t>,</w:t>
            </w:r>
            <w:r>
              <w:t xml:space="preserve"> or why not? </w:t>
            </w:r>
          </w:p>
          <w:p w14:paraId="0059621F" w14:textId="6DD35F8F" w:rsidR="59E36916" w:rsidRDefault="3350AB4C" w:rsidP="0099430B">
            <w:pPr>
              <w:pStyle w:val="USBullet1"/>
              <w:spacing w:before="120" w:after="120"/>
            </w:pPr>
            <w:r>
              <w:t>How should the ITE Programme Requirements balance greater consistency in graduate capabilities with flexibility for providers to respond to their context, communities and areas of expertise?</w:t>
            </w:r>
          </w:p>
        </w:tc>
      </w:tr>
    </w:tbl>
    <w:p w14:paraId="66825702" w14:textId="5740C4E6" w:rsidR="76D84600" w:rsidRDefault="76D84600" w:rsidP="76D84600">
      <w:pPr>
        <w:pStyle w:val="USBodyText"/>
      </w:pPr>
    </w:p>
    <w:p w14:paraId="66616499" w14:textId="7799D49A" w:rsidR="00D47977" w:rsidRPr="00D47977" w:rsidRDefault="00D47977" w:rsidP="76D84600">
      <w:pPr>
        <w:pStyle w:val="Heading1"/>
      </w:pPr>
      <w:bookmarkStart w:id="106" w:name="_Toc234512875"/>
      <w:bookmarkStart w:id="107" w:name="_Toc236686031"/>
      <w:bookmarkStart w:id="108" w:name="_Toc241658039"/>
      <w:r>
        <w:lastRenderedPageBreak/>
        <w:t xml:space="preserve">Opportunities to improve the </w:t>
      </w:r>
      <w:r w:rsidR="242530F1">
        <w:t xml:space="preserve">ITE Programme </w:t>
      </w:r>
      <w:r>
        <w:t>Requirements</w:t>
      </w:r>
      <w:bookmarkEnd w:id="106"/>
      <w:bookmarkEnd w:id="107"/>
      <w:bookmarkEnd w:id="108"/>
    </w:p>
    <w:p w14:paraId="415D3A71" w14:textId="38114677" w:rsidR="00D47977" w:rsidRPr="003D38CA" w:rsidRDefault="00D47977" w:rsidP="00D47977">
      <w:pPr>
        <w:pStyle w:val="USBodyText"/>
      </w:pPr>
      <w:r>
        <w:t xml:space="preserve">We have identified nine opportunities to improve the current </w:t>
      </w:r>
      <w:r w:rsidR="66491AB6">
        <w:t xml:space="preserve">ITE Programme </w:t>
      </w:r>
      <w:r>
        <w:t xml:space="preserve">Requirements. Together, they are intended to strengthen the coherence, quality, consistency and assurance of ITE across Aotearoa New Zealand. These opportunities have been informed by the activities outlined in the Project Overview and the four underlying principles set out in the Review Framework. </w:t>
      </w:r>
    </w:p>
    <w:p w14:paraId="3097DA5E" w14:textId="77777777" w:rsidR="00D47977" w:rsidRPr="003D38CA" w:rsidRDefault="00D47977" w:rsidP="00532BD0">
      <w:pPr>
        <w:pStyle w:val="USBodyText"/>
        <w:spacing w:after="60"/>
      </w:pPr>
      <w:r w:rsidRPr="003D38CA">
        <w:t>These nine opportunities are organised under three areas:</w:t>
      </w:r>
    </w:p>
    <w:p w14:paraId="4CA10F68" w14:textId="77777777" w:rsidR="00D47977" w:rsidRPr="00C204B3" w:rsidRDefault="00D47977" w:rsidP="00D47977">
      <w:pPr>
        <w:pStyle w:val="USBullet1"/>
      </w:pPr>
      <w:r w:rsidRPr="00C204B3">
        <w:t>Improving programme design</w:t>
      </w:r>
    </w:p>
    <w:p w14:paraId="59D8D8A7" w14:textId="77777777" w:rsidR="00D47977" w:rsidRPr="00C204B3" w:rsidRDefault="00D47977" w:rsidP="00D47977">
      <w:pPr>
        <w:pStyle w:val="USBullet1"/>
      </w:pPr>
      <w:r w:rsidRPr="00C204B3">
        <w:t>Improving programme content</w:t>
      </w:r>
    </w:p>
    <w:p w14:paraId="6EFC70A2" w14:textId="34C4D589" w:rsidR="00D47977" w:rsidRPr="00C204B3" w:rsidRDefault="00D47977" w:rsidP="00D47977">
      <w:pPr>
        <w:pStyle w:val="USBullet1"/>
      </w:pPr>
      <w:r w:rsidRPr="00C204B3">
        <w:t>Improving quality assurance mechanisms</w:t>
      </w:r>
      <w:r w:rsidR="00141498">
        <w:t>.</w:t>
      </w:r>
    </w:p>
    <w:p w14:paraId="3524E783" w14:textId="418C6E35" w:rsidR="00D47977" w:rsidRPr="002E622E" w:rsidRDefault="00DD7EB2" w:rsidP="002E622E">
      <w:pPr>
        <w:pStyle w:val="Caption"/>
      </w:pPr>
      <w:bookmarkStart w:id="109" w:name="_Toc240542074"/>
      <w:r>
        <w:t xml:space="preserve">Figure </w:t>
      </w:r>
      <w:r>
        <w:fldChar w:fldCharType="begin"/>
      </w:r>
      <w:r>
        <w:instrText>SEQ Figure \* ARABIC</w:instrText>
      </w:r>
      <w:r>
        <w:fldChar w:fldCharType="separate"/>
      </w:r>
      <w:r w:rsidR="00346420">
        <w:rPr>
          <w:noProof/>
        </w:rPr>
        <w:t>2</w:t>
      </w:r>
      <w:r>
        <w:fldChar w:fldCharType="end"/>
      </w:r>
      <w:r>
        <w:t xml:space="preserve">: </w:t>
      </w:r>
      <w:r w:rsidR="003D4499">
        <w:tab/>
      </w:r>
      <w:r w:rsidRPr="000B763B">
        <w:t xml:space="preserve">Key opportunities for improvement of the </w:t>
      </w:r>
      <w:r w:rsidR="242530F1">
        <w:t xml:space="preserve">ITE Programme </w:t>
      </w:r>
      <w:r w:rsidRPr="000B763B">
        <w:t>Requirements</w:t>
      </w:r>
      <w:bookmarkEnd w:id="109"/>
    </w:p>
    <w:p w14:paraId="2170A853" w14:textId="32E1892A" w:rsidR="00D47977" w:rsidRPr="00310568" w:rsidRDefault="003F1AA8" w:rsidP="003235C8">
      <w:pPr>
        <w:pStyle w:val="USBodyText"/>
        <w:jc w:val="center"/>
      </w:pPr>
      <w:r>
        <w:rPr>
          <w:noProof/>
        </w:rPr>
        <w:drawing>
          <wp:inline distT="0" distB="0" distL="0" distR="0" wp14:anchorId="1157D160" wp14:editId="22A6486F">
            <wp:extent cx="5315803" cy="2299145"/>
            <wp:effectExtent l="0" t="0" r="0" b="6350"/>
            <wp:docPr id="597122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122211" name="Picture 1"/>
                    <pic:cNvPicPr/>
                  </pic:nvPicPr>
                  <pic:blipFill rotWithShape="1">
                    <a:blip r:embed="rId42"/>
                    <a:srcRect l="-885" r="-970"/>
                    <a:stretch>
                      <a:fillRect/>
                    </a:stretch>
                  </pic:blipFill>
                  <pic:spPr bwMode="auto">
                    <a:xfrm>
                      <a:off x="0" y="0"/>
                      <a:ext cx="5341090" cy="2310082"/>
                    </a:xfrm>
                    <a:prstGeom prst="rect">
                      <a:avLst/>
                    </a:prstGeom>
                    <a:ln>
                      <a:noFill/>
                    </a:ln>
                    <a:extLst>
                      <a:ext uri="{53640926-AAD7-44D8-BBD7-CCE9431645EC}">
                        <a14:shadowObscured xmlns:a14="http://schemas.microsoft.com/office/drawing/2010/main"/>
                      </a:ext>
                    </a:extLst>
                  </pic:spPr>
                </pic:pic>
              </a:graphicData>
            </a:graphic>
          </wp:inline>
        </w:drawing>
      </w:r>
    </w:p>
    <w:p w14:paraId="02A8CACD" w14:textId="77777777" w:rsidR="00BB231C" w:rsidRDefault="00BB231C" w:rsidP="00BB231C">
      <w:pPr>
        <w:pStyle w:val="USWhiteSpaceAfterTable"/>
      </w:pPr>
    </w:p>
    <w:p w14:paraId="7C15152D" w14:textId="6035952D" w:rsidR="001238E6" w:rsidRPr="009B4C8B" w:rsidRDefault="001238E6" w:rsidP="002C45E8">
      <w:pPr>
        <w:pStyle w:val="USBodyText"/>
      </w:pPr>
      <w:r w:rsidRPr="009B4C8B">
        <w:t xml:space="preserve">For each of these nine opportunities, we describe the current settings under the </w:t>
      </w:r>
      <w:r w:rsidR="242530F1">
        <w:t xml:space="preserve">ITE Programme </w:t>
      </w:r>
      <w:r w:rsidRPr="009B4C8B">
        <w:t xml:space="preserve">Requirements, the opportunity to strengthen them, and what needs to change in order to realise that opportunity. </w:t>
      </w:r>
    </w:p>
    <w:p w14:paraId="4FDA65FE" w14:textId="77777777" w:rsidR="001238E6" w:rsidRDefault="001238E6" w:rsidP="002C45E8">
      <w:pPr>
        <w:pStyle w:val="USBodyText"/>
      </w:pPr>
      <w:r w:rsidRPr="003D38CA">
        <w:t xml:space="preserve">These opportunities should be regarded as opportunities for further investigation rather than final recommendations. Further design work, engagement with the sector, and specialist input will </w:t>
      </w:r>
      <w:r>
        <w:t xml:space="preserve">be </w:t>
      </w:r>
      <w:r w:rsidRPr="003D38CA">
        <w:t xml:space="preserve">required to test their feasibility, refine implementation considerations, and ensure they appropriately reflect the diversity of ITE provision in Aotearoa New Zealand. </w:t>
      </w:r>
    </w:p>
    <w:p w14:paraId="57B21E0C" w14:textId="10195137" w:rsidR="001238E6" w:rsidRPr="002C45E8" w:rsidRDefault="001238E6" w:rsidP="002C45E8">
      <w:pPr>
        <w:pStyle w:val="Heading2"/>
      </w:pPr>
      <w:bookmarkStart w:id="110" w:name="_Toc234512876"/>
      <w:bookmarkStart w:id="111" w:name="_Toc236686032"/>
      <w:bookmarkStart w:id="112" w:name="_Toc241658040"/>
      <w:r>
        <w:lastRenderedPageBreak/>
        <w:t>Improving programme design</w:t>
      </w:r>
      <w:bookmarkEnd w:id="110"/>
      <w:bookmarkEnd w:id="111"/>
      <w:bookmarkEnd w:id="112"/>
    </w:p>
    <w:p w14:paraId="67379CAE" w14:textId="77777777" w:rsidR="001238E6" w:rsidRDefault="001238E6" w:rsidP="00532BD0">
      <w:pPr>
        <w:pStyle w:val="USBodyText"/>
        <w:spacing w:after="60"/>
      </w:pPr>
      <w:r>
        <w:t>We have identified three opportunities to improve programme design:</w:t>
      </w:r>
    </w:p>
    <w:p w14:paraId="5B82B5BF" w14:textId="5A2B7C68" w:rsidR="001238E6" w:rsidRPr="00E0466F" w:rsidRDefault="001238E6">
      <w:pPr>
        <w:pStyle w:val="USNumber1"/>
        <w:numPr>
          <w:ilvl w:val="0"/>
          <w:numId w:val="29"/>
        </w:numPr>
        <w:rPr>
          <w:b/>
          <w:bCs/>
        </w:rPr>
      </w:pPr>
      <w:r w:rsidRPr="00E0466F">
        <w:rPr>
          <w:b/>
          <w:bCs/>
        </w:rPr>
        <w:t>Clarify what constitutes evidence, and how it should inform programme design</w:t>
      </w:r>
      <w:r>
        <w:t xml:space="preserve">, so programmes are systematically built on strong research evidence where it exists, rather than leaving </w:t>
      </w:r>
      <w:r w:rsidR="00CD5074">
        <w:t>“</w:t>
      </w:r>
      <w:r>
        <w:t>evidence-informed</w:t>
      </w:r>
      <w:r w:rsidR="00CD5074">
        <w:t>”</w:t>
      </w:r>
      <w:r>
        <w:t xml:space="preserve"> open to inconsistent interpretation.</w:t>
      </w:r>
    </w:p>
    <w:p w14:paraId="408347DD" w14:textId="77777777" w:rsidR="001238E6" w:rsidRPr="00CD5074" w:rsidRDefault="001238E6" w:rsidP="00CD5074">
      <w:pPr>
        <w:pStyle w:val="USNumber1"/>
      </w:pPr>
      <w:r w:rsidRPr="00CD5074">
        <w:rPr>
          <w:b/>
          <w:bCs/>
        </w:rPr>
        <w:t>Reframe staff capability away from research production</w:t>
      </w:r>
      <w:r w:rsidRPr="00CD5074">
        <w:t>, so that expectations of ITE staff reflect the capabilities needed to prepare effective beginning teachers.</w:t>
      </w:r>
    </w:p>
    <w:p w14:paraId="0768BD35" w14:textId="77777777" w:rsidR="001238E6" w:rsidRPr="008523D5" w:rsidRDefault="001238E6" w:rsidP="00532BD0">
      <w:pPr>
        <w:pStyle w:val="USNumber1"/>
        <w:spacing w:after="180"/>
      </w:pPr>
      <w:r w:rsidRPr="004171D5">
        <w:rPr>
          <w:b/>
          <w:bCs/>
        </w:rPr>
        <w:t>Require programmes to articulate a coherent and complete model of progression</w:t>
      </w:r>
      <w:r>
        <w:t xml:space="preserve">, so programme components work together to develop readiness to teach. </w:t>
      </w:r>
    </w:p>
    <w:p w14:paraId="582F5E83" w14:textId="1520C910" w:rsidR="001238E6" w:rsidRDefault="001238E6" w:rsidP="002C45E8">
      <w:pPr>
        <w:pStyle w:val="USBodyText"/>
      </w:pPr>
      <w:r w:rsidRPr="00850F80">
        <w:t xml:space="preserve">Together, these opportunities move the </w:t>
      </w:r>
      <w:r w:rsidR="242530F1">
        <w:t xml:space="preserve">ITE Programme </w:t>
      </w:r>
      <w:r w:rsidRPr="00850F80">
        <w:t>Requirements toward a clearer, more deliberate foundation for how high-quality ITE programmes are designed.</w:t>
      </w:r>
    </w:p>
    <w:p w14:paraId="2C49B3A3" w14:textId="6C512ECF" w:rsidR="001238E6" w:rsidRPr="00E9141F" w:rsidRDefault="001238E6" w:rsidP="001238E6">
      <w:pPr>
        <w:pStyle w:val="Heading3"/>
      </w:pPr>
      <w:bookmarkStart w:id="113" w:name="_Toc234512877"/>
      <w:bookmarkStart w:id="114" w:name="_Toc236686033"/>
      <w:bookmarkStart w:id="115" w:name="_Toc241658041"/>
      <w:r>
        <w:t>Opportunity 1: Clarify what constitutes evidence, and how it should inform programme design.</w:t>
      </w:r>
      <w:bookmarkEnd w:id="113"/>
      <w:bookmarkEnd w:id="114"/>
      <w:bookmarkEnd w:id="115"/>
    </w:p>
    <w:p w14:paraId="227D4B35" w14:textId="5D8C9DDB" w:rsidR="001238E6" w:rsidRPr="00862D67" w:rsidRDefault="46050EC6" w:rsidP="00354639">
      <w:pPr>
        <w:pStyle w:val="Heading4"/>
      </w:pPr>
      <w:bookmarkStart w:id="116" w:name="_Toc1106983691"/>
      <w:r>
        <w:t>Current state</w:t>
      </w:r>
      <w:bookmarkEnd w:id="116"/>
    </w:p>
    <w:p w14:paraId="3BBB05AC" w14:textId="16341606" w:rsidR="001238E6" w:rsidRDefault="001238E6" w:rsidP="00995F5B">
      <w:pPr>
        <w:pStyle w:val="USBodyText"/>
        <w:spacing w:after="60"/>
      </w:pPr>
      <w:r>
        <w:t xml:space="preserve">Guidance for Standard 2.4 of the </w:t>
      </w:r>
      <w:r w:rsidR="242530F1">
        <w:t xml:space="preserve">ITE Programme </w:t>
      </w:r>
      <w:r>
        <w:t xml:space="preserve">Requirements (Programme structure and content) sets the expectation that programmes are </w:t>
      </w:r>
      <w:r w:rsidR="00E0466F">
        <w:t>“</w:t>
      </w:r>
      <w:r>
        <w:t>evidence-informed</w:t>
      </w:r>
      <w:r w:rsidR="00E0466F">
        <w:t>”</w:t>
      </w:r>
      <w:r>
        <w:t>, defined as:</w:t>
      </w:r>
    </w:p>
    <w:p w14:paraId="10D57406" w14:textId="4FC02CF5" w:rsidR="001238E6" w:rsidRPr="00162D11" w:rsidRDefault="00E0466F" w:rsidP="00455A7A">
      <w:pPr>
        <w:pStyle w:val="Quotation"/>
        <w:ind w:left="714"/>
      </w:pPr>
      <w:r>
        <w:t>“</w:t>
      </w:r>
      <w:r w:rsidR="001238E6" w:rsidRPr="00162D11">
        <w:t>A high-quality initial teacher education programme is one that is informed by sound research and promotes student research, especially teaching-as-inquiry. Student teachers need to develop the necessary skills and knowledge to undertake research into their own practices, and to make evidence-informed decisions about what is best for their learners.</w:t>
      </w:r>
      <w:r>
        <w:t>”</w:t>
      </w:r>
    </w:p>
    <w:p w14:paraId="67D0CA2B" w14:textId="77777777" w:rsidR="001238E6" w:rsidRPr="00DF6DB7" w:rsidRDefault="001238E6" w:rsidP="00507E63">
      <w:pPr>
        <w:pStyle w:val="USBodyText"/>
        <w:spacing w:after="60"/>
      </w:pPr>
      <w:r>
        <w:t xml:space="preserve">This definition does not distinguish </w:t>
      </w:r>
      <w:r w:rsidRPr="00DF6DB7">
        <w:t>between the two different evidence questions relevant to ITE:</w:t>
      </w:r>
    </w:p>
    <w:p w14:paraId="4FE8B21B" w14:textId="06254597" w:rsidR="001238E6" w:rsidRPr="003235C8" w:rsidRDefault="001238E6" w:rsidP="002C45E8">
      <w:pPr>
        <w:pStyle w:val="USBullet1"/>
      </w:pPr>
      <w:r w:rsidRPr="0078628B">
        <w:rPr>
          <w:b/>
          <w:bCs/>
        </w:rPr>
        <w:t>Evidence of effective teaching practice</w:t>
      </w:r>
      <w:r w:rsidR="0078628B" w:rsidRPr="0078628B">
        <w:rPr>
          <w:b/>
          <w:bCs/>
        </w:rPr>
        <w:t>:</w:t>
      </w:r>
      <w:r w:rsidR="003235C8">
        <w:t xml:space="preserve"> </w:t>
      </w:r>
      <w:r w:rsidRPr="003235C8">
        <w:t xml:space="preserve">where a substantial and increasingly robust research base exists on the practices that most effectively support learners in ECE, schools and kura. </w:t>
      </w:r>
    </w:p>
    <w:p w14:paraId="2D059186" w14:textId="05C99481" w:rsidR="001238E6" w:rsidRPr="00CB2DAB" w:rsidRDefault="001238E6" w:rsidP="00507E63">
      <w:pPr>
        <w:pStyle w:val="USBullet1"/>
        <w:spacing w:after="180"/>
      </w:pPr>
      <w:r w:rsidRPr="0078628B">
        <w:rPr>
          <w:b/>
          <w:bCs/>
        </w:rPr>
        <w:t>Evidence of effective ITE programme design</w:t>
      </w:r>
      <w:r w:rsidR="0078628B" w:rsidRPr="0078628B">
        <w:rPr>
          <w:b/>
          <w:bCs/>
        </w:rPr>
        <w:t>:</w:t>
      </w:r>
      <w:r w:rsidR="003235C8">
        <w:t xml:space="preserve"> </w:t>
      </w:r>
      <w:r w:rsidRPr="00564032">
        <w:t>where the evidence base on how programme structure, sequencing</w:t>
      </w:r>
      <w:r w:rsidRPr="00CB2DAB">
        <w:t xml:space="preserve">, content and delivery best develop teaching capability is much less settled. </w:t>
      </w:r>
    </w:p>
    <w:p w14:paraId="49AC81BE" w14:textId="1EE5B861" w:rsidR="001238E6" w:rsidRDefault="4FDA6684" w:rsidP="00F07DB5">
      <w:pPr>
        <w:pStyle w:val="USBodyText"/>
        <w:spacing w:after="60"/>
      </w:pPr>
      <w:r>
        <w:t>The current definition doesn’t recognise this distinction</w:t>
      </w:r>
      <w:r w:rsidR="4D4399DD">
        <w:t xml:space="preserve"> </w:t>
      </w:r>
      <w:r>
        <w:t>and creates scope for inconsistent interpretation of what evidence</w:t>
      </w:r>
      <w:r w:rsidR="3BE6D53F">
        <w:t>-</w:t>
      </w:r>
      <w:r>
        <w:t xml:space="preserve">informed practice should look like across providers. There are a number of </w:t>
      </w:r>
      <w:r w:rsidR="11B4CB9B">
        <w:t>consequences</w:t>
      </w:r>
      <w:r w:rsidR="6FCC07D7">
        <w:t xml:space="preserve"> to this ambiguity</w:t>
      </w:r>
      <w:r w:rsidR="11B4CB9B">
        <w:t>:</w:t>
      </w:r>
    </w:p>
    <w:p w14:paraId="79FA3B79" w14:textId="4F8778A7" w:rsidR="001238E6" w:rsidRPr="00CB2DAB" w:rsidRDefault="00E0466F" w:rsidP="002C45E8">
      <w:pPr>
        <w:pStyle w:val="USBullet1"/>
      </w:pPr>
      <w:r>
        <w:t>“</w:t>
      </w:r>
      <w:r w:rsidR="001238E6">
        <w:t>Sound</w:t>
      </w:r>
      <w:r w:rsidR="001238E6" w:rsidRPr="00CB2DAB">
        <w:t xml:space="preserve"> research</w:t>
      </w:r>
      <w:r>
        <w:t>”</w:t>
      </w:r>
      <w:r w:rsidR="001238E6" w:rsidRPr="00CB2DAB">
        <w:t xml:space="preserve"> and </w:t>
      </w:r>
      <w:r>
        <w:t>“</w:t>
      </w:r>
      <w:r w:rsidR="001238E6" w:rsidRPr="00CB2DAB">
        <w:t>evidence-informed</w:t>
      </w:r>
      <w:r>
        <w:t>”</w:t>
      </w:r>
      <w:r w:rsidR="001238E6" w:rsidRPr="00CB2DAB">
        <w:t xml:space="preserve"> </w:t>
      </w:r>
      <w:r w:rsidR="001238E6">
        <w:t xml:space="preserve">operate </w:t>
      </w:r>
      <w:r w:rsidR="001238E6" w:rsidRPr="00CB2DAB">
        <w:t xml:space="preserve">as broad terms, without specifying what constitutes robust evidence in either domain. This creates scope for providers to interpret these expectations in materially different ways. </w:t>
      </w:r>
    </w:p>
    <w:p w14:paraId="4F6FAF26" w14:textId="28431FEC" w:rsidR="005556F5" w:rsidRDefault="001238E6" w:rsidP="002C45E8">
      <w:pPr>
        <w:pStyle w:val="USBullet1"/>
      </w:pPr>
      <w:r>
        <w:t xml:space="preserve">It prioritises student teachers learning to conduct research and draw their own conclusions of what might constitute effective practice, rather than supporting student teachers to understand </w:t>
      </w:r>
      <w:r>
        <w:lastRenderedPageBreak/>
        <w:t>and apply the teaching practices shown by research to be most effective in supporting student learning.</w:t>
      </w:r>
    </w:p>
    <w:p w14:paraId="1C1F6786" w14:textId="0CB48C45" w:rsidR="001238E6" w:rsidRPr="00347E17" w:rsidRDefault="005556F5" w:rsidP="2F2DCFD8">
      <w:pPr>
        <w:pStyle w:val="USBullet1"/>
      </w:pPr>
      <w:r>
        <w:t>B</w:t>
      </w:r>
      <w:r w:rsidR="001238E6">
        <w:t xml:space="preserve">ecause the definition of evidence-informed is embedded within programme structure and content, there is a missed opportunity to emphasise an evidence driven approach to all aspects of the </w:t>
      </w:r>
      <w:r w:rsidR="242530F1">
        <w:t xml:space="preserve">ITE Programme </w:t>
      </w:r>
      <w:r w:rsidR="001238E6">
        <w:t xml:space="preserve">Requirements. </w:t>
      </w:r>
    </w:p>
    <w:p w14:paraId="7BD34236" w14:textId="465D10B7" w:rsidR="001238E6" w:rsidRDefault="46050EC6" w:rsidP="00354639">
      <w:pPr>
        <w:pStyle w:val="Heading4"/>
      </w:pPr>
      <w:bookmarkStart w:id="117" w:name="_Toc1996306289"/>
      <w:r>
        <w:t>The opportunity</w:t>
      </w:r>
      <w:bookmarkEnd w:id="117"/>
    </w:p>
    <w:p w14:paraId="72A01D35" w14:textId="70829220" w:rsidR="001238E6" w:rsidRDefault="001238E6" w:rsidP="0096776E">
      <w:pPr>
        <w:pStyle w:val="USBodyText"/>
      </w:pPr>
      <w:r>
        <w:t>There is an opportunity to strengthen</w:t>
      </w:r>
      <w:r w:rsidR="00AE24F2">
        <w:t xml:space="preserve"> how </w:t>
      </w:r>
      <w:r w:rsidR="00F07DB5">
        <w:t>“</w:t>
      </w:r>
      <w:r>
        <w:t>evidence-informed</w:t>
      </w:r>
      <w:r w:rsidR="00F07DB5">
        <w:t>”</w:t>
      </w:r>
      <w:r>
        <w:t xml:space="preserve"> is defined and positioned in the </w:t>
      </w:r>
      <w:r w:rsidR="242530F1">
        <w:t xml:space="preserve">ITE Programme </w:t>
      </w:r>
      <w:r>
        <w:t xml:space="preserve">Requirements, so that it is a governing idea for ITE programmes. </w:t>
      </w:r>
      <w:r w:rsidR="30E7FD1F">
        <w:t xml:space="preserve">Greater clarity regarding forms of evidence could support more consistent interpretation and application of </w:t>
      </w:r>
      <w:r w:rsidR="242530F1">
        <w:t>the ITE Programme Requirements</w:t>
      </w:r>
      <w:r w:rsidR="30E7FD1F">
        <w:t xml:space="preserve"> across providers. </w:t>
      </w:r>
    </w:p>
    <w:p w14:paraId="0CE88D49" w14:textId="489E2066" w:rsidR="001238E6" w:rsidRPr="003235C8" w:rsidRDefault="001238E6" w:rsidP="2F2DCFD8">
      <w:pPr>
        <w:pStyle w:val="USBodyText"/>
        <w:spacing w:after="60"/>
      </w:pPr>
      <w:r>
        <w:t>A revised definition should reflect the relative strength of the evidence base on effective teaching practice</w:t>
      </w:r>
      <w:r w:rsidR="003235C8">
        <w:t xml:space="preserve">, </w:t>
      </w:r>
      <w:r>
        <w:t>including the brain and learning, effective pedagogical practice, classroom management, cultural responsiveness, family engagement, and supporting diverse learners.</w:t>
      </w:r>
      <w:r w:rsidRPr="2F2DCFD8">
        <w:rPr>
          <w:rStyle w:val="FootnoteReference"/>
          <w:rFonts w:ascii="Aptos" w:hAnsi="Aptos"/>
        </w:rPr>
        <w:footnoteReference w:id="38"/>
      </w:r>
      <w:r>
        <w:t xml:space="preserve"> This evidence base is reflected in the new Standards</w:t>
      </w:r>
      <w:r w:rsidR="008178AA">
        <w:t xml:space="preserve"> for the Teaching Profession</w:t>
      </w:r>
      <w:r>
        <w:t>.</w:t>
      </w:r>
      <w:r w:rsidR="008178AA">
        <w:t xml:space="preserve"> </w:t>
      </w:r>
    </w:p>
    <w:p w14:paraId="5080F353" w14:textId="1DB73468" w:rsidR="001238E6" w:rsidRDefault="17DCCC6D" w:rsidP="002C45E8">
      <w:pPr>
        <w:pStyle w:val="USBodyText"/>
      </w:pPr>
      <w:r>
        <w:t>The ITE Programme Requirements</w:t>
      </w:r>
      <w:r w:rsidR="46050EC6">
        <w:t xml:space="preserve"> should reflect where the evidence is settled and supporting evidence-informed professional judgement by providers where it is not. This should include a clear expectation that programmes prepare beginning teachers to critically engage with robust research evidence and to use and adapt evidence-informed teaching practices to effectively meet the needs of all learners. </w:t>
      </w:r>
      <w:r w:rsidR="36907957">
        <w:t xml:space="preserve">Evidence should be understood broadly, including Mātauranga Māori, </w:t>
      </w:r>
      <w:r w:rsidR="3E46C456">
        <w:t>k</w:t>
      </w:r>
      <w:r w:rsidR="36907957">
        <w:t xml:space="preserve">aupapa Māori evidence, Māori education research, and professional expertise from Māori-medium and English-medium Māori education contexts. </w:t>
      </w:r>
    </w:p>
    <w:p w14:paraId="7E038DC4" w14:textId="77777777" w:rsidR="001238E6" w:rsidRDefault="001238E6" w:rsidP="00AD6B1F">
      <w:pPr>
        <w:pStyle w:val="USBodyText"/>
        <w:spacing w:after="60"/>
      </w:pPr>
      <w:r>
        <w:t>This is consistent with other leading jurisdictions’ approach:</w:t>
      </w:r>
    </w:p>
    <w:p w14:paraId="69629781" w14:textId="342BE0EB" w:rsidR="001238E6" w:rsidRDefault="001238E6" w:rsidP="002C45E8">
      <w:pPr>
        <w:pStyle w:val="USBullet1"/>
      </w:pPr>
      <w:r>
        <w:t xml:space="preserve">In England, ITE accreditation criteria require all programmes have a </w:t>
      </w:r>
      <w:r w:rsidR="00025F82">
        <w:t>“</w:t>
      </w:r>
      <w:r>
        <w:t>fully developed, evidence-based curriculum</w:t>
      </w:r>
      <w:r w:rsidR="00025F82">
        <w:t>”</w:t>
      </w:r>
      <w:r>
        <w:t xml:space="preserve"> which encompasses all aspects of the Core Content, and an assessment and progression framework which is </w:t>
      </w:r>
      <w:r w:rsidR="00141498">
        <w:t>“</w:t>
      </w:r>
      <w:r>
        <w:t>aligned to the planned and sequenced curriculum and reflects evidence-based principles.</w:t>
      </w:r>
      <w:r w:rsidR="00141498">
        <w:t>”</w:t>
      </w:r>
      <w:r w:rsidRPr="045E5A3E">
        <w:rPr>
          <w:rStyle w:val="FootnoteReference"/>
          <w:rFonts w:ascii="Aptos" w:hAnsi="Aptos"/>
        </w:rPr>
        <w:footnoteReference w:id="39"/>
      </w:r>
      <w:r>
        <w:t xml:space="preserve"> </w:t>
      </w:r>
    </w:p>
    <w:p w14:paraId="065B2115" w14:textId="36A8F123" w:rsidR="001238E6" w:rsidRPr="006C6271" w:rsidRDefault="001238E6" w:rsidP="00AD6B1F">
      <w:pPr>
        <w:pStyle w:val="USBullet1"/>
        <w:spacing w:after="180"/>
      </w:pPr>
      <w:r w:rsidRPr="0071511F">
        <w:t xml:space="preserve">In Wales, ITE accreditation criteria state </w:t>
      </w:r>
      <w:r w:rsidR="00141498">
        <w:t>“</w:t>
      </w:r>
      <w:r w:rsidRPr="0071511F">
        <w:t xml:space="preserve">the overall aim of a programme of ITE is to prepare student teachers to become competent, thoughtful, reflective, and innovative practitioners who </w:t>
      </w:r>
      <w:r w:rsidRPr="0071511F">
        <w:lastRenderedPageBreak/>
        <w:t xml:space="preserve">are committed to be </w:t>
      </w:r>
      <w:r>
        <w:t>evidence</w:t>
      </w:r>
      <w:r w:rsidR="45332935">
        <w:t>-</w:t>
      </w:r>
      <w:r>
        <w:t>informed (including evidence from research) and to provide high-quality learning and teaching.</w:t>
      </w:r>
      <w:r w:rsidR="00141498">
        <w:t>”</w:t>
      </w:r>
      <w:r w:rsidRPr="6D898266">
        <w:rPr>
          <w:rStyle w:val="FootnoteReference"/>
          <w:rFonts w:ascii="Aptos" w:hAnsi="Aptos"/>
        </w:rPr>
        <w:footnoteReference w:id="40"/>
      </w:r>
      <w:r>
        <w:t xml:space="preserve"> </w:t>
      </w:r>
    </w:p>
    <w:p w14:paraId="7110E7B6" w14:textId="155D066F" w:rsidR="001238E6" w:rsidRDefault="2F9F5526" w:rsidP="00354639">
      <w:pPr>
        <w:pStyle w:val="Heading4"/>
      </w:pPr>
      <w:bookmarkStart w:id="118" w:name="_Toc1053780162"/>
      <w:r>
        <w:t>What would change</w:t>
      </w:r>
      <w:bookmarkEnd w:id="118"/>
    </w:p>
    <w:p w14:paraId="30961D17" w14:textId="23EB44C8" w:rsidR="001238E6" w:rsidRPr="002C45E8" w:rsidRDefault="0D405D94" w:rsidP="00AD6B1F">
      <w:pPr>
        <w:pStyle w:val="USBodyText"/>
        <w:spacing w:after="60"/>
      </w:pPr>
      <w:r>
        <w:t>The ITE Programme Requirements</w:t>
      </w:r>
      <w:r w:rsidR="001238E6">
        <w:t xml:space="preserve"> </w:t>
      </w:r>
      <w:r w:rsidR="06523E4C">
        <w:t>would</w:t>
      </w:r>
      <w:r w:rsidR="001238E6">
        <w:t xml:space="preserve"> introduce a new definition of an </w:t>
      </w:r>
      <w:r w:rsidR="00705CFC">
        <w:t>“</w:t>
      </w:r>
      <w:r w:rsidR="001238E6">
        <w:t>evidence-informed</w:t>
      </w:r>
      <w:r w:rsidR="00705CFC">
        <w:t>”</w:t>
      </w:r>
      <w:r w:rsidR="001238E6">
        <w:t xml:space="preserve"> programme that:</w:t>
      </w:r>
    </w:p>
    <w:p w14:paraId="09E6CB75" w14:textId="77777777" w:rsidR="001238E6" w:rsidRPr="00162D11" w:rsidRDefault="001238E6" w:rsidP="002C45E8">
      <w:pPr>
        <w:pStyle w:val="USBullet1"/>
      </w:pPr>
      <w:r w:rsidRPr="00162D11">
        <w:t>Acknowledges there is a strong evidence base about effective teaching.</w:t>
      </w:r>
    </w:p>
    <w:p w14:paraId="761801A5" w14:textId="77777777" w:rsidR="001238E6" w:rsidRPr="00162D11" w:rsidRDefault="001238E6" w:rsidP="008743AA">
      <w:pPr>
        <w:pStyle w:val="USBullet1"/>
        <w:spacing w:after="180"/>
      </w:pPr>
      <w:r w:rsidRPr="00162D11">
        <w:t>Requires programmes to provide opportunities for students to engage with this research and learn how to apply and adapt effective teaching practices to best support learners in real-world teaching contexts.</w:t>
      </w:r>
    </w:p>
    <w:p w14:paraId="41B3BB4B" w14:textId="465E58DE" w:rsidR="001238E6" w:rsidRPr="003235C8" w:rsidRDefault="001238E6" w:rsidP="008743AA">
      <w:pPr>
        <w:spacing w:before="120" w:after="60" w:line="276" w:lineRule="auto"/>
      </w:pPr>
      <w:r>
        <w:t>The revised definition</w:t>
      </w:r>
      <w:r w:rsidR="082EE7FF">
        <w:t xml:space="preserve"> would</w:t>
      </w:r>
      <w:r>
        <w:t xml:space="preserve"> be elevated in the </w:t>
      </w:r>
      <w:r w:rsidR="242530F1">
        <w:t xml:space="preserve">ITE Programme </w:t>
      </w:r>
      <w:r>
        <w:t xml:space="preserve">Requirements so that it operates as an overarching expectation for programme design and programme content, and explicitly flows through three connected parts of the </w:t>
      </w:r>
      <w:r w:rsidR="242530F1">
        <w:t xml:space="preserve">ITE Programme </w:t>
      </w:r>
      <w:r>
        <w:t>Requirements:</w:t>
      </w:r>
    </w:p>
    <w:p w14:paraId="2724FC6C" w14:textId="77777777" w:rsidR="001238E6" w:rsidRPr="003235C8" w:rsidRDefault="001238E6" w:rsidP="002C45E8">
      <w:pPr>
        <w:pStyle w:val="USBullet1"/>
      </w:pPr>
      <w:r w:rsidRPr="0078628B">
        <w:rPr>
          <w:b/>
          <w:bCs/>
        </w:rPr>
        <w:t>Model of progression</w:t>
      </w:r>
      <w:r w:rsidRPr="003235C8">
        <w:t xml:space="preserve"> (see Opportunity 3): providers would be required to explain how decisions on programme structure, sequencing, coursework, professional experience and assessment work are informed by the best available evidence and develop teaching capability over time.</w:t>
      </w:r>
    </w:p>
    <w:p w14:paraId="50F47C59" w14:textId="08B871A6" w:rsidR="001238E6" w:rsidRPr="003235C8" w:rsidRDefault="001238E6" w:rsidP="002C45E8">
      <w:pPr>
        <w:pStyle w:val="USBullet1"/>
      </w:pPr>
      <w:r w:rsidRPr="0078628B">
        <w:rPr>
          <w:b/>
          <w:bCs/>
        </w:rPr>
        <w:t>The shared core</w:t>
      </w:r>
      <w:r w:rsidRPr="003235C8">
        <w:t xml:space="preserve"> (see </w:t>
      </w:r>
      <w:r w:rsidR="00900AC7">
        <w:t>Opportunity 5</w:t>
      </w:r>
      <w:r w:rsidRPr="003235C8">
        <w:t>): the shared core draws on strong research evidence where it exists to define the knowledge and practices all student teachers should learn.</w:t>
      </w:r>
    </w:p>
    <w:p w14:paraId="4E533640" w14:textId="77777777" w:rsidR="001238E6" w:rsidRPr="00170899" w:rsidRDefault="46050EC6" w:rsidP="00AD6B1F">
      <w:pPr>
        <w:pStyle w:val="USBullet1"/>
        <w:spacing w:after="180"/>
      </w:pPr>
      <w:r w:rsidRPr="1709B4D8">
        <w:rPr>
          <w:b/>
          <w:bCs/>
        </w:rPr>
        <w:t>Assessment</w:t>
      </w:r>
      <w:r>
        <w:t xml:space="preserve"> (see Opportunity 7): ensuring assessment arrangements are valid, reliable, and fit for purpose in judging readiness to teach. This will provide a robust basis for determining whether student teachers are ready to teach.</w:t>
      </w:r>
    </w:p>
    <w:p w14:paraId="69551FDF" w14:textId="3E1E29DD" w:rsidR="001238E6" w:rsidRDefault="46050EC6" w:rsidP="002C45E8">
      <w:pPr>
        <w:pStyle w:val="USBodyText"/>
      </w:pPr>
      <w:r>
        <w:t xml:space="preserve">This would enable the </w:t>
      </w:r>
      <w:r w:rsidR="0960D603">
        <w:t xml:space="preserve">ITE Programme </w:t>
      </w:r>
      <w:r>
        <w:t>Requirements to apply the expectation of evidence-informed design more deliberately, being more specific where the evidence base is clearer</w:t>
      </w:r>
      <w:r w:rsidR="0219D8F3">
        <w:t xml:space="preserve"> and more accepted</w:t>
      </w:r>
      <w:r>
        <w:t>, while still requiring providers to justify their decisions where professional judgement and local context play a larger role.</w:t>
      </w:r>
    </w:p>
    <w:p w14:paraId="33F1E888" w14:textId="3154962E" w:rsidR="00353EB2" w:rsidRPr="007368EE" w:rsidRDefault="0C566E12" w:rsidP="1709B4D8">
      <w:pPr>
        <w:pStyle w:val="Heading4"/>
      </w:pPr>
      <w:bookmarkStart w:id="119" w:name="_Toc295373572"/>
      <w:r>
        <w:t>Implementation considerations</w:t>
      </w:r>
      <w:bookmarkEnd w:id="119"/>
    </w:p>
    <w:p w14:paraId="5AD30216" w14:textId="26233E1C" w:rsidR="006F48D0" w:rsidRPr="007368EE" w:rsidRDefault="3661A89A" w:rsidP="001C1820">
      <w:pPr>
        <w:pStyle w:val="USBodyText"/>
        <w:spacing w:after="360"/>
      </w:pPr>
      <w:r>
        <w:t xml:space="preserve">If progressed, further work would be required to develop a shared understanding of what </w:t>
      </w:r>
      <w:r w:rsidR="50E749BC">
        <w:t>constitutes</w:t>
      </w:r>
      <w:r>
        <w:t xml:space="preserve"> evidence in the context of </w:t>
      </w:r>
      <w:r w:rsidR="50E749BC">
        <w:t>I</w:t>
      </w:r>
      <w:r>
        <w:t>TE</w:t>
      </w:r>
      <w:r w:rsidR="235A2A50">
        <w:t xml:space="preserve"> and how different forms of evidence should be weighted and prioritised. This </w:t>
      </w:r>
      <w:r>
        <w:t>includ</w:t>
      </w:r>
      <w:r w:rsidR="235A2A50">
        <w:t>es</w:t>
      </w:r>
      <w:r>
        <w:t xml:space="preserve"> the role of research evidence, mātauranga Māori, </w:t>
      </w:r>
      <w:r w:rsidR="7906F494">
        <w:t>k</w:t>
      </w:r>
      <w:r>
        <w:t xml:space="preserve">aupapa Māori evidence, professional expertise and practice-based knowledge. </w:t>
      </w:r>
      <w:r w:rsidR="30828E97">
        <w:t>Any revised approach would need to provide greater clarity while avoiding unnecessary prescription in areas where the evidence base remains contested.</w:t>
      </w:r>
    </w:p>
    <w:tbl>
      <w:tblPr>
        <w:tblStyle w:val="TableGrid"/>
        <w:tblW w:w="0" w:type="auto"/>
        <w:shd w:val="clear" w:color="auto" w:fill="D5E4E6" w:themeFill="accent1" w:themeFillTint="33"/>
        <w:tblCellMar>
          <w:top w:w="198" w:type="dxa"/>
          <w:left w:w="170" w:type="dxa"/>
          <w:bottom w:w="198" w:type="dxa"/>
          <w:right w:w="170" w:type="dxa"/>
        </w:tblCellMar>
        <w:tblLook w:val="04A0" w:firstRow="1" w:lastRow="0" w:firstColumn="1" w:lastColumn="0" w:noHBand="0" w:noVBand="1"/>
      </w:tblPr>
      <w:tblGrid>
        <w:gridCol w:w="9060"/>
      </w:tblGrid>
      <w:tr w:rsidR="008B44E9" w14:paraId="4EC42F74" w14:textId="77777777" w:rsidTr="00025F82">
        <w:tc>
          <w:tcPr>
            <w:tcW w:w="9060" w:type="dxa"/>
            <w:tcBorders>
              <w:top w:val="nil"/>
              <w:left w:val="nil"/>
              <w:bottom w:val="nil"/>
              <w:right w:val="nil"/>
            </w:tcBorders>
            <w:shd w:val="clear" w:color="auto" w:fill="D5E4E6" w:themeFill="accent1" w:themeFillTint="33"/>
          </w:tcPr>
          <w:p w14:paraId="56C4D4A3" w14:textId="73D2BC10" w:rsidR="008B44E9" w:rsidRPr="007368EE" w:rsidRDefault="03DFA04C" w:rsidP="00025F82">
            <w:pPr>
              <w:pStyle w:val="Heading4"/>
              <w:spacing w:before="0"/>
            </w:pPr>
            <w:bookmarkStart w:id="120" w:name="_Toc1734744245"/>
            <w:r>
              <w:lastRenderedPageBreak/>
              <w:t>For discussion:</w:t>
            </w:r>
            <w:bookmarkEnd w:id="120"/>
          </w:p>
          <w:p w14:paraId="7F97D921" w14:textId="73F66AF3" w:rsidR="000251BD" w:rsidRPr="0089151D" w:rsidRDefault="68941325" w:rsidP="00025F82">
            <w:pPr>
              <w:pStyle w:val="USBullet1"/>
              <w:spacing w:before="120" w:after="120"/>
            </w:pPr>
            <w:r>
              <w:t>To what extent do you agree with the rationale for this opportunity?</w:t>
            </w:r>
          </w:p>
          <w:p w14:paraId="2AD72020" w14:textId="1BBDD75E" w:rsidR="000251BD" w:rsidRPr="0089151D" w:rsidRDefault="6C02716C" w:rsidP="00025F82">
            <w:pPr>
              <w:pStyle w:val="USBullet1"/>
              <w:spacing w:before="120" w:after="120"/>
            </w:pPr>
            <w:r>
              <w:t>Are there alternative approaches that you would recommend instead?</w:t>
            </w:r>
          </w:p>
          <w:p w14:paraId="37D057C7" w14:textId="732AA8B3" w:rsidR="000251BD" w:rsidRPr="0089151D" w:rsidRDefault="6C02716C" w:rsidP="00025F82">
            <w:pPr>
              <w:pStyle w:val="USBullet1"/>
              <w:spacing w:before="120" w:after="120"/>
            </w:pPr>
            <w:r>
              <w:t xml:space="preserve">What costs, risks, or unintended consequences </w:t>
            </w:r>
            <w:r w:rsidR="68941325">
              <w:t>should be considered</w:t>
            </w:r>
            <w:r w:rsidR="7A5D89BE">
              <w:t>?</w:t>
            </w:r>
          </w:p>
        </w:tc>
      </w:tr>
    </w:tbl>
    <w:p w14:paraId="0C4E7D57" w14:textId="77777777" w:rsidR="001C1820" w:rsidRDefault="001C1820" w:rsidP="001C1820">
      <w:pPr>
        <w:pStyle w:val="USWhiteSpaceAfterTable"/>
      </w:pPr>
      <w:bookmarkStart w:id="121" w:name="_Toc234512878"/>
      <w:bookmarkStart w:id="122" w:name="_Toc236686034"/>
    </w:p>
    <w:p w14:paraId="01B49A10" w14:textId="40A81C32" w:rsidR="001238E6" w:rsidRPr="00862D67" w:rsidRDefault="001238E6" w:rsidP="001238E6">
      <w:pPr>
        <w:pStyle w:val="Heading3"/>
      </w:pPr>
      <w:bookmarkStart w:id="123" w:name="_Toc241658042"/>
      <w:r>
        <w:t>Opportunity 2: Reframe staff capability away from research production.</w:t>
      </w:r>
      <w:bookmarkEnd w:id="121"/>
      <w:bookmarkEnd w:id="122"/>
      <w:bookmarkEnd w:id="123"/>
    </w:p>
    <w:p w14:paraId="08870872" w14:textId="4173B0A1" w:rsidR="001238E6" w:rsidRPr="00862D67" w:rsidRDefault="46050EC6" w:rsidP="00354639">
      <w:pPr>
        <w:pStyle w:val="Heading4"/>
      </w:pPr>
      <w:bookmarkStart w:id="124" w:name="_Toc98365597"/>
      <w:r>
        <w:t>Current state</w:t>
      </w:r>
      <w:bookmarkEnd w:id="124"/>
    </w:p>
    <w:p w14:paraId="3F5BAC79" w14:textId="77777777" w:rsidR="001238E6" w:rsidRDefault="001238E6" w:rsidP="002C45E8">
      <w:pPr>
        <w:pStyle w:val="USBodyText"/>
      </w:pPr>
      <w:r>
        <w:t>R</w:t>
      </w:r>
      <w:r w:rsidRPr="00500EBB">
        <w:t>equirement 3.6 states that</w:t>
      </w:r>
      <w:r>
        <w:t>:</w:t>
      </w:r>
    </w:p>
    <w:p w14:paraId="3AF46B20" w14:textId="7E9A5501" w:rsidR="001238E6" w:rsidRPr="00162D11" w:rsidRDefault="00025F82" w:rsidP="00455A7A">
      <w:pPr>
        <w:pStyle w:val="Quotation"/>
        <w:ind w:left="714"/>
        <w:rPr>
          <w:rFonts w:ascii="Aptos" w:hAnsi="Aptos"/>
        </w:rPr>
      </w:pPr>
      <w:r>
        <w:t>“</w:t>
      </w:r>
      <w:r w:rsidR="001238E6" w:rsidRPr="00162D11">
        <w:t>Amongst the teaching staff, there must be an appropriate balance of research and practitioner expertise, with research contributing to the body of knowledge about teachers and teaching, and learners and learning.</w:t>
      </w:r>
      <w:r>
        <w:t>”</w:t>
      </w:r>
    </w:p>
    <w:p w14:paraId="4DBE78A0" w14:textId="32714480" w:rsidR="001238E6" w:rsidRPr="00500EBB" w:rsidRDefault="001238E6" w:rsidP="002C45E8">
      <w:pPr>
        <w:pStyle w:val="USBodyText"/>
      </w:pPr>
      <w:r>
        <w:t xml:space="preserve">This requirement raises a question of whether research is an appropriate universal marker of provider capability. The core purpose of ITE is distinct from other tertiary qualifications. Its purpose is to prepare graduates to be effective in classrooms and early learning settings. </w:t>
      </w:r>
      <w:r w:rsidR="3E3EB991">
        <w:t>The ITE Programme Requirements</w:t>
      </w:r>
      <w:r>
        <w:t xml:space="preserve"> should therefore prioritise the staff capabilities most directly linked to high-quality programme design and delivery, and to the preparation of effective beginning teachers.</w:t>
      </w:r>
    </w:p>
    <w:p w14:paraId="1F266F57" w14:textId="77777777" w:rsidR="001238E6" w:rsidRPr="00500EBB" w:rsidRDefault="001238E6" w:rsidP="002C45E8">
      <w:pPr>
        <w:pStyle w:val="USBodyText"/>
      </w:pPr>
      <w:r w:rsidRPr="00500EBB">
        <w:t>Requirement 3.6 appears to assume a relatively homogenous, university-based provider landscape, where research activity is a core marker of programme quality. As the provider landscape has diversified, this assumption is less consistently applicable. In practice, the requirement can create disproportionate burden for non-university providers, without clear evidence that it strengthens graduate outcomes.</w:t>
      </w:r>
    </w:p>
    <w:p w14:paraId="208A0E96" w14:textId="77777777" w:rsidR="001238E6" w:rsidRPr="00500EBB" w:rsidRDefault="001238E6" w:rsidP="002C45E8">
      <w:pPr>
        <w:pStyle w:val="USBodyText"/>
      </w:pPr>
      <w:r w:rsidRPr="00500EBB">
        <w:t>The Education and Training Act 2020 requires universities to be primarily concerned with more advanced learning, with research and teaching closely interdependent, and most teaching undertaken by staff who are active in advancing knowledge.</w:t>
      </w:r>
      <w:r w:rsidRPr="43B75BAF">
        <w:rPr>
          <w:rStyle w:val="FootnoteReference"/>
          <w:rFonts w:ascii="Aptos" w:hAnsi="Aptos"/>
        </w:rPr>
        <w:footnoteReference w:id="41"/>
      </w:r>
      <w:r w:rsidRPr="00500EBB">
        <w:t xml:space="preserve"> This provides a clear rationale for research-active teaching in university settings. However, it does not necessarily follow that the same expectation should apply uniformly across all ITE providers.</w:t>
      </w:r>
    </w:p>
    <w:p w14:paraId="6B5E49E3" w14:textId="7D1860AC" w:rsidR="001238E6" w:rsidRPr="00862D67" w:rsidRDefault="46050EC6" w:rsidP="00354639">
      <w:pPr>
        <w:pStyle w:val="Heading4"/>
      </w:pPr>
      <w:bookmarkStart w:id="125" w:name="_Toc736831040"/>
      <w:r>
        <w:t>The opportunity</w:t>
      </w:r>
      <w:bookmarkEnd w:id="125"/>
    </w:p>
    <w:p w14:paraId="1B45688D" w14:textId="0761511F" w:rsidR="001238E6" w:rsidRPr="00500EBB" w:rsidRDefault="3E3EB991" w:rsidP="002C45E8">
      <w:pPr>
        <w:pStyle w:val="USBodyText"/>
      </w:pPr>
      <w:r>
        <w:t>The ITE Programme Requirements</w:t>
      </w:r>
      <w:r w:rsidR="001238E6">
        <w:t xml:space="preserve"> should retain the intent that ITE staff capability should be current, evidence-informed and supported by ongoing professional learning, while removing research production as the default way of demonstrating that capability.</w:t>
      </w:r>
    </w:p>
    <w:p w14:paraId="50C8B007" w14:textId="77777777" w:rsidR="001238E6" w:rsidRPr="00500EBB" w:rsidRDefault="001238E6" w:rsidP="002C45E8">
      <w:pPr>
        <w:pStyle w:val="USBodyText"/>
      </w:pPr>
      <w:r>
        <w:lastRenderedPageBreak/>
        <w:t xml:space="preserve">This would shift the focus from whether staff produce research to whether they have the professional currency, practice expertise and evidence literacy needed to deliver high-quality ITE. Providers could still demonstrate these expectations through research activity where that is appropriate to their context, but research should not be required as the only or universal route. </w:t>
      </w:r>
    </w:p>
    <w:p w14:paraId="3E15EF55" w14:textId="77777777" w:rsidR="001238E6" w:rsidRPr="00500EBB" w:rsidRDefault="001238E6" w:rsidP="002C45E8">
      <w:pPr>
        <w:pStyle w:val="USBodyText"/>
      </w:pPr>
      <w:r>
        <w:t xml:space="preserve">This could be done through recent teaching or leadership experience, ongoing engagement with schools, kura or early learning services, participation in professional learning, involvement in curriculum or assessment development, or demonstrated application of contemporary evidence to programme design and delivery. </w:t>
      </w:r>
    </w:p>
    <w:p w14:paraId="6A8B7435" w14:textId="588635DC" w:rsidR="001238E6" w:rsidRPr="00862D67" w:rsidRDefault="46050EC6" w:rsidP="00354639">
      <w:pPr>
        <w:pStyle w:val="Heading4"/>
      </w:pPr>
      <w:bookmarkStart w:id="126" w:name="_Toc1483656106"/>
      <w:r>
        <w:t xml:space="preserve">What </w:t>
      </w:r>
      <w:r w:rsidR="1334090A">
        <w:t>would</w:t>
      </w:r>
      <w:r>
        <w:t xml:space="preserve"> change</w:t>
      </w:r>
      <w:bookmarkEnd w:id="126"/>
    </w:p>
    <w:p w14:paraId="02F5F76A" w14:textId="77777777" w:rsidR="001238E6" w:rsidRPr="00500EBB" w:rsidRDefault="001238E6" w:rsidP="001C1820">
      <w:pPr>
        <w:pStyle w:val="USBodyText"/>
        <w:spacing w:after="60"/>
      </w:pPr>
      <w:r>
        <w:t>A more aligned approach would be to replace the expectation of research contribution with a clearer focus on professional currency and engagement with evidence. This could include changes that:</w:t>
      </w:r>
    </w:p>
    <w:p w14:paraId="31214F09" w14:textId="77777777" w:rsidR="001238E6" w:rsidRPr="00862D67" w:rsidRDefault="001238E6" w:rsidP="002C45E8">
      <w:pPr>
        <w:pStyle w:val="USBullet1"/>
      </w:pPr>
      <w:r w:rsidRPr="00862D67">
        <w:t>Amend Requirement 3.6 so that research contribution is no longer treated as a universal expectation of ITE staff capability</w:t>
      </w:r>
    </w:p>
    <w:p w14:paraId="65E1E895" w14:textId="77777777" w:rsidR="001238E6" w:rsidRPr="00862D67" w:rsidRDefault="001238E6" w:rsidP="002C45E8">
      <w:pPr>
        <w:pStyle w:val="USBullet1"/>
      </w:pPr>
      <w:r w:rsidRPr="00862D67">
        <w:t>Replace it with clearer expectations that staff maintain up-to-date professional knowledge and practice relevant to their teaching role</w:t>
      </w:r>
    </w:p>
    <w:p w14:paraId="26A48495" w14:textId="77777777" w:rsidR="001238E6" w:rsidRPr="00862D67" w:rsidRDefault="001238E6" w:rsidP="002C45E8">
      <w:pPr>
        <w:pStyle w:val="USBullet1"/>
      </w:pPr>
      <w:r w:rsidRPr="00862D67">
        <w:t>Require staff to actively engage with robust, practice-relevant evidence about effective teaching and show how this informs programme delivery</w:t>
      </w:r>
    </w:p>
    <w:p w14:paraId="107F038D" w14:textId="77777777" w:rsidR="001238E6" w:rsidRPr="00862D67" w:rsidRDefault="001238E6" w:rsidP="002C45E8">
      <w:pPr>
        <w:pStyle w:val="USBullet1"/>
      </w:pPr>
      <w:r w:rsidRPr="00862D67">
        <w:t>Require providers to demonstrate how staff undertake ongoing professional learning and reflection</w:t>
      </w:r>
    </w:p>
    <w:p w14:paraId="73B7ED45" w14:textId="44E397BD" w:rsidR="001238E6" w:rsidRPr="00862D67" w:rsidRDefault="46050EC6" w:rsidP="001C1820">
      <w:pPr>
        <w:pStyle w:val="USBullet1"/>
        <w:spacing w:after="180"/>
      </w:pPr>
      <w:r>
        <w:t>Make clear that providers may demonstrate these expectations through research activity, but are not required to do so</w:t>
      </w:r>
      <w:r w:rsidR="000D22CF">
        <w:t>.</w:t>
      </w:r>
    </w:p>
    <w:p w14:paraId="721660FB" w14:textId="66F60515" w:rsidR="001238E6" w:rsidRDefault="46050EC6" w:rsidP="002C45E8">
      <w:pPr>
        <w:pStyle w:val="USBodyText"/>
      </w:pPr>
      <w:r>
        <w:t xml:space="preserve">This would better align the </w:t>
      </w:r>
      <w:r w:rsidR="0960D603">
        <w:t xml:space="preserve">ITE Programme </w:t>
      </w:r>
      <w:r>
        <w:t>Requirements to the applied purpose of ITE and the diversity of the provider landscape, while preserving space for research-active providers to demonstrate staff capability through research where that is the most appropriate expression of their work.</w:t>
      </w:r>
    </w:p>
    <w:p w14:paraId="330C9D40" w14:textId="177DEF3B" w:rsidR="007368EE" w:rsidRPr="00481BD1" w:rsidRDefault="5F0027A9" w:rsidP="1709B4D8">
      <w:pPr>
        <w:pStyle w:val="Heading4"/>
      </w:pPr>
      <w:bookmarkStart w:id="127" w:name="_Toc456368808"/>
      <w:r>
        <w:t>Implementation considerations</w:t>
      </w:r>
      <w:bookmarkEnd w:id="127"/>
    </w:p>
    <w:p w14:paraId="608A9BB7" w14:textId="5FCDEA0A" w:rsidR="00481BD1" w:rsidRPr="00481BD1" w:rsidRDefault="4DEAB222" w:rsidP="001C1820">
      <w:pPr>
        <w:pStyle w:val="USBodyText"/>
        <w:spacing w:after="360"/>
      </w:pPr>
      <w:r>
        <w:t xml:space="preserve">Implementing this change might include clarifying expectations relating to professional currency, engagement with evidence, ongoing professional learning and practice expertise. </w:t>
      </w:r>
      <w:r w:rsidR="487E0A51">
        <w:t>Consideration would also need to be given to ensuring expectation</w:t>
      </w:r>
      <w:r w:rsidR="59C0E737">
        <w:t>s</w:t>
      </w:r>
      <w:r w:rsidR="487E0A51">
        <w:t xml:space="preserve"> remain appropriate for both research-intensive and practice-focused providers. </w:t>
      </w:r>
    </w:p>
    <w:tbl>
      <w:tblPr>
        <w:tblStyle w:val="TableGrid"/>
        <w:tblW w:w="0" w:type="auto"/>
        <w:shd w:val="clear" w:color="auto" w:fill="D5E4E6" w:themeFill="accent1" w:themeFillTint="33"/>
        <w:tblCellMar>
          <w:top w:w="198" w:type="dxa"/>
          <w:left w:w="170" w:type="dxa"/>
          <w:bottom w:w="198" w:type="dxa"/>
          <w:right w:w="170" w:type="dxa"/>
        </w:tblCellMar>
        <w:tblLook w:val="04A0" w:firstRow="1" w:lastRow="0" w:firstColumn="1" w:lastColumn="0" w:noHBand="0" w:noVBand="1"/>
      </w:tblPr>
      <w:tblGrid>
        <w:gridCol w:w="9060"/>
      </w:tblGrid>
      <w:tr w:rsidR="007368EE" w14:paraId="03297182" w14:textId="77777777" w:rsidTr="00025F82">
        <w:tc>
          <w:tcPr>
            <w:tcW w:w="9060" w:type="dxa"/>
            <w:tcBorders>
              <w:top w:val="nil"/>
              <w:left w:val="nil"/>
              <w:bottom w:val="nil"/>
              <w:right w:val="nil"/>
            </w:tcBorders>
            <w:shd w:val="clear" w:color="auto" w:fill="D5E4E6" w:themeFill="accent1" w:themeFillTint="33"/>
          </w:tcPr>
          <w:p w14:paraId="4FDBC9DF" w14:textId="1E75FD3E" w:rsidR="007368EE" w:rsidRPr="00481BD1" w:rsidRDefault="3C373108" w:rsidP="00025F82">
            <w:pPr>
              <w:pStyle w:val="Heading4"/>
              <w:spacing w:before="0"/>
            </w:pPr>
            <w:bookmarkStart w:id="128" w:name="_Toc870956357"/>
            <w:r>
              <w:lastRenderedPageBreak/>
              <w:t>For discussion:</w:t>
            </w:r>
            <w:bookmarkEnd w:id="128"/>
          </w:p>
          <w:p w14:paraId="04A0542D" w14:textId="66E0EC6D" w:rsidR="007368EE" w:rsidRPr="00481BD1" w:rsidRDefault="7D7642E1" w:rsidP="00025F82">
            <w:pPr>
              <w:pStyle w:val="USBullet1"/>
              <w:spacing w:before="120" w:after="120"/>
            </w:pPr>
            <w:r>
              <w:t>To what extent do you agree with the rationale for this opportunity?</w:t>
            </w:r>
          </w:p>
          <w:p w14:paraId="24F1D84D" w14:textId="1BBDD75E" w:rsidR="007368EE" w:rsidRPr="00481BD1" w:rsidRDefault="7D7642E1" w:rsidP="00025F82">
            <w:pPr>
              <w:pStyle w:val="USBullet1"/>
              <w:spacing w:before="120" w:after="120"/>
            </w:pPr>
            <w:r>
              <w:t>Are there alternative approaches that you would recommend instead?</w:t>
            </w:r>
          </w:p>
          <w:p w14:paraId="468F5129" w14:textId="1A893563" w:rsidR="007368EE" w:rsidRPr="00481BD1" w:rsidRDefault="7D7642E1" w:rsidP="00025F82">
            <w:pPr>
              <w:pStyle w:val="USBullet1"/>
              <w:spacing w:before="120" w:after="120"/>
            </w:pPr>
            <w:r>
              <w:t>What costs, risks, or unintended consequences should be considered?</w:t>
            </w:r>
          </w:p>
        </w:tc>
      </w:tr>
    </w:tbl>
    <w:p w14:paraId="3295585B" w14:textId="77777777" w:rsidR="001C1820" w:rsidRDefault="001C1820" w:rsidP="001C1820">
      <w:pPr>
        <w:pStyle w:val="USWhiteSpaceAfterTable"/>
      </w:pPr>
      <w:bookmarkStart w:id="129" w:name="_Toc234512879"/>
      <w:bookmarkStart w:id="130" w:name="_Toc236686035"/>
    </w:p>
    <w:p w14:paraId="5F937332" w14:textId="301862DC" w:rsidR="001238E6" w:rsidRPr="009F3F24" w:rsidRDefault="001238E6" w:rsidP="045E5A3E">
      <w:pPr>
        <w:pStyle w:val="Heading3"/>
        <w:rPr>
          <w:rFonts w:ascii="Aptos" w:hAnsi="Aptos"/>
        </w:rPr>
      </w:pPr>
      <w:bookmarkStart w:id="131" w:name="_Toc241658043"/>
      <w:r>
        <w:t>Opportunity 3: Require programmes to articulate a coherent and complete model of progression.</w:t>
      </w:r>
      <w:bookmarkEnd w:id="129"/>
      <w:bookmarkEnd w:id="130"/>
      <w:bookmarkEnd w:id="131"/>
      <w:r>
        <w:t xml:space="preserve"> </w:t>
      </w:r>
    </w:p>
    <w:p w14:paraId="36B7224D" w14:textId="4DD12F6D" w:rsidR="001238E6" w:rsidRPr="00862D67" w:rsidRDefault="46050EC6" w:rsidP="00354639">
      <w:pPr>
        <w:pStyle w:val="Heading4"/>
      </w:pPr>
      <w:bookmarkStart w:id="132" w:name="_Toc1825101133"/>
      <w:r>
        <w:t>Current state</w:t>
      </w:r>
      <w:bookmarkEnd w:id="132"/>
    </w:p>
    <w:p w14:paraId="2AABB559" w14:textId="3D5AEF29" w:rsidR="001238E6" w:rsidRPr="00500EBB" w:rsidRDefault="40532A6F" w:rsidP="001C1820">
      <w:pPr>
        <w:pStyle w:val="USBodyText"/>
        <w:spacing w:after="60"/>
      </w:pPr>
      <w:r>
        <w:t>The ITE Programme Requirements</w:t>
      </w:r>
      <w:r w:rsidR="001238E6">
        <w:t xml:space="preserve"> state that providers must design and deliver their programmes to ensure graduates meet </w:t>
      </w:r>
      <w:r w:rsidR="00C702BB">
        <w:t>the Standards for the Teaching Profession</w:t>
      </w:r>
      <w:r w:rsidR="001238E6">
        <w:t>. This includes demonstrating how key components link, such as:</w:t>
      </w:r>
    </w:p>
    <w:p w14:paraId="1858D4DA" w14:textId="77777777" w:rsidR="001238E6" w:rsidRPr="00862D67" w:rsidRDefault="001238E6" w:rsidP="002C45E8">
      <w:pPr>
        <w:pStyle w:val="USBullet1"/>
      </w:pPr>
      <w:r w:rsidRPr="00862D67">
        <w:t>A conceptual framework that outlines the philosophies, beliefs and values that underpin and are integrated into an ITE programme</w:t>
      </w:r>
      <w:r>
        <w:t>.</w:t>
      </w:r>
    </w:p>
    <w:p w14:paraId="22EA678B" w14:textId="77777777" w:rsidR="001238E6" w:rsidRPr="00862D67" w:rsidRDefault="001238E6" w:rsidP="001C1820">
      <w:pPr>
        <w:pStyle w:val="USBullet1"/>
        <w:spacing w:after="180"/>
      </w:pPr>
      <w:r w:rsidRPr="00862D67">
        <w:t>The learning outcomes, graduate profile, programme structure and delivery, and assessment framework</w:t>
      </w:r>
      <w:r>
        <w:t>.</w:t>
      </w:r>
    </w:p>
    <w:p w14:paraId="159309C1" w14:textId="751AB84E" w:rsidR="001238E6" w:rsidRPr="00500EBB" w:rsidRDefault="40532A6F" w:rsidP="001C1820">
      <w:pPr>
        <w:pStyle w:val="USBodyText"/>
        <w:spacing w:after="60"/>
      </w:pPr>
      <w:r>
        <w:t>The ITE Programme Requirements</w:t>
      </w:r>
      <w:r w:rsidR="001238E6">
        <w:t xml:space="preserve"> currently emphasise: </w:t>
      </w:r>
    </w:p>
    <w:p w14:paraId="44E9E4D0" w14:textId="77777777" w:rsidR="001238E6" w:rsidRPr="00862D67" w:rsidRDefault="001238E6" w:rsidP="002C45E8">
      <w:pPr>
        <w:pStyle w:val="USBullet1"/>
      </w:pPr>
      <w:r w:rsidRPr="00862D67">
        <w:t>Integration of theory and practice</w:t>
      </w:r>
    </w:p>
    <w:p w14:paraId="5BFBE623" w14:textId="77777777" w:rsidR="001238E6" w:rsidRPr="00862D67" w:rsidRDefault="001238E6" w:rsidP="002C45E8">
      <w:pPr>
        <w:pStyle w:val="USBullet1"/>
      </w:pPr>
      <w:r w:rsidRPr="00862D67">
        <w:t>Coherent programme design</w:t>
      </w:r>
    </w:p>
    <w:p w14:paraId="69B8C01A" w14:textId="77777777" w:rsidR="001238E6" w:rsidRPr="00862D67" w:rsidRDefault="001238E6" w:rsidP="002C45E8">
      <w:pPr>
        <w:pStyle w:val="USBullet1"/>
      </w:pPr>
      <w:r w:rsidRPr="00862D67">
        <w:t>Professional experience building complexity over time</w:t>
      </w:r>
    </w:p>
    <w:p w14:paraId="6FAE9B28" w14:textId="73CAC48F" w:rsidR="001238E6" w:rsidRPr="00862D67" w:rsidRDefault="001238E6" w:rsidP="001C1820">
      <w:pPr>
        <w:pStyle w:val="USBullet1"/>
        <w:spacing w:after="180"/>
      </w:pPr>
      <w:r w:rsidRPr="00862D67">
        <w:t>Development of both practice and a strong theoretical and reflective base</w:t>
      </w:r>
      <w:r w:rsidR="000D22CF">
        <w:t>.</w:t>
      </w:r>
    </w:p>
    <w:p w14:paraId="18833516" w14:textId="56CC4EE0" w:rsidR="001238E6" w:rsidRPr="00500EBB" w:rsidRDefault="001238E6" w:rsidP="002C45E8">
      <w:pPr>
        <w:pStyle w:val="USBodyText"/>
      </w:pPr>
      <w:r w:rsidRPr="00500EBB">
        <w:t xml:space="preserve">While this provides a foundation for coherence, the </w:t>
      </w:r>
      <w:r w:rsidR="242530F1">
        <w:t xml:space="preserve">ITE Programme </w:t>
      </w:r>
      <w:r w:rsidRPr="00500EBB">
        <w:t xml:space="preserve">Requirements remain largely focused on alignment and linkage between components. They do not require providers to articulate a clear model of progression that explains how </w:t>
      </w:r>
      <w:r>
        <w:t>the</w:t>
      </w:r>
      <w:r w:rsidRPr="00500EBB">
        <w:t xml:space="preserve"> </w:t>
      </w:r>
      <w:r>
        <w:t xml:space="preserve">student journey is </w:t>
      </w:r>
      <w:r w:rsidRPr="00500EBB">
        <w:t xml:space="preserve">deliberately </w:t>
      </w:r>
      <w:r>
        <w:t>designed to build</w:t>
      </w:r>
      <w:r w:rsidRPr="00500EBB">
        <w:t xml:space="preserve"> teaching capability over time, from entry through to meeting </w:t>
      </w:r>
      <w:r w:rsidR="00C702BB">
        <w:t>the Standards for the Teaching Profession</w:t>
      </w:r>
      <w:r w:rsidRPr="00500EBB">
        <w:t xml:space="preserve"> and readiness for the profession.</w:t>
      </w:r>
    </w:p>
    <w:p w14:paraId="7C9841AA" w14:textId="1C424C2C" w:rsidR="001238E6" w:rsidRPr="00862D67" w:rsidRDefault="46050EC6" w:rsidP="00354639">
      <w:pPr>
        <w:pStyle w:val="Heading4"/>
      </w:pPr>
      <w:bookmarkStart w:id="133" w:name="_Toc15026683"/>
      <w:r>
        <w:t>The opportunity</w:t>
      </w:r>
      <w:bookmarkEnd w:id="133"/>
    </w:p>
    <w:p w14:paraId="781C0B31" w14:textId="79EC07CA" w:rsidR="001238E6" w:rsidRPr="00500EBB" w:rsidRDefault="001238E6" w:rsidP="002C45E8">
      <w:pPr>
        <w:pStyle w:val="USBodyText"/>
      </w:pPr>
      <w:r w:rsidRPr="00500EBB">
        <w:t xml:space="preserve">International literature on ITE identifies that high-quality programmes are often characterised by a common and coherent vision for teaching, courses that are carefully sequenced and build on each </w:t>
      </w:r>
      <w:r w:rsidRPr="00500EBB">
        <w:lastRenderedPageBreak/>
        <w:t>other, and are organised around a guiding theory of teacher development.</w:t>
      </w:r>
      <w:r w:rsidRPr="43B75BAF">
        <w:rPr>
          <w:rStyle w:val="FootnoteReference"/>
          <w:rFonts w:ascii="Aptos" w:hAnsi="Aptos"/>
        </w:rPr>
        <w:footnoteReference w:id="42"/>
      </w:r>
      <w:r w:rsidRPr="00500EBB">
        <w:t xml:space="preserve"> Research on coherence in ITE also finds that fragmentation is a persistent challenge, with programmes often experienced as disconnected courses and professional experience components, rather than a coherent vision of teaching and learning.</w:t>
      </w:r>
      <w:r w:rsidRPr="43B75BAF">
        <w:rPr>
          <w:rStyle w:val="FootnoteReference"/>
          <w:rFonts w:ascii="Aptos" w:hAnsi="Aptos"/>
        </w:rPr>
        <w:footnoteReference w:id="43"/>
      </w:r>
      <w:r w:rsidRPr="00500EBB">
        <w:t xml:space="preserve"> Case studies show that programmes often lack structures that enable alignment across courses, or secure progression across the programme, resulting in limited coherence in the student experience.</w:t>
      </w:r>
      <w:r w:rsidRPr="43B75BAF">
        <w:rPr>
          <w:rStyle w:val="FootnoteReference"/>
          <w:rFonts w:ascii="Aptos" w:hAnsi="Aptos"/>
        </w:rPr>
        <w:footnoteReference w:id="44"/>
      </w:r>
      <w:r w:rsidR="00F65692">
        <w:t xml:space="preserve"> </w:t>
      </w:r>
    </w:p>
    <w:p w14:paraId="66E6617E" w14:textId="10934176" w:rsidR="001238E6" w:rsidRPr="00500EBB" w:rsidRDefault="001238E6" w:rsidP="002C45E8">
      <w:pPr>
        <w:pStyle w:val="USBodyText"/>
      </w:pPr>
      <w:r w:rsidRPr="00500EBB">
        <w:t>There is an opportunity to strengthen the</w:t>
      </w:r>
      <w:r w:rsidR="242530F1">
        <w:t xml:space="preserve"> ITE Programme</w:t>
      </w:r>
      <w:r w:rsidRPr="00500EBB">
        <w:t xml:space="preserve"> Requirements by making </w:t>
      </w:r>
      <w:r>
        <w:t xml:space="preserve">the student journey a </w:t>
      </w:r>
      <w:r w:rsidRPr="00500EBB">
        <w:t xml:space="preserve">more explicit </w:t>
      </w:r>
      <w:r>
        <w:t>organising principle for programme design</w:t>
      </w:r>
      <w:r w:rsidRPr="00500EBB">
        <w:t>. This would shift coherence from a general expectation that programme components are aligned, to a clearer requirement that providers explain how the student journey is deliberately designed from entry to graduation</w:t>
      </w:r>
      <w:r>
        <w:t>. This would</w:t>
      </w:r>
      <w:r w:rsidRPr="00500EBB">
        <w:t xml:space="preserve"> includ</w:t>
      </w:r>
      <w:r>
        <w:t>e</w:t>
      </w:r>
      <w:r w:rsidRPr="00500EBB">
        <w:t xml:space="preserve"> how curriculum, pedagogy, professional experience, partnerships and assessment work together to support student teachers’ progression towards </w:t>
      </w:r>
      <w:r w:rsidR="00C702BB">
        <w:t>the Standards for the Teaching Profession</w:t>
      </w:r>
      <w:r w:rsidRPr="00500EBB">
        <w:t xml:space="preserve"> and readiness for professional practice.</w:t>
      </w:r>
    </w:p>
    <w:p w14:paraId="2F370101" w14:textId="77777777" w:rsidR="001238E6" w:rsidRPr="00500EBB" w:rsidRDefault="001238E6" w:rsidP="001C1820">
      <w:pPr>
        <w:pStyle w:val="USBodyText"/>
        <w:spacing w:after="60"/>
      </w:pPr>
      <w:r w:rsidRPr="00500EBB">
        <w:t>A strengthened approach would involve:</w:t>
      </w:r>
    </w:p>
    <w:p w14:paraId="6C2E6238" w14:textId="77777777" w:rsidR="001238E6" w:rsidRPr="00862D67" w:rsidRDefault="001238E6" w:rsidP="002C45E8">
      <w:pPr>
        <w:pStyle w:val="USBullet1"/>
      </w:pPr>
      <w:r w:rsidRPr="00862D67">
        <w:t>Using the student teacher journey as the organising logic for coherent programme design, informed by evidence and contextualised to Aotearoa New Zealand</w:t>
      </w:r>
      <w:r>
        <w:t>.</w:t>
      </w:r>
    </w:p>
    <w:p w14:paraId="4A7AFCE6" w14:textId="3932E147" w:rsidR="001238E6" w:rsidRPr="00862D67" w:rsidRDefault="001238E6" w:rsidP="002C45E8">
      <w:pPr>
        <w:pStyle w:val="USBullet1"/>
      </w:pPr>
      <w:r>
        <w:t>Making visible how a programme’s design, teaching approaches and sequencing deliberately build the knowledge, practices</w:t>
      </w:r>
      <w:r w:rsidR="00EA70EC">
        <w:t>, capabilities</w:t>
      </w:r>
      <w:r>
        <w:t xml:space="preserve"> and professional judgement needed to demonstrate </w:t>
      </w:r>
      <w:r w:rsidR="00C702BB">
        <w:t>the Standards for the Teaching Profession</w:t>
      </w:r>
      <w:r>
        <w:t xml:space="preserve"> and the shared core (see Opportunity 5).</w:t>
      </w:r>
    </w:p>
    <w:p w14:paraId="6B44D573" w14:textId="77777777" w:rsidR="001238E6" w:rsidRPr="00862D67" w:rsidRDefault="001238E6" w:rsidP="002C45E8">
      <w:pPr>
        <w:pStyle w:val="USBullet1"/>
      </w:pPr>
      <w:r w:rsidRPr="00862D67">
        <w:t xml:space="preserve">Recognising the distinction between the pedagogies most appropriate for ITE programme delivery and the pedagogies student teachers are expected to learn and apply in </w:t>
      </w:r>
      <w:r>
        <w:t>ECE</w:t>
      </w:r>
      <w:r w:rsidRPr="00862D67">
        <w:t xml:space="preserve">, </w:t>
      </w:r>
      <w:r>
        <w:t xml:space="preserve">primary and secondary </w:t>
      </w:r>
      <w:r w:rsidRPr="00862D67">
        <w:t>settings</w:t>
      </w:r>
      <w:r>
        <w:t>.</w:t>
      </w:r>
    </w:p>
    <w:p w14:paraId="4ABD8B12" w14:textId="77777777" w:rsidR="001238E6" w:rsidRPr="00862D67" w:rsidRDefault="001238E6" w:rsidP="001C1820">
      <w:pPr>
        <w:pStyle w:val="USBullet1"/>
        <w:spacing w:after="180"/>
      </w:pPr>
      <w:r>
        <w:t>Demonstrating how student teachers progressively develop the capability and skills to work effectively with diverse learners, including those with disabilities, additional learning needs, neurodivergent learners, Pasifika learners and ākonga Māori, throughout the programme.</w:t>
      </w:r>
    </w:p>
    <w:p w14:paraId="648D19C3" w14:textId="4FF47CFD" w:rsidR="001238E6" w:rsidRPr="00862D67" w:rsidRDefault="2F9F5526" w:rsidP="00354639">
      <w:pPr>
        <w:pStyle w:val="Heading4"/>
      </w:pPr>
      <w:bookmarkStart w:id="134" w:name="_Toc1242041979"/>
      <w:r>
        <w:t>What would change</w:t>
      </w:r>
      <w:bookmarkEnd w:id="134"/>
    </w:p>
    <w:p w14:paraId="14224115" w14:textId="5CC22D46" w:rsidR="001238E6" w:rsidRDefault="6737867C" w:rsidP="65C5DE98">
      <w:pPr>
        <w:pStyle w:val="USBodyText"/>
      </w:pPr>
      <w:r>
        <w:t>The ITE Programme Requirements</w:t>
      </w:r>
      <w:r w:rsidR="001238E6">
        <w:t xml:space="preserve"> </w:t>
      </w:r>
      <w:r w:rsidR="557D48F2">
        <w:t>would</w:t>
      </w:r>
      <w:r w:rsidR="001238E6">
        <w:t xml:space="preserve"> be amended to require each provider to articulate a coherent model of progression. This would complement, rather than replace the existing conceptual framework. While the conceptual framework explains the philosophies, values and beliefs that </w:t>
      </w:r>
      <w:r w:rsidR="001238E6">
        <w:lastRenderedPageBreak/>
        <w:t>underpin a programme, the model of progression would explain how those commitments are translated into the student journey from entry through to graduation.</w:t>
      </w:r>
    </w:p>
    <w:p w14:paraId="0127840C" w14:textId="7CE58050" w:rsidR="001238E6" w:rsidRPr="00500EBB" w:rsidRDefault="001238E6" w:rsidP="002C45E8">
      <w:pPr>
        <w:pStyle w:val="USBodyText"/>
      </w:pPr>
      <w:r>
        <w:t xml:space="preserve">A model of progression provides the mechanism for making the coherent student journey explicit. It would require providers to explain the rationale for the programme, how learning experiences build over time, and how programme design, professional experience, assessment and partnerships support movement towards readiness to teach. It </w:t>
      </w:r>
      <w:r w:rsidR="57C456C6">
        <w:t>woul</w:t>
      </w:r>
      <w:r>
        <w:t xml:space="preserve">d also require providers to demonstrate how the programme responds to the characteristics, strengths and learning needs of its student teachers, and how these have informed the design of learning pathways and support structures. </w:t>
      </w:r>
    </w:p>
    <w:p w14:paraId="6401636D" w14:textId="4FE661D0" w:rsidR="001238E6" w:rsidRPr="00500EBB" w:rsidRDefault="001238E6" w:rsidP="001C1820">
      <w:pPr>
        <w:pStyle w:val="USBodyText"/>
        <w:spacing w:after="60"/>
      </w:pPr>
      <w:r>
        <w:t xml:space="preserve">It </w:t>
      </w:r>
      <w:r w:rsidR="2F069E94">
        <w:t>would</w:t>
      </w:r>
      <w:r>
        <w:t xml:space="preserve"> include how:</w:t>
      </w:r>
    </w:p>
    <w:p w14:paraId="245026BD" w14:textId="77777777" w:rsidR="001238E6" w:rsidRPr="00E20E63" w:rsidRDefault="001238E6" w:rsidP="002C45E8">
      <w:pPr>
        <w:pStyle w:val="USBullet1"/>
      </w:pPr>
      <w:r w:rsidRPr="00E20E63">
        <w:t>Programme components work together to create a coherent student journey, from entry through to readiness for practice.</w:t>
      </w:r>
    </w:p>
    <w:p w14:paraId="31EAF34F" w14:textId="7ED3AAFD" w:rsidR="001238E6" w:rsidRPr="00E20E63" w:rsidRDefault="240098A5" w:rsidP="002C45E8">
      <w:pPr>
        <w:pStyle w:val="USBullet1"/>
      </w:pPr>
      <w:r>
        <w:t>The Standards for the Teaching Profession</w:t>
      </w:r>
      <w:r w:rsidR="46050EC6">
        <w:t xml:space="preserve"> are taught, practised and assessed across the programme, with clear expectations for how capability develops over time.</w:t>
      </w:r>
    </w:p>
    <w:p w14:paraId="1D84DE97" w14:textId="77777777" w:rsidR="001238E6" w:rsidRPr="00E20E63" w:rsidRDefault="001238E6" w:rsidP="002C45E8">
      <w:pPr>
        <w:pStyle w:val="USBullet1"/>
      </w:pPr>
      <w:r w:rsidRPr="00E20E63">
        <w:t>Programme design responds to the characteristics, strengths and support needs of student teachers, including how learning pathways and support structures are designed.</w:t>
      </w:r>
    </w:p>
    <w:p w14:paraId="0D5C05E0" w14:textId="77777777" w:rsidR="001238E6" w:rsidRPr="00E20E63" w:rsidRDefault="001238E6" w:rsidP="002C45E8">
      <w:pPr>
        <w:pStyle w:val="USBullet1"/>
      </w:pPr>
      <w:r w:rsidRPr="00E20E63">
        <w:t>Professional experience, partnerships and supervision support the integration of theory and practice, and progressively develop capability across diverse learners, communities and educational contexts.</w:t>
      </w:r>
    </w:p>
    <w:p w14:paraId="1E5A0CA3" w14:textId="77777777" w:rsidR="001238E6" w:rsidRPr="00E20E63" w:rsidRDefault="001238E6" w:rsidP="001C1820">
      <w:pPr>
        <w:pStyle w:val="USBullet1"/>
        <w:spacing w:after="180"/>
      </w:pPr>
      <w:r w:rsidRPr="00E20E63">
        <w:t>Assessment provides evidence of capability and informs progression, supporting movement from supported learning towards increasing independence in practice.</w:t>
      </w:r>
    </w:p>
    <w:p w14:paraId="4082C67D" w14:textId="38C9F0C7" w:rsidR="001238E6" w:rsidRDefault="001238E6" w:rsidP="00495801">
      <w:pPr>
        <w:pStyle w:val="USBodyText"/>
      </w:pPr>
      <w:r>
        <w:t>This should preserve provider discretion. There is no established consensus about a single model of ITE that all providers should adopt. Literature highlights that learning to teach is a complex and long-term process shaped by multiple interacting factors, including programme design, student characteristics and professional learning contexts.</w:t>
      </w:r>
      <w:r w:rsidRPr="65C5DE98">
        <w:rPr>
          <w:rStyle w:val="FootnoteReference"/>
          <w:rFonts w:ascii="Aptos" w:hAnsi="Aptos"/>
        </w:rPr>
        <w:footnoteReference w:id="45"/>
      </w:r>
      <w:r>
        <w:t xml:space="preserve"> Different approaches to models of progression may be appropriate in different contexts, depending on factors such as programme structure, qualification type, learner characteristics, partnerships and settings. </w:t>
      </w:r>
      <w:r w:rsidR="67468BA2">
        <w:t>The ITE Programme Requirements</w:t>
      </w:r>
      <w:r>
        <w:t xml:space="preserve"> </w:t>
      </w:r>
      <w:r w:rsidR="5D276508">
        <w:t>w</w:t>
      </w:r>
      <w:r>
        <w:t>ould therefore require providers to make their model of progression explicit and fit for purpose (relevant to their context and learners), rather than prescribe one version of what progression must look like.</w:t>
      </w:r>
    </w:p>
    <w:p w14:paraId="03788E4C" w14:textId="7A90DCC2" w:rsidR="00E94F42" w:rsidRPr="00481BD1" w:rsidRDefault="6DD1AB52" w:rsidP="1709B4D8">
      <w:pPr>
        <w:pStyle w:val="Heading4"/>
      </w:pPr>
      <w:bookmarkStart w:id="135" w:name="_Toc244577689"/>
      <w:r>
        <w:t>Implementation considerations</w:t>
      </w:r>
      <w:bookmarkEnd w:id="135"/>
    </w:p>
    <w:p w14:paraId="348F6175" w14:textId="29CAC795" w:rsidR="00E94F42" w:rsidRPr="00481BD1" w:rsidRDefault="2A607A77" w:rsidP="001C1820">
      <w:pPr>
        <w:pStyle w:val="USBodyText"/>
        <w:spacing w:after="360"/>
      </w:pPr>
      <w:r>
        <w:t>Further work would be required to determine what information should be included in a model of progression</w:t>
      </w:r>
      <w:r w:rsidR="5B616D3E">
        <w:t xml:space="preserve">, </w:t>
      </w:r>
      <w:r w:rsidR="212EC1D5">
        <w:t>the different options for</w:t>
      </w:r>
      <w:r w:rsidR="02C302D2">
        <w:t xml:space="preserve"> </w:t>
      </w:r>
      <w:r w:rsidR="212EC1D5">
        <w:t>presentation</w:t>
      </w:r>
      <w:r w:rsidR="5B616D3E">
        <w:t xml:space="preserve">, </w:t>
      </w:r>
      <w:r w:rsidR="18DAB403">
        <w:t xml:space="preserve">and how it relates to </w:t>
      </w:r>
      <w:r w:rsidR="5B616D3E">
        <w:t>existing conceptual frameworks</w:t>
      </w:r>
      <w:r w:rsidR="0BB86DCF">
        <w:t xml:space="preserve"> and programme documentation</w:t>
      </w:r>
      <w:r w:rsidR="18DAB403">
        <w:t xml:space="preserve"> requirements</w:t>
      </w:r>
      <w:r w:rsidR="0BB86DCF">
        <w:t xml:space="preserve">. </w:t>
      </w:r>
      <w:r w:rsidR="67BA35FC">
        <w:t>Consideration would n</w:t>
      </w:r>
      <w:r w:rsidR="6C17F62A">
        <w:t>e</w:t>
      </w:r>
      <w:r w:rsidR="67BA35FC">
        <w:t xml:space="preserve">ed to be given to </w:t>
      </w:r>
      <w:r w:rsidR="3E592D48">
        <w:t xml:space="preserve">the level of detail required, balancing the value of clarity against risk of </w:t>
      </w:r>
      <w:r w:rsidR="6A0B3D96">
        <w:t xml:space="preserve">creating </w:t>
      </w:r>
      <w:r w:rsidR="3E592D48">
        <w:t xml:space="preserve">compliance burden. </w:t>
      </w:r>
      <w:r w:rsidR="3E592D48">
        <w:lastRenderedPageBreak/>
        <w:t xml:space="preserve">The </w:t>
      </w:r>
      <w:r w:rsidR="67BA35FC">
        <w:t xml:space="preserve">approach </w:t>
      </w:r>
      <w:r w:rsidR="056AB37E">
        <w:t>would need to be sufficiently</w:t>
      </w:r>
      <w:r w:rsidR="67BA35FC">
        <w:t xml:space="preserve"> flexible </w:t>
      </w:r>
      <w:r w:rsidR="6A0B3D96">
        <w:t>to accommodate</w:t>
      </w:r>
      <w:r w:rsidR="67BA35FC">
        <w:t xml:space="preserve"> different programme structures, </w:t>
      </w:r>
      <w:r w:rsidR="6C17F62A">
        <w:t xml:space="preserve">qualification types, and </w:t>
      </w:r>
      <w:r w:rsidR="056AB37E">
        <w:t xml:space="preserve">provider </w:t>
      </w:r>
      <w:r w:rsidR="6C17F62A">
        <w:t xml:space="preserve">contexts. </w:t>
      </w:r>
    </w:p>
    <w:tbl>
      <w:tblPr>
        <w:tblStyle w:val="TableGrid"/>
        <w:tblW w:w="0" w:type="auto"/>
        <w:shd w:val="clear" w:color="auto" w:fill="D5E4E6" w:themeFill="accent1" w:themeFillTint="33"/>
        <w:tblCellMar>
          <w:top w:w="198" w:type="dxa"/>
          <w:left w:w="170" w:type="dxa"/>
          <w:bottom w:w="198" w:type="dxa"/>
          <w:right w:w="170" w:type="dxa"/>
        </w:tblCellMar>
        <w:tblLook w:val="04A0" w:firstRow="1" w:lastRow="0" w:firstColumn="1" w:lastColumn="0" w:noHBand="0" w:noVBand="1"/>
      </w:tblPr>
      <w:tblGrid>
        <w:gridCol w:w="9060"/>
      </w:tblGrid>
      <w:tr w:rsidR="00E94F42" w14:paraId="5C3A371A" w14:textId="77777777" w:rsidTr="002F2A7A">
        <w:tc>
          <w:tcPr>
            <w:tcW w:w="9060" w:type="dxa"/>
            <w:tcBorders>
              <w:top w:val="nil"/>
              <w:left w:val="nil"/>
              <w:bottom w:val="nil"/>
              <w:right w:val="nil"/>
            </w:tcBorders>
            <w:shd w:val="clear" w:color="auto" w:fill="D5E4E6" w:themeFill="accent1" w:themeFillTint="33"/>
          </w:tcPr>
          <w:p w14:paraId="7D49BF69" w14:textId="24E85D41" w:rsidR="00E94F42" w:rsidRPr="00640F3E" w:rsidRDefault="6DD1AB52" w:rsidP="002F2A7A">
            <w:pPr>
              <w:pStyle w:val="Heading4"/>
              <w:spacing w:before="0"/>
            </w:pPr>
            <w:bookmarkStart w:id="136" w:name="_Toc23558149"/>
            <w:r>
              <w:t>For discussion:</w:t>
            </w:r>
            <w:bookmarkEnd w:id="136"/>
          </w:p>
          <w:p w14:paraId="4E21D4F5" w14:textId="50278FBD" w:rsidR="00E94F42" w:rsidRPr="00640F3E" w:rsidRDefault="6D48FA7F" w:rsidP="002F2A7A">
            <w:pPr>
              <w:pStyle w:val="USBullet1"/>
              <w:spacing w:before="120" w:after="120"/>
            </w:pPr>
            <w:r>
              <w:t xml:space="preserve">To what extent do you agree with the rationale for this opportunity? </w:t>
            </w:r>
          </w:p>
          <w:p w14:paraId="42E78755" w14:textId="0445BF2E" w:rsidR="00E94F42" w:rsidRPr="00640F3E" w:rsidRDefault="6D48FA7F" w:rsidP="002F2A7A">
            <w:pPr>
              <w:pStyle w:val="USBullet1"/>
              <w:spacing w:before="120" w:after="120"/>
            </w:pPr>
            <w:r>
              <w:t xml:space="preserve">Are there alternative approaches that you would recommend instead? </w:t>
            </w:r>
          </w:p>
          <w:p w14:paraId="6FF6702C" w14:textId="02AE870E" w:rsidR="00E94F42" w:rsidRPr="00640F3E" w:rsidRDefault="630D9FC8" w:rsidP="002F2A7A">
            <w:pPr>
              <w:pStyle w:val="USBullet1"/>
              <w:spacing w:before="120" w:after="120"/>
            </w:pPr>
            <w:r>
              <w:t>What costs, risks, or unintended consequences should be considered?</w:t>
            </w:r>
          </w:p>
        </w:tc>
      </w:tr>
    </w:tbl>
    <w:p w14:paraId="1ADC9AA1" w14:textId="77777777" w:rsidR="001C1820" w:rsidRDefault="001C1820" w:rsidP="001C1820">
      <w:pPr>
        <w:pStyle w:val="USWhiteSpaceAfterTable"/>
      </w:pPr>
      <w:bookmarkStart w:id="137" w:name="_Toc234512880"/>
      <w:bookmarkStart w:id="138" w:name="_Toc236686036"/>
    </w:p>
    <w:p w14:paraId="72EEF165" w14:textId="09FBC5B6" w:rsidR="00495801" w:rsidRPr="000D447F" w:rsidRDefault="3741E92E" w:rsidP="788B8F3F">
      <w:pPr>
        <w:pStyle w:val="Heading2"/>
        <w:rPr>
          <w:rFonts w:ascii="Aptos" w:hAnsi="Aptos"/>
        </w:rPr>
      </w:pPr>
      <w:bookmarkStart w:id="139" w:name="_Toc241658044"/>
      <w:r>
        <w:t>Improving programme content</w:t>
      </w:r>
      <w:bookmarkEnd w:id="137"/>
      <w:bookmarkEnd w:id="138"/>
      <w:bookmarkEnd w:id="139"/>
    </w:p>
    <w:p w14:paraId="53AF9F1C" w14:textId="77777777" w:rsidR="00495801" w:rsidRDefault="00495801" w:rsidP="001C1820">
      <w:pPr>
        <w:pStyle w:val="USBodyText"/>
        <w:spacing w:after="60"/>
      </w:pPr>
      <w:r>
        <w:t>We have identified the following opportunities to improve programme content:</w:t>
      </w:r>
    </w:p>
    <w:p w14:paraId="1377D2E9" w14:textId="77777777" w:rsidR="00495801" w:rsidRPr="00F94862" w:rsidRDefault="00495801" w:rsidP="001338D2">
      <w:pPr>
        <w:pStyle w:val="USNumber1"/>
      </w:pPr>
      <w:r w:rsidRPr="00D024AC">
        <w:rPr>
          <w:b/>
          <w:bCs/>
        </w:rPr>
        <w:t>Retain current student entry requirements but improve consistency in how they are assessed,</w:t>
      </w:r>
      <w:r>
        <w:t xml:space="preserve"> so there is comparability across providers and strengthen confidence in candidate quality.</w:t>
      </w:r>
    </w:p>
    <w:p w14:paraId="76E2F109" w14:textId="0624B40C" w:rsidR="00495801" w:rsidRPr="00F94862" w:rsidRDefault="4D339DA1" w:rsidP="001338D2">
      <w:pPr>
        <w:pStyle w:val="USNumber1"/>
      </w:pPr>
      <w:bookmarkStart w:id="140" w:name="_Ref236904608"/>
      <w:r w:rsidRPr="00D024AC">
        <w:rPr>
          <w:b/>
          <w:bCs/>
        </w:rPr>
        <w:t>Introduce greater specificity regarding required content aligned with the 2026 Standards</w:t>
      </w:r>
      <w:r w:rsidR="53450CF9" w:rsidRPr="00D024AC">
        <w:rPr>
          <w:b/>
          <w:bCs/>
        </w:rPr>
        <w:t xml:space="preserve"> for the Teaching Profession</w:t>
      </w:r>
      <w:r w:rsidRPr="00D024AC">
        <w:rPr>
          <w:b/>
          <w:bCs/>
        </w:rPr>
        <w:t>,</w:t>
      </w:r>
      <w:r>
        <w:t xml:space="preserve"> so student teachers learn the essential knowledge and practices needed to meet expectations at the point of entry into the profession.</w:t>
      </w:r>
      <w:bookmarkEnd w:id="140"/>
    </w:p>
    <w:p w14:paraId="00FD8D44" w14:textId="2191FDBD" w:rsidR="00495801" w:rsidRPr="00F94862" w:rsidRDefault="00495801" w:rsidP="001338D2">
      <w:pPr>
        <w:pStyle w:val="USNumber1"/>
      </w:pPr>
      <w:r w:rsidRPr="00D024AC">
        <w:rPr>
          <w:b/>
          <w:bCs/>
        </w:rPr>
        <w:t>Embed clearer expectations for high-quality professional experience</w:t>
      </w:r>
      <w:r>
        <w:t xml:space="preserve">, so all students benefit from successful professional experiences. </w:t>
      </w:r>
    </w:p>
    <w:p w14:paraId="4037E947" w14:textId="62ECDE05" w:rsidR="00495801" w:rsidRPr="00F94862" w:rsidRDefault="00495801" w:rsidP="001338D2">
      <w:pPr>
        <w:pStyle w:val="USNumber1"/>
      </w:pPr>
      <w:r w:rsidRPr="00D024AC">
        <w:rPr>
          <w:b/>
          <w:bCs/>
        </w:rPr>
        <w:t>Consider a national, standardised and externally moderated assessment framework,</w:t>
      </w:r>
      <w:r>
        <w:t xml:space="preserve"> so that assessment of student teacher progression and readiness is consistently rigorous, valid and comparable across providers.</w:t>
      </w:r>
    </w:p>
    <w:p w14:paraId="3BFD2448" w14:textId="77777777" w:rsidR="00495801" w:rsidRPr="00F94862" w:rsidRDefault="00495801" w:rsidP="00C15D02">
      <w:pPr>
        <w:pStyle w:val="USNumber1"/>
        <w:spacing w:after="180"/>
      </w:pPr>
      <w:r w:rsidRPr="00D024AC">
        <w:t>Establish clearer links between ITE preparation and supports for early career teachers</w:t>
      </w:r>
      <w:r>
        <w:t xml:space="preserve">, so graduates are better prepared for the move into a beginning teacher role. </w:t>
      </w:r>
    </w:p>
    <w:p w14:paraId="7965AFAD" w14:textId="1DA6AE60" w:rsidR="00495801" w:rsidRDefault="00495801" w:rsidP="008B35AC">
      <w:pPr>
        <w:pStyle w:val="USBodyText"/>
      </w:pPr>
      <w:r>
        <w:t xml:space="preserve">Together, these opportunities strengthen the </w:t>
      </w:r>
      <w:r w:rsidR="242530F1">
        <w:t xml:space="preserve">ITE Programme </w:t>
      </w:r>
      <w:r>
        <w:t xml:space="preserve">Requirements as the mechanism for ensuring all graduates develop the knowledge, practices and </w:t>
      </w:r>
      <w:r w:rsidR="00B36372">
        <w:t xml:space="preserve">capabilities </w:t>
      </w:r>
      <w:r>
        <w:t xml:space="preserve">expected under </w:t>
      </w:r>
      <w:r w:rsidR="00C702BB">
        <w:t>the Standards for the Teaching Profession</w:t>
      </w:r>
      <w:r>
        <w:t>.</w:t>
      </w:r>
    </w:p>
    <w:p w14:paraId="4D1171AA" w14:textId="495F72F1" w:rsidR="00495801" w:rsidRPr="00500EBB" w:rsidRDefault="00495801" w:rsidP="00495801">
      <w:pPr>
        <w:pStyle w:val="Heading3"/>
      </w:pPr>
      <w:bookmarkStart w:id="141" w:name="_Toc234512881"/>
      <w:bookmarkStart w:id="142" w:name="_Toc236686037"/>
      <w:bookmarkStart w:id="143" w:name="_Toc241658045"/>
      <w:r>
        <w:t>Opportunity 4: Retain current student entry requirements but improve consistency in how they are assessed.</w:t>
      </w:r>
      <w:bookmarkEnd w:id="141"/>
      <w:bookmarkEnd w:id="142"/>
      <w:bookmarkEnd w:id="143"/>
    </w:p>
    <w:p w14:paraId="31425D4D" w14:textId="616E02C6" w:rsidR="00495801" w:rsidRPr="00862D67" w:rsidRDefault="4D339DA1" w:rsidP="00354639">
      <w:pPr>
        <w:pStyle w:val="Heading4"/>
      </w:pPr>
      <w:bookmarkStart w:id="144" w:name="_Toc635634394"/>
      <w:r>
        <w:t>Current state</w:t>
      </w:r>
      <w:bookmarkEnd w:id="144"/>
    </w:p>
    <w:p w14:paraId="5A0224F1" w14:textId="3DDF066B" w:rsidR="00495801" w:rsidRPr="00500EBB" w:rsidRDefault="00495801" w:rsidP="001C1820">
      <w:pPr>
        <w:pStyle w:val="USBodyText"/>
        <w:spacing w:after="60"/>
      </w:pPr>
      <w:r w:rsidRPr="00500EBB">
        <w:t xml:space="preserve">Recent amendments by the </w:t>
      </w:r>
      <w:r w:rsidR="00246D15">
        <w:t xml:space="preserve">Teaching Council of Aotearoa New Zealand </w:t>
      </w:r>
      <w:r w:rsidRPr="00500EBB">
        <w:t xml:space="preserve">have strengthened expectations for student teachers and brought Aotearoa New Zealand closer to comparable </w:t>
      </w:r>
      <w:r w:rsidRPr="00500EBB">
        <w:lastRenderedPageBreak/>
        <w:t xml:space="preserve">jurisdictions that require evidence of personal literacy and numeracy capability. These amendments include: </w:t>
      </w:r>
    </w:p>
    <w:p w14:paraId="1F5026D1" w14:textId="77777777" w:rsidR="00495801" w:rsidRPr="00862D67" w:rsidRDefault="00495801" w:rsidP="008B35AC">
      <w:pPr>
        <w:pStyle w:val="USBullet1"/>
      </w:pPr>
      <w:r w:rsidRPr="00862D67">
        <w:t>An additional requirement to demonstrate competence in mathematics for English-medium primary programmes</w:t>
      </w:r>
    </w:p>
    <w:p w14:paraId="4025FBB0" w14:textId="0A121C0D" w:rsidR="00E055DC" w:rsidRDefault="00495801" w:rsidP="001C1820">
      <w:pPr>
        <w:pStyle w:val="USBullet1"/>
        <w:spacing w:after="180"/>
      </w:pPr>
      <w:r w:rsidRPr="00862D67">
        <w:t>Changes to English language competency requirements for applicants who completed schooling or tertiary study in the Pacific region</w:t>
      </w:r>
      <w:r w:rsidR="000D22CF">
        <w:t>.</w:t>
      </w:r>
    </w:p>
    <w:p w14:paraId="205DB660" w14:textId="0D552CF2" w:rsidR="00495801" w:rsidRDefault="00495801" w:rsidP="008B35AC">
      <w:pPr>
        <w:pStyle w:val="USBodyText"/>
      </w:pPr>
      <w:r>
        <w:t xml:space="preserve">Numeracy is now assessed through a single national tool, </w:t>
      </w:r>
      <w:r w:rsidRPr="00C15D02">
        <w:t xml:space="preserve">with student teachers </w:t>
      </w:r>
      <w:r w:rsidR="0C583AD0" w:rsidRPr="00C15D02">
        <w:t>entering English-medium primary ITE Programmes</w:t>
      </w:r>
      <w:r w:rsidR="0C583AD0">
        <w:t xml:space="preserve"> are </w:t>
      </w:r>
      <w:r>
        <w:t>required to pass the mathematics component of the Literacy and Numeracy for Adults Assessment Tool (LNAAT), providing a common measure of numeracy capability across relevant programmes.</w:t>
      </w:r>
    </w:p>
    <w:p w14:paraId="462A3EC4" w14:textId="1B595373" w:rsidR="00495801" w:rsidRPr="00500EBB" w:rsidRDefault="00495801" w:rsidP="008B35AC">
      <w:pPr>
        <w:pStyle w:val="USBodyText"/>
      </w:pPr>
      <w:r>
        <w:t>By contrast, literacy assessments remain largely provider-led, with individual providers developing and administering their own assessment tools. This can require applicants applying to multiple programmes to complete multiple tests, creating duplication for applicants and providers and limiting system-wide assurance that candidates are being assessed against comparable thresholds. This approach can be administratively burdensome and resource intensive for providers.</w:t>
      </w:r>
      <w:r w:rsidR="00F65692">
        <w:t xml:space="preserve"> </w:t>
      </w:r>
    </w:p>
    <w:p w14:paraId="5DB6C064" w14:textId="414F0DC1" w:rsidR="00495801" w:rsidRPr="00862D67" w:rsidRDefault="4D339DA1" w:rsidP="00354639">
      <w:pPr>
        <w:pStyle w:val="Heading4"/>
      </w:pPr>
      <w:bookmarkStart w:id="145" w:name="_Toc251754275"/>
      <w:r>
        <w:t>The opportunity</w:t>
      </w:r>
      <w:bookmarkEnd w:id="145"/>
    </w:p>
    <w:p w14:paraId="77DC2A9B" w14:textId="369D7F5E" w:rsidR="005747B5" w:rsidRPr="00873895" w:rsidRDefault="00A6211F" w:rsidP="045E5A3E">
      <w:pPr>
        <w:pStyle w:val="USBodyText"/>
        <w:rPr>
          <w:lang w:val="en-AU"/>
        </w:rPr>
      </w:pPr>
      <w:r>
        <w:t xml:space="preserve">The </w:t>
      </w:r>
      <w:r w:rsidR="001B04A3">
        <w:t>available</w:t>
      </w:r>
      <w:r>
        <w:t xml:space="preserve"> evidence doesn’t suggest a need to fundamentally reconsider the current entry requirements or alter the thresholds expect</w:t>
      </w:r>
      <w:r w:rsidRPr="045E5A3E">
        <w:rPr>
          <w:lang w:val="en-AU"/>
        </w:rPr>
        <w:t xml:space="preserve">ed of </w:t>
      </w:r>
      <w:r w:rsidR="001B04A3" w:rsidRPr="045E5A3E">
        <w:rPr>
          <w:lang w:val="en-AU"/>
        </w:rPr>
        <w:t xml:space="preserve">applicants. </w:t>
      </w:r>
      <w:r w:rsidR="00873895" w:rsidRPr="045E5A3E">
        <w:rPr>
          <w:lang w:val="en-AU"/>
        </w:rPr>
        <w:t xml:space="preserve">There is no single approach to entry requirements across comparable professions, with different professions placing varying emphasis on academic attainment, literacy and numeracy, personal attributes and fitness to practice. </w:t>
      </w:r>
      <w:r w:rsidR="00B61662" w:rsidRPr="045E5A3E">
        <w:rPr>
          <w:lang w:val="en-AU"/>
        </w:rPr>
        <w:t xml:space="preserve">Consistent with good regulatory practice, regulatory </w:t>
      </w:r>
      <w:r w:rsidR="00C90BAC" w:rsidRPr="045E5A3E">
        <w:rPr>
          <w:lang w:val="en-AU"/>
        </w:rPr>
        <w:t xml:space="preserve">requirements should </w:t>
      </w:r>
      <w:r w:rsidR="00B37762" w:rsidRPr="045E5A3E">
        <w:rPr>
          <w:lang w:val="en-AU"/>
        </w:rPr>
        <w:t>not be substantially change</w:t>
      </w:r>
      <w:r w:rsidR="00997C87" w:rsidRPr="045E5A3E">
        <w:rPr>
          <w:lang w:val="en-AU"/>
        </w:rPr>
        <w:t>d</w:t>
      </w:r>
      <w:r w:rsidR="00B37762" w:rsidRPr="045E5A3E">
        <w:rPr>
          <w:lang w:val="en-AU"/>
        </w:rPr>
        <w:t xml:space="preserve"> in the absence of</w:t>
      </w:r>
      <w:r w:rsidR="00C90BAC" w:rsidRPr="045E5A3E">
        <w:rPr>
          <w:lang w:val="en-AU"/>
        </w:rPr>
        <w:t xml:space="preserve"> a clearly identified problem. In this case, the strongest opportunity for improvement relates to how some requirements are assessed, rather than the requirements themselves. </w:t>
      </w:r>
    </w:p>
    <w:p w14:paraId="46FF9857" w14:textId="062E2BDF" w:rsidR="00495801" w:rsidRPr="00500EBB" w:rsidRDefault="27046709" w:rsidP="008B35AC">
      <w:pPr>
        <w:pStyle w:val="USBodyText"/>
      </w:pPr>
      <w:r>
        <w:t xml:space="preserve">While the current entry requirements should be retained, </w:t>
      </w:r>
      <w:r w:rsidR="78D33706">
        <w:t>the literacy assessment should move towards the same national approach now used for numeracy. Extending the use of the LNAAT would provide a single</w:t>
      </w:r>
      <w:r w:rsidR="21FC8E5C">
        <w:t xml:space="preserve"> </w:t>
      </w:r>
      <w:r w:rsidR="6F6D060E">
        <w:t xml:space="preserve">nationally consistent </w:t>
      </w:r>
      <w:r w:rsidR="78D33706">
        <w:t xml:space="preserve">mechanism across providers and establish a </w:t>
      </w:r>
      <w:r w:rsidR="6F6D060E">
        <w:t xml:space="preserve">more </w:t>
      </w:r>
      <w:r>
        <w:t>efficie</w:t>
      </w:r>
      <w:r w:rsidR="21FC8E5C">
        <w:t>nt</w:t>
      </w:r>
      <w:r>
        <w:t xml:space="preserve"> literacy assessment within the existing framework.</w:t>
      </w:r>
      <w:r w:rsidR="1F8BE1B5">
        <w:t xml:space="preserve"> There may be other suggestions of different, but nationally consistent approaches.</w:t>
      </w:r>
    </w:p>
    <w:p w14:paraId="56841D8B" w14:textId="0C8FC5D0" w:rsidR="00495801" w:rsidRPr="00500EBB" w:rsidRDefault="00495801" w:rsidP="008B35AC">
      <w:pPr>
        <w:pStyle w:val="USBodyText"/>
      </w:pPr>
      <w:r>
        <w:t xml:space="preserve">A common approach would </w:t>
      </w:r>
      <w:r w:rsidR="00A60E69">
        <w:t xml:space="preserve">improve comparability across providers, reduce duplication for applicants and providers, and strengthen confidence that candidates are being assessed against the same threshold. It would </w:t>
      </w:r>
      <w:r>
        <w:t>establish a shared assessment mechanism across providers, creating a more streamlined entry assessment system while allowing providers to focus their efforts on the broader components of candidate selection. Comparable jurisdictions, including Australia and England, have adopted centralised approaches.</w:t>
      </w:r>
    </w:p>
    <w:p w14:paraId="256E3277" w14:textId="170F814A" w:rsidR="00495801" w:rsidRPr="00862D67" w:rsidRDefault="2F9F5526" w:rsidP="00354639">
      <w:pPr>
        <w:pStyle w:val="Heading4"/>
      </w:pPr>
      <w:bookmarkStart w:id="146" w:name="_Toc1667618288"/>
      <w:r>
        <w:lastRenderedPageBreak/>
        <w:t>What would change</w:t>
      </w:r>
      <w:bookmarkEnd w:id="146"/>
    </w:p>
    <w:p w14:paraId="0F92D853" w14:textId="02C5D8D4" w:rsidR="00495801" w:rsidRPr="00500EBB" w:rsidRDefault="51E7D5B7" w:rsidP="65C5DE98">
      <w:pPr>
        <w:pStyle w:val="USBodyText"/>
      </w:pPr>
      <w:r>
        <w:t>The ITE Programme Requirements</w:t>
      </w:r>
      <w:r w:rsidR="27046709">
        <w:t xml:space="preserve"> </w:t>
      </w:r>
      <w:r w:rsidR="398F9533">
        <w:t xml:space="preserve">would </w:t>
      </w:r>
      <w:r w:rsidR="27046709">
        <w:t>retain the current entry standards</w:t>
      </w:r>
      <w:r w:rsidR="632D4CD8">
        <w:t xml:space="preserve"> while extending the use of the LNAAT</w:t>
      </w:r>
      <w:r w:rsidR="5A0AD6B5">
        <w:t>, or another nationally agreed tool,</w:t>
      </w:r>
      <w:r w:rsidR="632D4CD8">
        <w:t xml:space="preserve"> as the </w:t>
      </w:r>
      <w:r w:rsidR="27046709">
        <w:t xml:space="preserve">national common assessment mechanism for literacy. </w:t>
      </w:r>
      <w:r w:rsidR="50A4603D">
        <w:t>This would align literacy assessment with the existing national approach for numeracy and provide</w:t>
      </w:r>
      <w:r w:rsidR="566EF5BA">
        <w:t xml:space="preserve"> </w:t>
      </w:r>
      <w:r w:rsidR="27046709">
        <w:t xml:space="preserve">comparable assurance across providers. </w:t>
      </w:r>
    </w:p>
    <w:p w14:paraId="0F819A82" w14:textId="0D91D49E" w:rsidR="00495801" w:rsidRPr="00500EBB" w:rsidRDefault="00495801" w:rsidP="65C5DE98">
      <w:pPr>
        <w:pStyle w:val="USBodyText"/>
      </w:pPr>
      <w:r>
        <w:t xml:space="preserve">Any move towards a common literacy assessment should complement, rather than replace existing requirements that are not captured by LNAAT and sit outside of literacy and numeracy. In particular, providers </w:t>
      </w:r>
      <w:r w:rsidR="7ED442D8">
        <w:t>would</w:t>
      </w:r>
      <w:r>
        <w:t xml:space="preserve"> continue to assess an applicant’s proficiency in te reo Māori upon entry. </w:t>
      </w:r>
    </w:p>
    <w:p w14:paraId="7A112319" w14:textId="75991251" w:rsidR="00495801" w:rsidRPr="00500EBB" w:rsidRDefault="00495801" w:rsidP="008B35AC">
      <w:pPr>
        <w:pStyle w:val="USBodyText"/>
      </w:pPr>
      <w:r w:rsidRPr="00500EBB">
        <w:t xml:space="preserve">The </w:t>
      </w:r>
      <w:r w:rsidR="00246D15">
        <w:t xml:space="preserve">Teaching Council of Aotearoa New Zealand </w:t>
      </w:r>
      <w:r w:rsidRPr="00500EBB">
        <w:t>should also consider whether validated tools (e.g. Casper)</w:t>
      </w:r>
      <w:r w:rsidRPr="43B75BAF">
        <w:rPr>
          <w:rStyle w:val="FootnoteReference"/>
          <w:rFonts w:ascii="Aptos" w:hAnsi="Aptos"/>
        </w:rPr>
        <w:footnoteReference w:id="46"/>
      </w:r>
      <w:r w:rsidRPr="00500EBB">
        <w:t xml:space="preserve"> could support more consistent assessment of professional dispositions, while recognising that interviews and provider judgement may continue to play a role in selection. </w:t>
      </w:r>
    </w:p>
    <w:p w14:paraId="7E7C66EC" w14:textId="77777777" w:rsidR="00495801" w:rsidRPr="00500EBB" w:rsidRDefault="1356E143" w:rsidP="008B35AC">
      <w:pPr>
        <w:pStyle w:val="USBodyText"/>
      </w:pPr>
      <w:r>
        <w:t>This would maintain the current standard for entry while reducing duplication, improving comparability across providers, and strengthening confidence in candidate quality.</w:t>
      </w:r>
    </w:p>
    <w:p w14:paraId="5FC67558" w14:textId="67DAA430" w:rsidR="11E933E5" w:rsidRDefault="1C4648AB" w:rsidP="1709B4D8">
      <w:pPr>
        <w:pStyle w:val="Heading4"/>
      </w:pPr>
      <w:bookmarkStart w:id="147" w:name="_Toc766243828"/>
      <w:r>
        <w:t>Implementation considerations</w:t>
      </w:r>
      <w:bookmarkEnd w:id="147"/>
    </w:p>
    <w:p w14:paraId="182B5C05" w14:textId="347E454D" w:rsidR="11E933E5" w:rsidRPr="00F36D82" w:rsidRDefault="1C4648AB" w:rsidP="00F36D82">
      <w:pPr>
        <w:pStyle w:val="USBodyText"/>
      </w:pPr>
      <w:r w:rsidRPr="00F36D82">
        <w:t xml:space="preserve">Introducing a common literacy assessment mechanism or professional disposition </w:t>
      </w:r>
      <w:r w:rsidR="4221E9C4" w:rsidRPr="00F36D82">
        <w:t xml:space="preserve">assessment </w:t>
      </w:r>
      <w:r w:rsidRPr="00F36D82">
        <w:t xml:space="preserve">would require consideration of the most appropriate assessment tool and how </w:t>
      </w:r>
      <w:r w:rsidR="00061BD9">
        <w:t>it interacts</w:t>
      </w:r>
      <w:r w:rsidRPr="00F36D82">
        <w:t xml:space="preserve"> with existing provider selection processes. Transition arrangements for providers and applica</w:t>
      </w:r>
      <w:r w:rsidR="6807C479" w:rsidRPr="00F36D82">
        <w:t xml:space="preserve">nts would need to be considered, alongside implications for provider workload, candidate experience and access. Any changes would need to complement, rather than replace, provider assessment requirements that sit outside of literacy, numeracy and professional disposition, including te reo </w:t>
      </w:r>
      <w:r w:rsidR="761DCBE4" w:rsidRPr="00F36D82">
        <w:t>Māori proficiency.</w:t>
      </w:r>
    </w:p>
    <w:p w14:paraId="3675D3EA" w14:textId="2363A8CC" w:rsidR="32BAFC5A" w:rsidRPr="00F36D82" w:rsidRDefault="39C39F0B" w:rsidP="001C1820">
      <w:pPr>
        <w:pStyle w:val="USBodyText"/>
        <w:spacing w:after="60"/>
      </w:pPr>
      <w:r w:rsidRPr="00F36D82">
        <w:t>Particular consideration should be given to</w:t>
      </w:r>
      <w:r w:rsidR="1C4648AB" w:rsidRPr="00F36D82">
        <w:t>:</w:t>
      </w:r>
    </w:p>
    <w:p w14:paraId="42236618" w14:textId="77777777" w:rsidR="11E933E5" w:rsidRPr="00F36D82" w:rsidRDefault="1C4648AB" w:rsidP="00F36D82">
      <w:pPr>
        <w:pStyle w:val="USBullet1"/>
      </w:pPr>
      <w:r w:rsidRPr="00F36D82">
        <w:t xml:space="preserve">The limitations and risks associated with assessing dispositions, including questions of construct validity, cultural bias, accessibility for neurodiverse and disabled applicants, and the inappropriate use of personality profiling. </w:t>
      </w:r>
    </w:p>
    <w:p w14:paraId="619EC131" w14:textId="77777777" w:rsidR="11E933E5" w:rsidRPr="00F36D82" w:rsidRDefault="1C4648AB" w:rsidP="001C1820">
      <w:pPr>
        <w:pStyle w:val="USBullet1"/>
        <w:spacing w:after="360"/>
      </w:pPr>
      <w:r w:rsidRPr="00F36D82">
        <w:t>Potential implications for workforce supply, including how entry and exit requirements interact with the overall pipeline into teaching. This issue sits outside the scope of this review but should be monitored as part of implementation.</w:t>
      </w:r>
    </w:p>
    <w:tbl>
      <w:tblPr>
        <w:tblStyle w:val="TableGrid"/>
        <w:tblW w:w="0" w:type="auto"/>
        <w:tblCellMar>
          <w:top w:w="198" w:type="dxa"/>
          <w:left w:w="170" w:type="dxa"/>
          <w:bottom w:w="198" w:type="dxa"/>
          <w:right w:w="170" w:type="dxa"/>
        </w:tblCellMar>
        <w:tblLook w:val="06A0" w:firstRow="1" w:lastRow="0" w:firstColumn="1" w:lastColumn="0" w:noHBand="1" w:noVBand="1"/>
      </w:tblPr>
      <w:tblGrid>
        <w:gridCol w:w="9060"/>
      </w:tblGrid>
      <w:tr w:rsidR="788B8F3F" w14:paraId="1C7C0AD8" w14:textId="77777777" w:rsidTr="00F36D82">
        <w:trPr>
          <w:trHeight w:val="300"/>
        </w:trPr>
        <w:tc>
          <w:tcPr>
            <w:tcW w:w="9060" w:type="dxa"/>
            <w:tcBorders>
              <w:top w:val="nil"/>
              <w:left w:val="nil"/>
              <w:bottom w:val="nil"/>
              <w:right w:val="nil"/>
            </w:tcBorders>
            <w:shd w:val="clear" w:color="auto" w:fill="D5E4E6" w:themeFill="accent1" w:themeFillTint="33"/>
          </w:tcPr>
          <w:p w14:paraId="1EAE15A9" w14:textId="394D6738" w:rsidR="11E933E5" w:rsidRDefault="1C4648AB" w:rsidP="00F36D82">
            <w:pPr>
              <w:pStyle w:val="Heading4"/>
              <w:spacing w:before="0"/>
            </w:pPr>
            <w:bookmarkStart w:id="148" w:name="_Toc1414513536"/>
            <w:r>
              <w:lastRenderedPageBreak/>
              <w:t>For discussion:</w:t>
            </w:r>
            <w:bookmarkEnd w:id="148"/>
          </w:p>
          <w:p w14:paraId="69AAE902" w14:textId="56EB6824" w:rsidR="1B5A932F" w:rsidRDefault="3CA5CFE9" w:rsidP="00F36D82">
            <w:pPr>
              <w:pStyle w:val="USBullet1"/>
              <w:spacing w:before="120" w:after="120"/>
            </w:pPr>
            <w:r>
              <w:t xml:space="preserve">To what extent do you agree with the rationale for this opportunity? </w:t>
            </w:r>
          </w:p>
          <w:p w14:paraId="666C9A39" w14:textId="0445BF2E" w:rsidR="1B5A932F" w:rsidRDefault="3CA5CFE9" w:rsidP="00F36D82">
            <w:pPr>
              <w:pStyle w:val="USBullet1"/>
              <w:spacing w:before="120" w:after="120"/>
            </w:pPr>
            <w:r>
              <w:t xml:space="preserve">Are there alternative approaches that you would recommend instead? </w:t>
            </w:r>
          </w:p>
          <w:p w14:paraId="33014B0D" w14:textId="546DEC07" w:rsidR="7DC1B9FC" w:rsidRPr="00F36D82" w:rsidRDefault="3CA5CFE9" w:rsidP="00F36D82">
            <w:pPr>
              <w:pStyle w:val="USBullet1"/>
              <w:spacing w:before="120" w:after="120"/>
            </w:pPr>
            <w:r>
              <w:t>What costs, risks, or unintended consequences should be considered?</w:t>
            </w:r>
          </w:p>
        </w:tc>
      </w:tr>
    </w:tbl>
    <w:p w14:paraId="6676489A" w14:textId="77777777" w:rsidR="001C1820" w:rsidRDefault="001C1820" w:rsidP="001C1820">
      <w:pPr>
        <w:pStyle w:val="USWhiteSpaceAfterTable"/>
      </w:pPr>
      <w:bookmarkStart w:id="149" w:name="_Toc234512882"/>
      <w:bookmarkStart w:id="150" w:name="_Toc236686038"/>
    </w:p>
    <w:p w14:paraId="633AD2F2" w14:textId="0CD87111" w:rsidR="00495801" w:rsidRPr="00984575" w:rsidRDefault="4D339DA1" w:rsidP="00495801">
      <w:pPr>
        <w:pStyle w:val="Heading3"/>
      </w:pPr>
      <w:bookmarkStart w:id="151" w:name="_Toc241658046"/>
      <w:r>
        <w:t>Opportunity 5: Introduce greater specificity regarding required content aligned with the 2026 Standards</w:t>
      </w:r>
      <w:r w:rsidR="289C088E">
        <w:t xml:space="preserve"> for the Teaching Profession</w:t>
      </w:r>
      <w:r>
        <w:t>.</w:t>
      </w:r>
      <w:bookmarkEnd w:id="149"/>
      <w:bookmarkEnd w:id="150"/>
      <w:bookmarkEnd w:id="151"/>
    </w:p>
    <w:p w14:paraId="62BB7DB5" w14:textId="3E3AF236" w:rsidR="00495801" w:rsidRPr="00862D67" w:rsidRDefault="4D339DA1" w:rsidP="00354639">
      <w:pPr>
        <w:pStyle w:val="Heading4"/>
      </w:pPr>
      <w:bookmarkStart w:id="152" w:name="_Toc1439046522"/>
      <w:r>
        <w:t>Current state</w:t>
      </w:r>
      <w:bookmarkEnd w:id="152"/>
    </w:p>
    <w:p w14:paraId="4DD262E4" w14:textId="3ED57BA7" w:rsidR="00495801" w:rsidRPr="00500EBB" w:rsidRDefault="00495801" w:rsidP="008B35AC">
      <w:pPr>
        <w:pStyle w:val="USBodyText"/>
      </w:pPr>
      <w:r>
        <w:t xml:space="preserve">Under the </w:t>
      </w:r>
      <w:r w:rsidR="5AB41153">
        <w:t>current ITE Programme Requirements</w:t>
      </w:r>
      <w:r>
        <w:t xml:space="preserve">, providers interpret and operationalise </w:t>
      </w:r>
      <w:r w:rsidR="00C702BB">
        <w:t>the Standards for the Teaching Profession</w:t>
      </w:r>
      <w:r>
        <w:t xml:space="preserve"> through their own conceptual frameworks, determining what student teachers must learn to meet those standards in a supported environment. The programme’s conceptual framework also incorporates provision of Mātauranga Māori and interrelated connections between </w:t>
      </w:r>
      <w:r w:rsidR="00C702BB">
        <w:t>the Standards for the Teaching Profession</w:t>
      </w:r>
      <w:r>
        <w:t xml:space="preserve">. </w:t>
      </w:r>
    </w:p>
    <w:p w14:paraId="1B28B260" w14:textId="0D4DFD45" w:rsidR="00495801" w:rsidRPr="00500EBB" w:rsidRDefault="00495801" w:rsidP="008B35AC">
      <w:pPr>
        <w:pStyle w:val="USBodyText"/>
      </w:pPr>
      <w:r w:rsidRPr="00500EBB">
        <w:t xml:space="preserve">While this supports diversity of programme design, placing the onus on providers to unpack </w:t>
      </w:r>
      <w:r w:rsidR="00C702BB">
        <w:t>the Standards for the Teaching Profession</w:t>
      </w:r>
      <w:r w:rsidRPr="00500EBB">
        <w:t xml:space="preserve"> means there </w:t>
      </w:r>
      <w:r>
        <w:t>are</w:t>
      </w:r>
      <w:r w:rsidRPr="00500EBB">
        <w:t xml:space="preserve"> inconsistent interpretations about the essential knowledge and practices that all student teachers should be able to demonstrate at the point of entry into the profession. It also places burden on each provider to independently interpret and determine what the revised Standards mean for the curriculum of ITE programmes. </w:t>
      </w:r>
    </w:p>
    <w:p w14:paraId="034FD5C9" w14:textId="2271190E" w:rsidR="00495801" w:rsidRPr="00500EBB" w:rsidRDefault="00495801" w:rsidP="008B35AC">
      <w:pPr>
        <w:pStyle w:val="USBodyText"/>
      </w:pPr>
      <w:r w:rsidRPr="00500EBB">
        <w:t>Recent changes to the</w:t>
      </w:r>
      <w:r w:rsidR="242530F1">
        <w:t xml:space="preserve"> ITE Programme</w:t>
      </w:r>
      <w:r w:rsidRPr="00500EBB">
        <w:t xml:space="preserve"> Requirements policy introducing model Key Teaching Tasks (KTTs) are </w:t>
      </w:r>
      <w:r>
        <w:t xml:space="preserve">a </w:t>
      </w:r>
      <w:r w:rsidRPr="00500EBB">
        <w:t>constructive ste</w:t>
      </w:r>
      <w:r>
        <w:t>p</w:t>
      </w:r>
      <w:r w:rsidRPr="00500EBB">
        <w:t xml:space="preserve"> towards great</w:t>
      </w:r>
      <w:r>
        <w:t>er</w:t>
      </w:r>
      <w:r w:rsidRPr="00500EBB">
        <w:t xml:space="preserve"> clarity and consistency in curriculum expectations. KTTs are determined by providers as part of an ITE programme’s assessment framework and identify 10-15 tasks that a </w:t>
      </w:r>
      <w:r>
        <w:t>student</w:t>
      </w:r>
      <w:r w:rsidRPr="00500EBB">
        <w:t xml:space="preserve"> teacher must be able to carry out independently to be ready for the classroom. The introduction of the model KTTs for explicit instruction and phonics illustrate how evidence-based teaching practices can be identified and embedded in expectations for programmes. However, the current approach of providing model KTTs is limited: the tasks are not mandatory, only relate to Primary programmes, and address only a narrow subset of the practices student teachers need to be capable of demonstrating. Model KTTs point in the right direction, but do not yet provide a coherent and shared curriculum foundation for ITE as a whole. </w:t>
      </w:r>
    </w:p>
    <w:p w14:paraId="28C92962" w14:textId="2176DD91" w:rsidR="00495801" w:rsidRPr="00862D67" w:rsidRDefault="4D339DA1" w:rsidP="00354639">
      <w:pPr>
        <w:pStyle w:val="Heading4"/>
      </w:pPr>
      <w:bookmarkStart w:id="153" w:name="_Toc2012534026"/>
      <w:r>
        <w:t>The opportunity</w:t>
      </w:r>
      <w:bookmarkEnd w:id="153"/>
      <w:r w:rsidR="00495801">
        <w:t xml:space="preserve"> </w:t>
      </w:r>
    </w:p>
    <w:p w14:paraId="48455245" w14:textId="13337503" w:rsidR="00495801" w:rsidRPr="00500EBB" w:rsidRDefault="1356E143" w:rsidP="008B35AC">
      <w:pPr>
        <w:pStyle w:val="USBodyText"/>
      </w:pPr>
      <w:r>
        <w:t>The introduction of the 2026 Standards</w:t>
      </w:r>
      <w:r w:rsidR="79D5F9B5">
        <w:t xml:space="preserve"> for the Teaching Profession</w:t>
      </w:r>
      <w:r>
        <w:t xml:space="preserve"> creates a timely opportunity to strengthen the </w:t>
      </w:r>
      <w:r w:rsidR="0960D603">
        <w:t xml:space="preserve">ITE Programme </w:t>
      </w:r>
      <w:r>
        <w:t>Requirements by defining, with greater specificity, the essential knowledge</w:t>
      </w:r>
      <w:r w:rsidR="1C99CA66">
        <w:t xml:space="preserve">, </w:t>
      </w:r>
      <w:r>
        <w:t>practices</w:t>
      </w:r>
      <w:r w:rsidR="1C99CA66">
        <w:t xml:space="preserve"> and capabilities</w:t>
      </w:r>
      <w:r>
        <w:t xml:space="preserve"> that all student teachers should learn before entry to the profession. As </w:t>
      </w:r>
      <w:r w:rsidR="5B09ED61">
        <w:t>the Standards for the Teaching Profession</w:t>
      </w:r>
      <w:r>
        <w:t xml:space="preserve"> provide greater clarity and raise expectations </w:t>
      </w:r>
      <w:r>
        <w:lastRenderedPageBreak/>
        <w:t xml:space="preserve">of what effective teaching requires, the </w:t>
      </w:r>
      <w:r w:rsidR="0960D603">
        <w:t xml:space="preserve">ITE Programme </w:t>
      </w:r>
      <w:r>
        <w:t>Requirements s</w:t>
      </w:r>
      <w:r w:rsidRPr="00C15D02">
        <w:t xml:space="preserve">hould </w:t>
      </w:r>
      <w:r w:rsidR="280B4B3E" w:rsidRPr="00C15D02">
        <w:t>build on this to defin</w:t>
      </w:r>
      <w:r w:rsidR="280B4B3E">
        <w:t>e</w:t>
      </w:r>
      <w:r>
        <w:t xml:space="preserve"> the knowledge and practices ITE programmes should deliver to ensure graduates can meet those expectations in practice. </w:t>
      </w:r>
    </w:p>
    <w:p w14:paraId="3C2CB91B" w14:textId="76EE41E1" w:rsidR="2BEBDE5D" w:rsidRDefault="2BEBDE5D" w:rsidP="788B8F3F">
      <w:pPr>
        <w:pStyle w:val="USBodyText"/>
      </w:pPr>
      <w:r>
        <w:t>The revised Standards</w:t>
      </w:r>
      <w:r w:rsidR="25899A83">
        <w:t xml:space="preserve"> for the Teaching Profession</w:t>
      </w:r>
      <w:r>
        <w:t xml:space="preserve">, </w:t>
      </w:r>
      <w:r w:rsidR="4AD29390">
        <w:t xml:space="preserve">alongside </w:t>
      </w:r>
      <w:r>
        <w:t>the robust evidence base and increasing professional consensus around effective teaching practices</w:t>
      </w:r>
      <w:r w:rsidR="3A008E39">
        <w:t>,</w:t>
      </w:r>
      <w:r>
        <w:t xml:space="preserve"> provide a firmer foundation for defining what student teachers should be prepared to know and do at the point of entry to the profession than has previously been available. </w:t>
      </w:r>
      <w:r w:rsidR="6C939807">
        <w:t xml:space="preserve">This does not mean that the curriculum for ITE programmes should become narrowly prescribed or that provider discretion should be removed. Consistent with good regulatory practice, the </w:t>
      </w:r>
      <w:r w:rsidR="206E94BE">
        <w:t>ITE Programme Requirements</w:t>
      </w:r>
      <w:r w:rsidR="6C939807">
        <w:t xml:space="preserve"> should provide sufficient clarity and assurance about what graduates must know and be able to do, while preserving flexibility for providers to exercise professional judgement and respond to context. </w:t>
      </w:r>
    </w:p>
    <w:p w14:paraId="7E37A200" w14:textId="06079560" w:rsidR="00495801" w:rsidRPr="00500EBB" w:rsidRDefault="00495801" w:rsidP="008B35AC">
      <w:pPr>
        <w:pStyle w:val="USBodyText"/>
      </w:pPr>
      <w:r w:rsidRPr="00500EBB">
        <w:t>International research on ITE programme design also emphasises that standards alone may be insufficient to define the professional knowledge base required for teaching and ensure there is a consistent understanding of corresponding curriculum expectations for ITE programmes.</w:t>
      </w:r>
      <w:r w:rsidRPr="045E5A3E">
        <w:rPr>
          <w:rStyle w:val="FootnoteReference"/>
          <w:rFonts w:ascii="Aptos" w:hAnsi="Aptos"/>
        </w:rPr>
        <w:footnoteReference w:id="47"/>
      </w:r>
      <w:r>
        <w:rPr>
          <w:vertAlign w:val="superscript"/>
        </w:rPr>
        <w:t xml:space="preserve"> </w:t>
      </w:r>
      <w:r w:rsidRPr="00500EBB">
        <w:t>High-q</w:t>
      </w:r>
      <w:r>
        <w:t>uality ITE programmes specify what teachers must know and be able to do, and provide explicit core content covering learning and development, subject matter, pedagogy, and assessment.</w:t>
      </w:r>
      <w:r w:rsidRPr="6D898266">
        <w:rPr>
          <w:rStyle w:val="FootnoteReference"/>
          <w:rFonts w:ascii="Aptos" w:hAnsi="Aptos"/>
        </w:rPr>
        <w:footnoteReference w:id="48"/>
      </w:r>
      <w:r w:rsidR="00F65692">
        <w:t xml:space="preserve"> </w:t>
      </w:r>
      <w:r>
        <w:t>Programmes that coherently integrate this content across coursework and practice more effectively support the development of deep professional understanding and application in context.</w:t>
      </w:r>
      <w:r w:rsidRPr="6D898266">
        <w:rPr>
          <w:rStyle w:val="FootnoteReference"/>
          <w:rFonts w:ascii="Aptos" w:hAnsi="Aptos"/>
        </w:rPr>
        <w:footnoteReference w:id="49"/>
      </w:r>
      <w:r w:rsidR="00F65692">
        <w:t xml:space="preserve"> </w:t>
      </w:r>
    </w:p>
    <w:p w14:paraId="374EDC00" w14:textId="2E6592C1" w:rsidR="00495801" w:rsidRDefault="00495801" w:rsidP="001C1820">
      <w:pPr>
        <w:pStyle w:val="USBodyText"/>
        <w:spacing w:after="60"/>
      </w:pPr>
      <w:r>
        <w:t xml:space="preserve">Defining and introducing a </w:t>
      </w:r>
      <w:r w:rsidR="001C1820">
        <w:t>“</w:t>
      </w:r>
      <w:r>
        <w:t>shared core</w:t>
      </w:r>
      <w:r w:rsidR="001C1820">
        <w:t>”</w:t>
      </w:r>
      <w:r>
        <w:t xml:space="preserve"> that must be included in an ITE programme would:</w:t>
      </w:r>
    </w:p>
    <w:p w14:paraId="675ACB88" w14:textId="286AE802" w:rsidR="00495801" w:rsidRPr="0045019B" w:rsidRDefault="00495801" w:rsidP="008B35AC">
      <w:pPr>
        <w:pStyle w:val="USBullet1"/>
      </w:pPr>
      <w:r w:rsidRPr="0045019B">
        <w:t xml:space="preserve">Codify and make explicit, at a system level, what unpacking </w:t>
      </w:r>
      <w:r w:rsidR="00C702BB">
        <w:t>the Standards for the Teaching Profession</w:t>
      </w:r>
      <w:r w:rsidRPr="0045019B">
        <w:t xml:space="preserve"> looks like in terms of the knowledge and practices student teachers should learn, drawing on the strongest available evidence about effective teaching for the Aotearoa New Zealand context. </w:t>
      </w:r>
    </w:p>
    <w:p w14:paraId="213F10F3" w14:textId="77777777" w:rsidR="00495801" w:rsidRPr="0045019B" w:rsidRDefault="00495801" w:rsidP="008B35AC">
      <w:pPr>
        <w:pStyle w:val="USBullet1"/>
      </w:pPr>
      <w:r w:rsidRPr="0045019B">
        <w:t xml:space="preserve">Establish a clear, shared foundation for ITE, while still allowing flexibility in delivery and contextualisation. </w:t>
      </w:r>
    </w:p>
    <w:p w14:paraId="0B7A0D60" w14:textId="13BF85C2" w:rsidR="00495801" w:rsidRPr="0045019B" w:rsidRDefault="4D339DA1" w:rsidP="008B35AC">
      <w:pPr>
        <w:pStyle w:val="USBullet1"/>
      </w:pPr>
      <w:r>
        <w:t>Support great</w:t>
      </w:r>
      <w:r w:rsidR="56B4A43A">
        <w:t>er</w:t>
      </w:r>
      <w:r>
        <w:t xml:space="preserve"> efficiency and consistency across the system, by reducing duplication of effort and the risk of inconsistent interpretation of the revised Standards.</w:t>
      </w:r>
    </w:p>
    <w:p w14:paraId="645FE035" w14:textId="77777777" w:rsidR="00495801" w:rsidRPr="0045019B" w:rsidRDefault="00495801" w:rsidP="001C1820">
      <w:pPr>
        <w:pStyle w:val="USBullet1"/>
        <w:spacing w:after="180"/>
      </w:pPr>
      <w:r w:rsidRPr="0045019B">
        <w:t xml:space="preserve">Strengthen system confidence that all ITE graduates meet a consistent expectation of readiness for the classroom. </w:t>
      </w:r>
    </w:p>
    <w:p w14:paraId="4D294445" w14:textId="25D3408B" w:rsidR="00495801" w:rsidRPr="00862D67" w:rsidRDefault="2F9F5526" w:rsidP="00354639">
      <w:pPr>
        <w:pStyle w:val="Heading4"/>
      </w:pPr>
      <w:bookmarkStart w:id="154" w:name="_Toc1915895050"/>
      <w:r>
        <w:lastRenderedPageBreak/>
        <w:t>What would change</w:t>
      </w:r>
      <w:bookmarkEnd w:id="154"/>
    </w:p>
    <w:p w14:paraId="432CDDF0" w14:textId="476FCC90" w:rsidR="00495801" w:rsidRPr="00862D67" w:rsidRDefault="4D339DA1" w:rsidP="00D27FBB">
      <w:pPr>
        <w:pStyle w:val="Heading5"/>
      </w:pPr>
      <w:bookmarkStart w:id="155" w:name="_Toc1872729215"/>
      <w:r>
        <w:t>Define the scope of the shared core</w:t>
      </w:r>
      <w:bookmarkEnd w:id="155"/>
    </w:p>
    <w:p w14:paraId="2B4B15FB" w14:textId="12454B16" w:rsidR="00495801" w:rsidRPr="00500EBB" w:rsidRDefault="00495801" w:rsidP="65C5DE98">
      <w:pPr>
        <w:pStyle w:val="USBodyText"/>
      </w:pPr>
      <w:r>
        <w:t xml:space="preserve">The shared core </w:t>
      </w:r>
      <w:r w:rsidR="111A725C">
        <w:t>would</w:t>
      </w:r>
      <w:r>
        <w:t xml:space="preserve"> set out the essential knowledge and practices that support student teachers to meet </w:t>
      </w:r>
      <w:r w:rsidR="00C702BB">
        <w:t>the Standards for the Teaching Profession</w:t>
      </w:r>
      <w:r>
        <w:t xml:space="preserve"> in a supported environment and be ready for entry to the profession.</w:t>
      </w:r>
    </w:p>
    <w:p w14:paraId="7A971732" w14:textId="2567EB96" w:rsidR="00495801" w:rsidRPr="00500EBB" w:rsidRDefault="00495801" w:rsidP="008B35AC">
      <w:pPr>
        <w:pStyle w:val="USBodyText"/>
      </w:pPr>
      <w:r w:rsidRPr="00500EBB">
        <w:t xml:space="preserve">The shared core is not intended to cover everything a student teacher should learn, nor is it intended to exhaustively identify all the professional knowledge and practices that comprise meeting </w:t>
      </w:r>
      <w:r w:rsidR="00C702BB">
        <w:t>the Standards for the Teaching Profession</w:t>
      </w:r>
      <w:r w:rsidRPr="00500EBB">
        <w:t xml:space="preserve"> in a supported environment. Rather, it would provide explicit direction in areas where there is a clear and established </w:t>
      </w:r>
      <w:r>
        <w:t xml:space="preserve">evidence or </w:t>
      </w:r>
      <w:r w:rsidRPr="00500EBB">
        <w:t xml:space="preserve">consensus about the knowledge and practices required for quality teaching within each teaching context. Providers would be required to incorporate the shared core into programmes, whilst retaining overall responsibility for programme design, contextualisation, partnerships and professional experience models. </w:t>
      </w:r>
    </w:p>
    <w:p w14:paraId="1161D147" w14:textId="09EBECDF" w:rsidR="00495801" w:rsidRPr="00500EBB" w:rsidRDefault="00495801" w:rsidP="65C5DE98">
      <w:pPr>
        <w:pStyle w:val="USBodyText"/>
      </w:pPr>
      <w:r>
        <w:t xml:space="preserve">The shared core </w:t>
      </w:r>
      <w:r w:rsidR="78097EB1">
        <w:t>would</w:t>
      </w:r>
      <w:r>
        <w:t xml:space="preserve"> be aligned with the eight Standards and be comprised of common components and differentiated components. The common components describe the knowledge and practices that should be taught across all ITE programmes as they reflect expectations that are universal across the profession. </w:t>
      </w:r>
    </w:p>
    <w:p w14:paraId="70A64ADC" w14:textId="35F3858B" w:rsidR="00495801" w:rsidRPr="00500EBB" w:rsidRDefault="00495801" w:rsidP="008B35AC">
      <w:pPr>
        <w:pStyle w:val="USBodyText"/>
      </w:pPr>
      <w:r w:rsidRPr="00500EBB">
        <w:t>These common components would be complemented by differentiated components that apply by programme type, recognising that some knowledge and practices of effective teaching differ meaningfully across ECE, schooling and kura. The shared core should be presented so that the common and differentiated components for each programme type are clearly identifiable to providers.</w:t>
      </w:r>
      <w:r w:rsidR="00F65692">
        <w:t xml:space="preserve"> </w:t>
      </w:r>
    </w:p>
    <w:p w14:paraId="3692D15C" w14:textId="762E6EC8" w:rsidR="00495801" w:rsidRPr="00862D67" w:rsidRDefault="4D339DA1" w:rsidP="00D27FBB">
      <w:pPr>
        <w:pStyle w:val="Heading5"/>
      </w:pPr>
      <w:bookmarkStart w:id="156" w:name="_Toc1770973561"/>
      <w:r>
        <w:t>Apply principles to identify the knowledge and practices of the shared core</w:t>
      </w:r>
      <w:bookmarkEnd w:id="156"/>
    </w:p>
    <w:p w14:paraId="39767E94" w14:textId="77777777" w:rsidR="00495801" w:rsidRPr="00500EBB" w:rsidRDefault="00495801" w:rsidP="001C1820">
      <w:pPr>
        <w:pStyle w:val="USBodyText"/>
        <w:spacing w:after="60"/>
      </w:pPr>
      <w:r w:rsidRPr="00500EBB">
        <w:t>Clear principles are needed to identify the knowledge and practices to be included in the shared core. The shared core should include knowledge and practices that are:</w:t>
      </w:r>
    </w:p>
    <w:p w14:paraId="11E2CA89" w14:textId="1EA37667" w:rsidR="00495801" w:rsidRPr="003235C8" w:rsidRDefault="00495801" w:rsidP="008B35AC">
      <w:pPr>
        <w:pStyle w:val="USBullet1"/>
      </w:pPr>
      <w:r w:rsidRPr="0078628B">
        <w:rPr>
          <w:b/>
          <w:bCs/>
        </w:rPr>
        <w:t>Essential for beginning teachers:</w:t>
      </w:r>
      <w:r w:rsidRPr="003235C8">
        <w:t xml:space="preserve"> the knowledge or practice is one that a student teacher must know or do to demonstrate they meet </w:t>
      </w:r>
      <w:r w:rsidR="00C702BB">
        <w:t>the Standards for the Teaching Profession</w:t>
      </w:r>
      <w:r w:rsidRPr="003235C8">
        <w:t xml:space="preserve"> and are therefore ready to enter the profession.</w:t>
      </w:r>
    </w:p>
    <w:p w14:paraId="4480AA48" w14:textId="77777777" w:rsidR="00495801" w:rsidRPr="003235C8" w:rsidRDefault="00495801" w:rsidP="008B35AC">
      <w:pPr>
        <w:pStyle w:val="USBullet1"/>
      </w:pPr>
      <w:r w:rsidRPr="0078628B">
        <w:rPr>
          <w:b/>
          <w:bCs/>
        </w:rPr>
        <w:t>Evidence-informed:</w:t>
      </w:r>
      <w:r w:rsidRPr="003235C8">
        <w:t xml:space="preserve"> the knowledge or practice is supported by the best available evidence, prioritising New Zealand evidence where possible and drawing on robust research evidence, mātauranga Māori, and consensus amongst expert practitioners.</w:t>
      </w:r>
    </w:p>
    <w:p w14:paraId="1711750F" w14:textId="55C52C6E" w:rsidR="00495801" w:rsidRPr="003235C8" w:rsidRDefault="00495801" w:rsidP="008B35AC">
      <w:pPr>
        <w:pStyle w:val="USBullet1"/>
      </w:pPr>
      <w:r w:rsidRPr="0078628B">
        <w:rPr>
          <w:b/>
          <w:bCs/>
        </w:rPr>
        <w:t>Feasible for all programme structures:</w:t>
      </w:r>
      <w:r w:rsidRPr="003235C8">
        <w:t xml:space="preserve"> the shared core should be feasible to teach, practice and assess within all programme structures, including 1-year programmes.</w:t>
      </w:r>
      <w:r w:rsidR="00F65692" w:rsidRPr="003235C8">
        <w:t xml:space="preserve"> </w:t>
      </w:r>
    </w:p>
    <w:p w14:paraId="13C47F51" w14:textId="77777777" w:rsidR="00495801" w:rsidRPr="00862D67" w:rsidRDefault="00495801" w:rsidP="001C1820">
      <w:pPr>
        <w:pStyle w:val="USBullet1"/>
        <w:spacing w:after="180"/>
      </w:pPr>
      <w:r w:rsidRPr="0078628B">
        <w:rPr>
          <w:b/>
          <w:bCs/>
        </w:rPr>
        <w:t>Subject to periodic review:</w:t>
      </w:r>
      <w:r w:rsidRPr="003235C8">
        <w:t xml:space="preserve"> so</w:t>
      </w:r>
      <w:r w:rsidRPr="00862D67">
        <w:t xml:space="preserve"> that the shared core continues to reflect the best available evidence and be responsive to evolving professional expectations. </w:t>
      </w:r>
    </w:p>
    <w:p w14:paraId="7455091C" w14:textId="243DD518" w:rsidR="00495801" w:rsidRDefault="4D339DA1" w:rsidP="008B35AC">
      <w:pPr>
        <w:pStyle w:val="USBodyText"/>
      </w:pPr>
      <w:r>
        <w:t>Together, these principles ensure the shared core is focused on the foundational knowledge and practices every beginning teacher needs to be effective, while remaining feasible to implement and current as the evidence base evolves. They also reflect the f</w:t>
      </w:r>
      <w:r w:rsidR="15302425">
        <w:t xml:space="preserve">ive </w:t>
      </w:r>
      <w:r>
        <w:t xml:space="preserve">principles underpinning this review of </w:t>
      </w:r>
      <w:r>
        <w:lastRenderedPageBreak/>
        <w:t xml:space="preserve">the </w:t>
      </w:r>
      <w:r w:rsidR="0960D603">
        <w:t xml:space="preserve">ITE Programme </w:t>
      </w:r>
      <w:r>
        <w:t xml:space="preserve">Requirements. This means that when developing the shared core, there should be specific attention paid to the knowledge and practices teachers need to effectively support diverse learners. </w:t>
      </w:r>
    </w:p>
    <w:p w14:paraId="7D4B6A55" w14:textId="77777777" w:rsidR="00495801" w:rsidRPr="00500EBB" w:rsidRDefault="00495801" w:rsidP="008B35AC">
      <w:pPr>
        <w:pStyle w:val="USBodyText"/>
      </w:pPr>
      <w:r w:rsidRPr="00500EBB">
        <w:t>Applying the evidence-based criterion will require sensitivity to the maturing of the evidence base across different teaching contexts. For example, there is a robust empirical research evidence base on effective pedagogy for English-medium schooling, whilst the evidence base on effective approaches in ECE, kaupapa Māori and Māori-medium contexts is different in form and inception. This means the shared core will need to be developed with close attention to the strengths and nature of the evidence available across ECE, schooling and Māori-medium contexts and avoid a narrow hierarchy that privileges only some forms of knowledge</w:t>
      </w:r>
      <w:r>
        <w:t xml:space="preserve"> or some parts of the education system</w:t>
      </w:r>
      <w:r w:rsidRPr="00500EBB">
        <w:t>. The evidence base should be understood broadly and appropriately, with consideration given to mātauranga Māori, professional consensus and research evidence.</w:t>
      </w:r>
    </w:p>
    <w:p w14:paraId="513B4620" w14:textId="5DF633B8" w:rsidR="00495801" w:rsidRPr="00500EBB" w:rsidRDefault="00495801" w:rsidP="008B35AC">
      <w:pPr>
        <w:pStyle w:val="USBodyText"/>
      </w:pPr>
      <w:r>
        <w:t>International experience provides some useful reference points for considering the process of identifying the shared core for ITE programmes. In Australia, ‘core content’ was identified through a desktop review of rigorous and robust empirical research evidence. In England, the ‘Core Content Framework’ was developed through consultation with expert practitioners and quality assured by the Education Endowment Fund. An Aotearoa New Zealand process could draw o</w:t>
      </w:r>
      <w:r w:rsidR="391602F8">
        <w:t>n</w:t>
      </w:r>
      <w:r>
        <w:t xml:space="preserve"> these models while ensuring that ECE, schooling and Māori-medium expertise, including practitioners, community members and knowledge-holders, shape the content from the outset. </w:t>
      </w:r>
    </w:p>
    <w:p w14:paraId="69FE0E38" w14:textId="4E20935C" w:rsidR="00495801" w:rsidRPr="00862D67" w:rsidRDefault="4D339DA1" w:rsidP="00897CA0">
      <w:pPr>
        <w:pStyle w:val="Heading6"/>
      </w:pPr>
      <w:bookmarkStart w:id="157" w:name="_Toc1411394910"/>
      <w:r>
        <w:t>Illustrative examples of the shared core</w:t>
      </w:r>
      <w:bookmarkEnd w:id="157"/>
    </w:p>
    <w:p w14:paraId="527456F4" w14:textId="510905BA" w:rsidR="00495801" w:rsidRPr="00500EBB" w:rsidRDefault="00495801" w:rsidP="008B35AC">
      <w:pPr>
        <w:pStyle w:val="USBodyText"/>
      </w:pPr>
      <w:r>
        <w:t xml:space="preserve">The following examples illustrate how the principles may be applied to identify common and differentiated components of the shared core. They are intended to demonstrate the concept and potential scope of a shared core, rather than define its content. </w:t>
      </w:r>
      <w:r w:rsidR="006305B9">
        <w:t xml:space="preserve">The shared core </w:t>
      </w:r>
      <w:r w:rsidR="0029361F">
        <w:t xml:space="preserve">should </w:t>
      </w:r>
      <w:r w:rsidR="13050A4E">
        <w:t>articulate</w:t>
      </w:r>
      <w:r w:rsidR="0029361F">
        <w:t xml:space="preserve"> the teaching</w:t>
      </w:r>
      <w:r w:rsidR="006305B9">
        <w:t xml:space="preserve"> practices shown by evidence to be effective</w:t>
      </w:r>
      <w:r w:rsidR="37921513">
        <w:t xml:space="preserve"> </w:t>
      </w:r>
      <w:r w:rsidR="2126A8DA">
        <w:t xml:space="preserve">and </w:t>
      </w:r>
      <w:r w:rsidR="3E931A13">
        <w:t>make explicit what</w:t>
      </w:r>
      <w:r w:rsidR="0029361F">
        <w:t xml:space="preserve"> student teachers need to do when</w:t>
      </w:r>
      <w:r w:rsidR="00F55FB1">
        <w:t>,</w:t>
      </w:r>
      <w:r w:rsidR="0029361F">
        <w:t xml:space="preserve"> and in </w:t>
      </w:r>
      <w:r w:rsidR="006B18B8">
        <w:t>what</w:t>
      </w:r>
      <w:r w:rsidR="0029361F">
        <w:t xml:space="preserve"> circumstances. </w:t>
      </w:r>
    </w:p>
    <w:p w14:paraId="5438BBF6" w14:textId="77777777" w:rsidR="00495801" w:rsidRPr="00500EBB" w:rsidRDefault="00495801" w:rsidP="008B35AC">
      <w:pPr>
        <w:pStyle w:val="USBodyText"/>
      </w:pPr>
      <w:r>
        <w:t>The examples focus on foundational knowledge and practices of effective teaching that student teachers should understand and be able to apply in supported practice settings. They draw on a substantial body of research from Aotearoa New Zealand and internationally, which shows that, when implemented effectively, these practices can have a significant positive impact on student learning. They also reflect areas where there is broad consensus regarding their importance for improving outcomes for Aotearoa New Zealand learners.</w:t>
      </w:r>
    </w:p>
    <w:p w14:paraId="1F8FA6BC" w14:textId="47424791" w:rsidR="003D247F" w:rsidRDefault="00495801" w:rsidP="006B4EF6">
      <w:pPr>
        <w:pStyle w:val="USBodyText"/>
        <w:spacing w:after="240"/>
      </w:pPr>
      <w:r w:rsidRPr="00500EBB">
        <w:t>These examples have been selected to illustrate how the shared core might operate for ECE, primary and secondary programmes. They are intended to demonstrate the concept of a shared core rather than prescribe its content. Any future shared core should be subject to periodic review to ensure it continues to reflect the best available evidence and evolving expectations of beginning teachers.</w:t>
      </w:r>
      <w:r w:rsidR="003D247F">
        <w:br w:type="page"/>
      </w:r>
    </w:p>
    <w:tbl>
      <w:tblPr>
        <w:tblStyle w:val="TableGrid"/>
        <w:tblW w:w="0" w:type="auto"/>
        <w:shd w:val="clear" w:color="auto" w:fill="E7E6E6" w:themeFill="background2"/>
        <w:tblCellMar>
          <w:left w:w="170" w:type="dxa"/>
          <w:right w:w="170" w:type="dxa"/>
        </w:tblCellMar>
        <w:tblLook w:val="04A0" w:firstRow="1" w:lastRow="0" w:firstColumn="1" w:lastColumn="0" w:noHBand="0" w:noVBand="1"/>
      </w:tblPr>
      <w:tblGrid>
        <w:gridCol w:w="9016"/>
      </w:tblGrid>
      <w:tr w:rsidR="006D7414" w14:paraId="25CC6498" w14:textId="77777777" w:rsidTr="00F10D55">
        <w:tc>
          <w:tcPr>
            <w:tcW w:w="9016" w:type="dxa"/>
            <w:tcBorders>
              <w:top w:val="nil"/>
              <w:left w:val="nil"/>
              <w:bottom w:val="nil"/>
              <w:right w:val="nil"/>
            </w:tcBorders>
            <w:shd w:val="clear" w:color="auto" w:fill="DBECEC" w:themeFill="accent2" w:themeFillTint="33"/>
          </w:tcPr>
          <w:p w14:paraId="56771167" w14:textId="5489AF3E" w:rsidR="006D7414" w:rsidRPr="00035451" w:rsidRDefault="3916FBC8" w:rsidP="006B4EF6">
            <w:pPr>
              <w:pStyle w:val="USBodyText"/>
              <w:spacing w:before="240" w:line="260" w:lineRule="exact"/>
            </w:pPr>
            <w:bookmarkStart w:id="158" w:name="_Toc1063112492"/>
            <w:r w:rsidRPr="045E5A3E">
              <w:rPr>
                <w:rStyle w:val="Heading6Char"/>
                <w:rFonts w:eastAsiaTheme="minorEastAsia" w:cstheme="minorBidi"/>
                <w:color w:val="auto"/>
              </w:rPr>
              <w:lastRenderedPageBreak/>
              <w:t>I</w:t>
            </w:r>
            <w:r w:rsidR="00D6F3A8" w:rsidRPr="045E5A3E">
              <w:rPr>
                <w:rStyle w:val="Heading6Char"/>
                <w:rFonts w:eastAsiaTheme="minorEastAsia" w:cstheme="minorBidi"/>
                <w:color w:val="auto"/>
              </w:rPr>
              <w:t>llustrative example – Understanding of Te Tiriti o Waitangi</w:t>
            </w:r>
            <w:bookmarkEnd w:id="158"/>
            <w:r w:rsidR="5DAA0EF3">
              <w:t xml:space="preserve"> </w:t>
            </w:r>
          </w:p>
          <w:p w14:paraId="30E377AF" w14:textId="77777777" w:rsidR="006D7414" w:rsidRPr="00500EBB" w:rsidRDefault="006D7414" w:rsidP="00E56588">
            <w:pPr>
              <w:pStyle w:val="USBodyText"/>
              <w:spacing w:after="60" w:line="260" w:lineRule="exact"/>
            </w:pPr>
            <w:r w:rsidRPr="00C75C87">
              <w:rPr>
                <w:i/>
              </w:rPr>
              <w:t>Standard 1: Te Tiriti o Waitangi partnership</w:t>
            </w:r>
            <w:r w:rsidRPr="00500EBB">
              <w:t xml:space="preserve"> requires teachers to demonstrate commitment to tangata whenua and Te Tiriti o Waitangi partnership in Aotearoa New Zealand. The shared core might include a component that applies across all ITE programmes focussed on ensuring student teachers:</w:t>
            </w:r>
          </w:p>
          <w:p w14:paraId="21733132" w14:textId="77777777" w:rsidR="006D7414" w:rsidRPr="00862D67" w:rsidRDefault="006D7414" w:rsidP="006B4EF6">
            <w:pPr>
              <w:pStyle w:val="USBullet1"/>
              <w:spacing w:before="60" w:after="120" w:line="260" w:lineRule="exact"/>
            </w:pPr>
            <w:r w:rsidRPr="00862D67">
              <w:t>Can explain the origins of Te Tiriti o Waitangi and its differences from The Treaty of Waitangi</w:t>
            </w:r>
          </w:p>
          <w:p w14:paraId="5B32FC9E" w14:textId="77777777" w:rsidR="006D7414" w:rsidRPr="00862D67" w:rsidRDefault="006D7414" w:rsidP="006B4EF6">
            <w:pPr>
              <w:pStyle w:val="USBullet1"/>
              <w:spacing w:before="60" w:after="120" w:line="260" w:lineRule="exact"/>
            </w:pPr>
            <w:r w:rsidRPr="00862D67">
              <w:t>Use basic te reo Māori in everyday routines such as greetings, instructions and praise</w:t>
            </w:r>
          </w:p>
          <w:p w14:paraId="4E120EBE" w14:textId="320FD04B" w:rsidR="006D7414" w:rsidRPr="00DE2866" w:rsidRDefault="006D7414" w:rsidP="006B4EF6">
            <w:pPr>
              <w:pStyle w:val="USBullet1"/>
              <w:spacing w:before="60" w:after="240" w:line="260" w:lineRule="exact"/>
            </w:pPr>
            <w:r w:rsidRPr="00862D67">
              <w:t>Can explain the concepts of tangata whenua, mana whenua, and partnership and demonstrate how these concepts link to practice</w:t>
            </w:r>
            <w:r w:rsidR="00E56588">
              <w:t>.</w:t>
            </w:r>
          </w:p>
        </w:tc>
      </w:tr>
    </w:tbl>
    <w:p w14:paraId="0F8EC381" w14:textId="7E88F328" w:rsidR="00035451" w:rsidRDefault="00035451" w:rsidP="00495801">
      <w:pPr>
        <w:pStyle w:val="USBodyText"/>
      </w:pPr>
    </w:p>
    <w:tbl>
      <w:tblPr>
        <w:tblStyle w:val="TableGrid"/>
        <w:tblW w:w="0" w:type="auto"/>
        <w:tblCellMar>
          <w:left w:w="170" w:type="dxa"/>
          <w:right w:w="170" w:type="dxa"/>
        </w:tblCellMar>
        <w:tblLook w:val="04A0" w:firstRow="1" w:lastRow="0" w:firstColumn="1" w:lastColumn="0" w:noHBand="0" w:noVBand="1"/>
      </w:tblPr>
      <w:tblGrid>
        <w:gridCol w:w="9016"/>
      </w:tblGrid>
      <w:tr w:rsidR="00352622" w14:paraId="34E75838" w14:textId="77777777" w:rsidTr="66849E4A">
        <w:trPr>
          <w:trHeight w:val="823"/>
        </w:trPr>
        <w:tc>
          <w:tcPr>
            <w:tcW w:w="9016" w:type="dxa"/>
            <w:tcBorders>
              <w:top w:val="nil"/>
              <w:left w:val="nil"/>
              <w:bottom w:val="nil"/>
              <w:right w:val="nil"/>
            </w:tcBorders>
            <w:shd w:val="clear" w:color="auto" w:fill="DBECEC" w:themeFill="accent2" w:themeFillTint="33"/>
          </w:tcPr>
          <w:p w14:paraId="016ED2E3" w14:textId="591E0F2C" w:rsidR="00352622" w:rsidRPr="00035451" w:rsidRDefault="00352622" w:rsidP="006B4EF6">
            <w:pPr>
              <w:pStyle w:val="USBodyText"/>
              <w:spacing w:before="240" w:line="260" w:lineRule="exact"/>
              <w:rPr>
                <w:i/>
                <w:iCs/>
              </w:rPr>
            </w:pPr>
            <w:r w:rsidRPr="00035451">
              <w:rPr>
                <w:i/>
                <w:iCs/>
              </w:rPr>
              <w:t>Illustrative example – Literacy practices</w:t>
            </w:r>
          </w:p>
          <w:p w14:paraId="139D0ED5" w14:textId="77777777" w:rsidR="00352622" w:rsidRPr="00500EBB" w:rsidRDefault="00352622" w:rsidP="006B4EF6">
            <w:pPr>
              <w:pStyle w:val="USBodyText"/>
              <w:spacing w:after="120" w:line="260" w:lineRule="exact"/>
            </w:pPr>
            <w:r w:rsidRPr="00C75C87">
              <w:rPr>
                <w:i/>
                <w:iCs/>
              </w:rPr>
              <w:t>Standard 2: Know the content and how to teach it</w:t>
            </w:r>
            <w:r w:rsidRPr="00500EBB">
              <w:t xml:space="preserve"> requires teachers to understand learning based on content, curriculum and pedagogical knowledges. This includes a clear focus on using evidence-informed teaching practices to effectively develop students’ oral language and literacy as foundational capabilities. </w:t>
            </w:r>
          </w:p>
          <w:p w14:paraId="0B4EB5FC" w14:textId="77777777" w:rsidR="00352622" w:rsidRPr="00500EBB" w:rsidRDefault="530F39AA" w:rsidP="00E56588">
            <w:pPr>
              <w:pStyle w:val="USBodyText"/>
              <w:spacing w:after="60" w:line="260" w:lineRule="exact"/>
            </w:pPr>
            <w:r w:rsidRPr="00500EBB">
              <w:t xml:space="preserve">For </w:t>
            </w:r>
            <w:r w:rsidRPr="66849E4A">
              <w:t>ECE programmes, the</w:t>
            </w:r>
            <w:r w:rsidRPr="00500EBB">
              <w:t xml:space="preserve"> shared core might focus on supporting student teachers to develop an understanding </w:t>
            </w:r>
            <w:r>
              <w:t xml:space="preserve">of </w:t>
            </w:r>
            <w:r w:rsidRPr="00500EBB">
              <w:t>how oral language develops and effective teaching practices to support this, such as:</w:t>
            </w:r>
            <w:r w:rsidR="00352622" w:rsidRPr="43B75BAF">
              <w:rPr>
                <w:rStyle w:val="FootnoteReference"/>
                <w:rFonts w:ascii="Aptos" w:hAnsi="Aptos"/>
              </w:rPr>
              <w:footnoteReference w:id="50"/>
            </w:r>
            <w:r w:rsidRPr="00500EBB">
              <w:t xml:space="preserve"> </w:t>
            </w:r>
          </w:p>
          <w:p w14:paraId="65A830CA" w14:textId="77777777" w:rsidR="00352622" w:rsidRPr="00862D67" w:rsidRDefault="00352622" w:rsidP="00E56588">
            <w:pPr>
              <w:pStyle w:val="USBullet1"/>
              <w:spacing w:before="60" w:after="120" w:line="260" w:lineRule="exact"/>
            </w:pPr>
            <w:r w:rsidRPr="00862D67">
              <w:t>How to intentionally use language to build a child’s understanding of words (their receptive vocabulary) and encouraging them to use and apply words in the right context (expressive vocabulary)</w:t>
            </w:r>
          </w:p>
          <w:p w14:paraId="0064AC56" w14:textId="77777777" w:rsidR="00352622" w:rsidRPr="00862D67" w:rsidRDefault="00352622" w:rsidP="006B4EF6">
            <w:pPr>
              <w:pStyle w:val="USBullet1"/>
              <w:spacing w:before="120" w:after="120" w:line="260" w:lineRule="exact"/>
            </w:pPr>
            <w:r w:rsidRPr="00862D67">
              <w:t>How to intentionally use language to engage children in activities that are challenging for them, encouraging them to hear and use language to understand and share ideas, as well as reasons with others</w:t>
            </w:r>
          </w:p>
          <w:p w14:paraId="31340D19" w14:textId="7F13B4E6" w:rsidR="00352622" w:rsidRPr="00862D67" w:rsidRDefault="00352622" w:rsidP="006B4EF6">
            <w:pPr>
              <w:pStyle w:val="USBullet1"/>
              <w:spacing w:before="120" w:after="240" w:line="260" w:lineRule="exact"/>
            </w:pPr>
            <w:r w:rsidRPr="00862D67">
              <w:t>How to develop positive social communication by providing children with opportunities to learn social norms and both verbal and non-verbal rules of communication</w:t>
            </w:r>
            <w:r w:rsidR="00E56588">
              <w:t>.</w:t>
            </w:r>
          </w:p>
        </w:tc>
      </w:tr>
    </w:tbl>
    <w:p w14:paraId="12572FD4" w14:textId="61BB814F" w:rsidR="00874227" w:rsidRDefault="00874227" w:rsidP="006B4EF6">
      <w:pPr>
        <w:pStyle w:val="USWhiteSpaceAfterTable"/>
      </w:pPr>
      <w:r>
        <w:br w:type="page"/>
      </w:r>
    </w:p>
    <w:tbl>
      <w:tblPr>
        <w:tblStyle w:val="TableGrid"/>
        <w:tblW w:w="0" w:type="auto"/>
        <w:tblCellMar>
          <w:left w:w="170" w:type="dxa"/>
          <w:right w:w="170" w:type="dxa"/>
        </w:tblCellMar>
        <w:tblLook w:val="04A0" w:firstRow="1" w:lastRow="0" w:firstColumn="1" w:lastColumn="0" w:noHBand="0" w:noVBand="1"/>
      </w:tblPr>
      <w:tblGrid>
        <w:gridCol w:w="9016"/>
      </w:tblGrid>
      <w:tr w:rsidR="005F45DA" w14:paraId="5AFDF03F" w14:textId="77777777" w:rsidTr="66849E4A">
        <w:tc>
          <w:tcPr>
            <w:tcW w:w="9016" w:type="dxa"/>
            <w:tcBorders>
              <w:top w:val="nil"/>
              <w:left w:val="nil"/>
              <w:bottom w:val="nil"/>
              <w:right w:val="nil"/>
            </w:tcBorders>
            <w:shd w:val="clear" w:color="auto" w:fill="DBECEC" w:themeFill="accent2" w:themeFillTint="33"/>
          </w:tcPr>
          <w:p w14:paraId="09D8CDE8" w14:textId="77777777" w:rsidR="005F45DA" w:rsidRPr="00035451" w:rsidRDefault="005F45DA" w:rsidP="006B4EF6">
            <w:pPr>
              <w:pStyle w:val="USBodyText"/>
              <w:spacing w:before="240" w:line="260" w:lineRule="exact"/>
              <w:rPr>
                <w:i/>
                <w:iCs/>
              </w:rPr>
            </w:pPr>
            <w:r w:rsidRPr="00035451">
              <w:rPr>
                <w:i/>
                <w:iCs/>
              </w:rPr>
              <w:lastRenderedPageBreak/>
              <w:t>Illustrative example – Understanding of brain and cognitive development</w:t>
            </w:r>
          </w:p>
          <w:p w14:paraId="5D5FE4FE" w14:textId="0E74C35C" w:rsidR="005F45DA" w:rsidRPr="003235C8" w:rsidRDefault="005F45DA" w:rsidP="006B4EF6">
            <w:pPr>
              <w:pStyle w:val="USBodyText"/>
              <w:spacing w:after="120" w:line="260" w:lineRule="exact"/>
            </w:pPr>
            <w:r w:rsidRPr="00C75C87">
              <w:rPr>
                <w:i/>
                <w:iCs/>
              </w:rPr>
              <w:t>Standard 3: Know the learner and the learning process</w:t>
            </w:r>
            <w:r w:rsidRPr="00500EBB">
              <w:t xml:space="preserve"> is focused on ensuring teachers understand the learning process and the diversity of learners’ strengths, needs, languages, cultures, identities and interests.</w:t>
            </w:r>
            <w:r w:rsidR="00F65692">
              <w:t xml:space="preserve"> </w:t>
            </w:r>
            <w:r w:rsidRPr="00500EBB">
              <w:t xml:space="preserve">Understanding how children and students learn and develop is essential to understanding how teachers can most </w:t>
            </w:r>
            <w:r w:rsidRPr="003235C8">
              <w:t xml:space="preserve">effectively support students and improve educational outcomes. </w:t>
            </w:r>
          </w:p>
          <w:p w14:paraId="42E0C874" w14:textId="77777777" w:rsidR="005F45DA" w:rsidRPr="003235C8" w:rsidRDefault="005F45DA" w:rsidP="00E56588">
            <w:pPr>
              <w:pStyle w:val="USBodyText"/>
              <w:spacing w:after="60" w:line="260" w:lineRule="exact"/>
            </w:pPr>
            <w:r w:rsidRPr="003235C8">
              <w:t>For ECE programmes, the shared core might include content on child brain development in the early years. This might include:</w:t>
            </w:r>
          </w:p>
          <w:p w14:paraId="4476DE5C" w14:textId="77777777" w:rsidR="005F45DA" w:rsidRPr="003235C8" w:rsidRDefault="32798EE3" w:rsidP="00E56588">
            <w:pPr>
              <w:pStyle w:val="USBullet1"/>
              <w:spacing w:before="60" w:after="120" w:line="260" w:lineRule="exact"/>
            </w:pPr>
            <w:r w:rsidRPr="003235C8">
              <w:t xml:space="preserve">The three components of executive functions (working memory, inhibitory control, and cognitive flexibility), how they support and influence one another, and how teachers can support their development </w:t>
            </w:r>
            <w:r w:rsidR="005F45DA" w:rsidRPr="43B75BAF">
              <w:rPr>
                <w:rStyle w:val="FootnoteReference"/>
                <w:rFonts w:ascii="Aptos" w:hAnsi="Aptos"/>
              </w:rPr>
              <w:footnoteReference w:id="51"/>
            </w:r>
          </w:p>
          <w:p w14:paraId="1F3D4F8F" w14:textId="53870D3D" w:rsidR="005F45DA" w:rsidRPr="003235C8" w:rsidRDefault="005F45DA" w:rsidP="00874227">
            <w:pPr>
              <w:pStyle w:val="USBullet1"/>
              <w:spacing w:before="120" w:after="180" w:line="260" w:lineRule="exact"/>
            </w:pPr>
            <w:r w:rsidRPr="003235C8">
              <w:t>How talking, singing, and reading with pēpi helps build brain connections and the importance of intentionally weaving rich language into daily routines</w:t>
            </w:r>
            <w:r w:rsidR="00E56588">
              <w:t>.</w:t>
            </w:r>
          </w:p>
          <w:p w14:paraId="0E21D627" w14:textId="3BE997D9" w:rsidR="005F45DA" w:rsidRPr="003235C8" w:rsidRDefault="32798EE3" w:rsidP="006B4EF6">
            <w:pPr>
              <w:pStyle w:val="USBodyText"/>
              <w:spacing w:line="260" w:lineRule="exact"/>
            </w:pPr>
            <w:r w:rsidRPr="003235C8">
              <w:t xml:space="preserve">For Primary and Secondary programmes, the shared core might </w:t>
            </w:r>
            <w:r w:rsidR="080F8397">
              <w:t>include</w:t>
            </w:r>
            <w:r w:rsidR="2ECF8505">
              <w:t xml:space="preserve"> </w:t>
            </w:r>
            <w:r w:rsidRPr="003235C8">
              <w:t>content on the cognitive process of learning, such as:</w:t>
            </w:r>
            <w:r w:rsidR="005F45DA" w:rsidRPr="43B75BAF">
              <w:rPr>
                <w:rStyle w:val="FootnoteReference"/>
                <w:rFonts w:ascii="Aptos" w:hAnsi="Aptos"/>
              </w:rPr>
              <w:footnoteReference w:id="52"/>
            </w:r>
          </w:p>
          <w:p w14:paraId="4321484C" w14:textId="77777777" w:rsidR="005F45DA" w:rsidRPr="002C4CC8" w:rsidRDefault="005F45DA" w:rsidP="000D22CF">
            <w:pPr>
              <w:pStyle w:val="USBullet1"/>
              <w:spacing w:before="60" w:after="120" w:line="260" w:lineRule="exact"/>
            </w:pPr>
            <w:r w:rsidRPr="002C4CC8">
              <w:t>The two primary memory systems involved in learning: working memory (where information is consciously processed) to long-term memory (where information can be stored and later retrieved)</w:t>
            </w:r>
          </w:p>
          <w:p w14:paraId="6EDF52F0" w14:textId="77777777" w:rsidR="005F45DA" w:rsidRPr="002C4CC8" w:rsidRDefault="005F45DA" w:rsidP="006B4EF6">
            <w:pPr>
              <w:pStyle w:val="USBullet1"/>
              <w:spacing w:before="120" w:after="120" w:line="260" w:lineRule="exact"/>
            </w:pPr>
            <w:r w:rsidRPr="002C4CC8">
              <w:t>That working memory has limited capacity and can be overwhelmed if given too much information at once or if tasks are cognitively too demanding</w:t>
            </w:r>
          </w:p>
          <w:p w14:paraId="087DBE65" w14:textId="6A3D7A3B" w:rsidR="005F45DA" w:rsidRDefault="005F45DA" w:rsidP="002B4250">
            <w:pPr>
              <w:pStyle w:val="USBullet1"/>
              <w:spacing w:before="120" w:after="240" w:line="260" w:lineRule="exact"/>
            </w:pPr>
            <w:r w:rsidRPr="002C4CC8">
              <w:t>How knowledge is consolidated in long-term memory through repeated and varied retrieval and practice</w:t>
            </w:r>
            <w:r w:rsidR="00E56588">
              <w:t>.</w:t>
            </w:r>
          </w:p>
        </w:tc>
      </w:tr>
    </w:tbl>
    <w:p w14:paraId="459E4A7C" w14:textId="77777777" w:rsidR="005F45DA" w:rsidRDefault="005F45DA" w:rsidP="006B4EF6">
      <w:pPr>
        <w:pStyle w:val="USWhiteSpaceAfterTable"/>
      </w:pPr>
    </w:p>
    <w:p w14:paraId="7C610216" w14:textId="345E1F8E" w:rsidR="00897CA0" w:rsidRPr="00897CA0" w:rsidRDefault="00897CA0" w:rsidP="00897CA0">
      <w:pPr>
        <w:pStyle w:val="USBodyText"/>
      </w:pPr>
      <w:r w:rsidRPr="00897CA0">
        <w:t xml:space="preserve">These illustrative examples are intended to demonstrate the concept of the shared core, not to determine its final content or areas of focus. Further work is needed to identify the full scope of the knowledge and practices that should be included, including the areas not covered here, such as teaching diverse learners, creating safe and supportive learning environments </w:t>
      </w:r>
      <w:r w:rsidR="00CA43A6">
        <w:t>(</w:t>
      </w:r>
      <w:r w:rsidR="00CA43A6" w:rsidRPr="00CA43A6">
        <w:t xml:space="preserve">with particular reference to recognising sign language as an official language of Aotearoa New Zealand and </w:t>
      </w:r>
      <w:r w:rsidR="00CA43A6" w:rsidRPr="00CA43A6">
        <w:lastRenderedPageBreak/>
        <w:t>demonstrating awareness of Turi Māori, deaf culture and identity)</w:t>
      </w:r>
      <w:r w:rsidR="00CA43A6">
        <w:t xml:space="preserve"> </w:t>
      </w:r>
      <w:r w:rsidRPr="00897CA0">
        <w:t xml:space="preserve">and effective practices in kaupapa Māori and Māori-medium contexts. </w:t>
      </w:r>
    </w:p>
    <w:p w14:paraId="309A0F0A" w14:textId="7F7B4002" w:rsidR="00897CA0" w:rsidRPr="002C4CC8" w:rsidRDefault="49B9CA16" w:rsidP="00D27FBB">
      <w:pPr>
        <w:pStyle w:val="Heading5"/>
      </w:pPr>
      <w:bookmarkStart w:id="159" w:name="_Toc1914679629"/>
      <w:r>
        <w:t xml:space="preserve">Positioning the shared core in the </w:t>
      </w:r>
      <w:r w:rsidR="0960D603">
        <w:t xml:space="preserve">ITE Programme </w:t>
      </w:r>
      <w:r>
        <w:t>Requirements</w:t>
      </w:r>
      <w:bookmarkEnd w:id="159"/>
    </w:p>
    <w:p w14:paraId="213FAEA7" w14:textId="076DE4B9" w:rsidR="00897CA0" w:rsidRPr="00500EBB" w:rsidRDefault="1A30A774" w:rsidP="65C5DE98">
      <w:pPr>
        <w:pStyle w:val="USBodyText"/>
      </w:pPr>
      <w:r>
        <w:t>The ITE Programme Requirements</w:t>
      </w:r>
      <w:r w:rsidR="00897CA0">
        <w:t xml:space="preserve"> </w:t>
      </w:r>
      <w:r w:rsidR="2CA3F3B3">
        <w:t>would</w:t>
      </w:r>
      <w:r w:rsidR="00897CA0">
        <w:t xml:space="preserve"> establish an expectation that all programmes explicitly teach and assess the shared core for their programme type. </w:t>
      </w:r>
    </w:p>
    <w:p w14:paraId="231C031A" w14:textId="2495A621" w:rsidR="00897CA0" w:rsidRPr="00500EBB" w:rsidRDefault="00897CA0" w:rsidP="002B4250">
      <w:pPr>
        <w:pStyle w:val="USBodyText"/>
        <w:spacing w:after="60"/>
      </w:pPr>
      <w:r>
        <w:t xml:space="preserve">To support implementation of the shared core and programme coherence, the shared core </w:t>
      </w:r>
      <w:r w:rsidR="00A281F5">
        <w:t>would</w:t>
      </w:r>
      <w:r>
        <w:t xml:space="preserve"> be explicitly linked to Requirements relating to:</w:t>
      </w:r>
    </w:p>
    <w:p w14:paraId="04AFCC66" w14:textId="77777777" w:rsidR="00897CA0" w:rsidRPr="003235C8" w:rsidRDefault="00897CA0" w:rsidP="00897CA0">
      <w:pPr>
        <w:pStyle w:val="USBullet1"/>
      </w:pPr>
      <w:r w:rsidRPr="0078628B">
        <w:rPr>
          <w:b/>
          <w:bCs/>
        </w:rPr>
        <w:t>Model of progression</w:t>
      </w:r>
      <w:r w:rsidRPr="003235C8">
        <w:t xml:space="preserve"> (see Opportunity 3): The shared core should sit clearly within the model of progression from entry to graduation, with curriculum content mapped to where students are in their development. This ensures that what is taught is sequenced coherently against the trajectory student teachers are expected to follow. </w:t>
      </w:r>
    </w:p>
    <w:p w14:paraId="67411143" w14:textId="77777777" w:rsidR="00897CA0" w:rsidRPr="003235C8" w:rsidRDefault="00897CA0" w:rsidP="00897CA0">
      <w:pPr>
        <w:pStyle w:val="USBullet1"/>
      </w:pPr>
      <w:r w:rsidRPr="0078628B">
        <w:rPr>
          <w:b/>
          <w:bCs/>
        </w:rPr>
        <w:t>Assessment framework</w:t>
      </w:r>
      <w:r w:rsidRPr="003235C8">
        <w:t xml:space="preserve"> (see Opportunity 7): The programmes' KTTs should be required to align with the shared core, and the shared core should form the basis of the standardised, external assessment. This creates a direct line of sight between what graduates are expected to know and do, what they are taught, and what they are assessed against. </w:t>
      </w:r>
    </w:p>
    <w:p w14:paraId="4640179F" w14:textId="77777777" w:rsidR="00897CA0" w:rsidRPr="003235C8" w:rsidRDefault="00897CA0" w:rsidP="00897CA0">
      <w:pPr>
        <w:pStyle w:val="USBullet1"/>
      </w:pPr>
      <w:r w:rsidRPr="0078628B">
        <w:rPr>
          <w:b/>
          <w:bCs/>
        </w:rPr>
        <w:t>Professional experience</w:t>
      </w:r>
      <w:r w:rsidRPr="003235C8">
        <w:t xml:space="preserve"> (see Opportunity 6): Professional experience should provide structured opportunities for student teachers to observe, practice and receive feedback on applying the shared core practices in authentic settings. </w:t>
      </w:r>
    </w:p>
    <w:p w14:paraId="23D71843" w14:textId="77777777" w:rsidR="00897CA0" w:rsidRPr="00E72287" w:rsidRDefault="49B9CA16" w:rsidP="002B4250">
      <w:pPr>
        <w:pStyle w:val="USBullet1"/>
        <w:spacing w:after="180"/>
      </w:pPr>
      <w:r w:rsidRPr="1709B4D8">
        <w:rPr>
          <w:b/>
          <w:bCs/>
        </w:rPr>
        <w:t>Programme approval and monitoring</w:t>
      </w:r>
      <w:r>
        <w:t xml:space="preserve"> (see Opportunity 9): These processes should explicitly assess whether the shared core is being taught and assessed with sufficient, depth, coherence and rigour. This should be supported by approval panellist training and monitoring frameworks that embed expectations of what quality implementation of the shared core looks like. </w:t>
      </w:r>
    </w:p>
    <w:p w14:paraId="66E54C53" w14:textId="47B33F3E" w:rsidR="0046628B" w:rsidRDefault="3101547D" w:rsidP="1709B4D8">
      <w:pPr>
        <w:pStyle w:val="Heading4"/>
      </w:pPr>
      <w:bookmarkStart w:id="160" w:name="_Toc1545547970"/>
      <w:r>
        <w:t>Implementation considerations</w:t>
      </w:r>
      <w:bookmarkEnd w:id="160"/>
    </w:p>
    <w:p w14:paraId="00DEEEE0" w14:textId="653913FD" w:rsidR="008D2A7A" w:rsidRDefault="41E663B5" w:rsidP="1709B4D8">
      <w:pPr>
        <w:pStyle w:val="USBodyText"/>
      </w:pPr>
      <w:r>
        <w:t xml:space="preserve">Introducing a shared core would require a considerable amount of further work to determine its scope, content and governance arrangements. This could include establishing a representative working group </w:t>
      </w:r>
      <w:r w:rsidR="525F9B13">
        <w:t xml:space="preserve">of key stakeholders to </w:t>
      </w:r>
      <w:r w:rsidR="10760720">
        <w:t>support its development</w:t>
      </w:r>
      <w:r w:rsidR="7FE2D436">
        <w:t xml:space="preserve"> and </w:t>
      </w:r>
      <w:r w:rsidR="10760720">
        <w:t xml:space="preserve">ongoing stewardship. Consideration would need to be given to how different forms of evidence, expertise and sector perspectives are incorporated, how the shared </w:t>
      </w:r>
      <w:r w:rsidR="7FE2D436">
        <w:t>core evolves</w:t>
      </w:r>
      <w:r w:rsidR="10760720">
        <w:t xml:space="preserve"> over time</w:t>
      </w:r>
      <w:r w:rsidR="7FE2D436">
        <w:t xml:space="preserve">, and how decisions are made when there are competing perspectives. Equally, the staging and sequencing of implementation, including how different standards are prioritised, would need to be determined. </w:t>
      </w:r>
    </w:p>
    <w:p w14:paraId="7FCF5FBB" w14:textId="2D1CCF0B" w:rsidR="0046628B" w:rsidRPr="00481BD1" w:rsidRDefault="21AF8350" w:rsidP="002B4250">
      <w:pPr>
        <w:pStyle w:val="USBodyText"/>
        <w:spacing w:after="360"/>
      </w:pPr>
      <w:r>
        <w:t xml:space="preserve">This would be a significant shift for </w:t>
      </w:r>
      <w:r w:rsidR="0F194040">
        <w:t xml:space="preserve">providers and the wider system. </w:t>
      </w:r>
      <w:r w:rsidR="636641FE">
        <w:t xml:space="preserve">Sufficient time, support and resourcing would be required to enable providers to review and adapt programme content, assessment and professional experience arrangements. </w:t>
      </w:r>
      <w:r w:rsidR="026FD8DE">
        <w:t xml:space="preserve">Further work will be required to determine how the shared core will be quality assured, </w:t>
      </w:r>
      <w:r w:rsidR="563A2D15">
        <w:t>and how</w:t>
      </w:r>
      <w:r w:rsidR="6A59C565">
        <w:t xml:space="preserve"> consistency is balanced with flexibility across different programme types and structures. </w:t>
      </w:r>
    </w:p>
    <w:tbl>
      <w:tblPr>
        <w:tblStyle w:val="TableGrid"/>
        <w:tblW w:w="0" w:type="auto"/>
        <w:shd w:val="clear" w:color="auto" w:fill="D5E4E6" w:themeFill="accent1" w:themeFillTint="33"/>
        <w:tblCellMar>
          <w:top w:w="198" w:type="dxa"/>
          <w:left w:w="170" w:type="dxa"/>
          <w:bottom w:w="198" w:type="dxa"/>
          <w:right w:w="170" w:type="dxa"/>
        </w:tblCellMar>
        <w:tblLook w:val="04A0" w:firstRow="1" w:lastRow="0" w:firstColumn="1" w:lastColumn="0" w:noHBand="0" w:noVBand="1"/>
      </w:tblPr>
      <w:tblGrid>
        <w:gridCol w:w="9060"/>
      </w:tblGrid>
      <w:tr w:rsidR="0046628B" w14:paraId="5194155F" w14:textId="77777777" w:rsidTr="00EF6CBE">
        <w:tc>
          <w:tcPr>
            <w:tcW w:w="9060" w:type="dxa"/>
            <w:tcBorders>
              <w:top w:val="nil"/>
              <w:left w:val="nil"/>
              <w:bottom w:val="nil"/>
              <w:right w:val="nil"/>
            </w:tcBorders>
            <w:shd w:val="clear" w:color="auto" w:fill="D5E4E6" w:themeFill="accent1" w:themeFillTint="33"/>
          </w:tcPr>
          <w:p w14:paraId="51987401" w14:textId="5EDB9937" w:rsidR="0046628B" w:rsidRPr="00481BD1" w:rsidRDefault="3101547D" w:rsidP="00EF6CBE">
            <w:pPr>
              <w:pStyle w:val="Heading4"/>
              <w:spacing w:before="0"/>
            </w:pPr>
            <w:bookmarkStart w:id="161" w:name="_Toc947313020"/>
            <w:r>
              <w:lastRenderedPageBreak/>
              <w:t>For discussion:</w:t>
            </w:r>
            <w:bookmarkEnd w:id="161"/>
          </w:p>
          <w:p w14:paraId="5487D7AA" w14:textId="43528FF6" w:rsidR="007410CD" w:rsidRPr="00640F3E" w:rsidRDefault="69D6EB8D" w:rsidP="00EF6CBE">
            <w:pPr>
              <w:pStyle w:val="USBullet1"/>
              <w:spacing w:before="120" w:after="120"/>
            </w:pPr>
            <w:r>
              <w:t xml:space="preserve">To what extent do you agree with the rationale for this opportunity? </w:t>
            </w:r>
          </w:p>
          <w:p w14:paraId="4F6EFF60" w14:textId="0445BF2E" w:rsidR="007410CD" w:rsidRPr="00640F3E" w:rsidRDefault="69D6EB8D" w:rsidP="00EF6CBE">
            <w:pPr>
              <w:pStyle w:val="USBullet1"/>
              <w:spacing w:before="120" w:after="120"/>
            </w:pPr>
            <w:r>
              <w:t xml:space="preserve">Are there alternative approaches that you would recommend instead? </w:t>
            </w:r>
          </w:p>
          <w:p w14:paraId="16157E1E" w14:textId="65FD0A16" w:rsidR="007410CD" w:rsidRPr="00640F3E" w:rsidRDefault="69D6EB8D" w:rsidP="00EF6CBE">
            <w:pPr>
              <w:pStyle w:val="USBullet1"/>
              <w:spacing w:before="120" w:after="120"/>
            </w:pPr>
            <w:r>
              <w:t>What costs, risks, or unintended consequences should be considered?</w:t>
            </w:r>
          </w:p>
        </w:tc>
      </w:tr>
    </w:tbl>
    <w:p w14:paraId="363E3E9E" w14:textId="77777777" w:rsidR="002B4250" w:rsidRDefault="002B4250" w:rsidP="002B4250">
      <w:pPr>
        <w:pStyle w:val="USWhiteSpaceAfterTable"/>
      </w:pPr>
      <w:bookmarkStart w:id="162" w:name="_Toc234512883"/>
      <w:bookmarkStart w:id="163" w:name="_Toc236686039"/>
    </w:p>
    <w:p w14:paraId="0DCA9297" w14:textId="453FA8DF" w:rsidR="00897CA0" w:rsidRPr="009B72B1" w:rsidRDefault="00897CA0" w:rsidP="00897CA0">
      <w:pPr>
        <w:pStyle w:val="Heading3"/>
      </w:pPr>
      <w:bookmarkStart w:id="164" w:name="_Toc241658047"/>
      <w:r>
        <w:t>Opportunity 6: Embed clearer expectations for high-quality professional experience.</w:t>
      </w:r>
      <w:bookmarkEnd w:id="162"/>
      <w:bookmarkEnd w:id="163"/>
      <w:bookmarkEnd w:id="164"/>
    </w:p>
    <w:p w14:paraId="2F6672F0" w14:textId="496350D3" w:rsidR="00897CA0" w:rsidRPr="002C4CC8" w:rsidRDefault="49B9CA16" w:rsidP="00354639">
      <w:pPr>
        <w:pStyle w:val="Heading4"/>
      </w:pPr>
      <w:bookmarkStart w:id="165" w:name="_Toc1082353376"/>
      <w:r>
        <w:t>Current state</w:t>
      </w:r>
      <w:bookmarkEnd w:id="165"/>
    </w:p>
    <w:p w14:paraId="085430FD" w14:textId="77777777" w:rsidR="00897CA0" w:rsidRPr="00500EBB" w:rsidRDefault="00897CA0" w:rsidP="00897CA0">
      <w:pPr>
        <w:pStyle w:val="USBodyText"/>
      </w:pPr>
      <w:r w:rsidRPr="00500EBB">
        <w:t>Professional experience is integral to how well-prepared student teachers are when they graduate. It provides the opportunity to connect theory and practice, develop teaching skills, contextualise learning, build cultural awareness, and practice communication with parents and whānau. The Strong Beginnings report indicates that high-quality professional experience can support student teacher completion, successful transition into teaching, and longer-term retention in the profession.</w:t>
      </w:r>
      <w:r w:rsidRPr="43B75BAF">
        <w:rPr>
          <w:rStyle w:val="FootnoteReference"/>
          <w:rFonts w:ascii="Aptos" w:hAnsi="Aptos"/>
        </w:rPr>
        <w:footnoteReference w:id="53"/>
      </w:r>
      <w:r w:rsidRPr="00500EBB">
        <w:t xml:space="preserve"> For some student teachers, the quality of professional experience can determine whether they pass or fail a course.</w:t>
      </w:r>
      <w:r w:rsidRPr="43B75BAF">
        <w:rPr>
          <w:rStyle w:val="FootnoteReference"/>
          <w:rFonts w:ascii="Aptos" w:hAnsi="Aptos"/>
        </w:rPr>
        <w:footnoteReference w:id="54"/>
      </w:r>
      <w:r w:rsidRPr="00500EBB">
        <w:t xml:space="preserve"> </w:t>
      </w:r>
    </w:p>
    <w:p w14:paraId="20E81E8C" w14:textId="77777777" w:rsidR="00897CA0" w:rsidRPr="00500EBB" w:rsidRDefault="00897CA0" w:rsidP="002B4250">
      <w:pPr>
        <w:pStyle w:val="USBodyText"/>
        <w:spacing w:after="60"/>
      </w:pPr>
      <w:r w:rsidRPr="00500EBB">
        <w:t>Research and the existing Requirements identify a consistent set of characteristics associated with high-quality professional experience, including:</w:t>
      </w:r>
    </w:p>
    <w:p w14:paraId="03E8A306" w14:textId="77777777" w:rsidR="00897CA0" w:rsidRPr="002C4CC8" w:rsidRDefault="00897CA0" w:rsidP="00897CA0">
      <w:pPr>
        <w:pStyle w:val="USBullet1"/>
      </w:pPr>
      <w:r w:rsidRPr="002C4CC8">
        <w:t>Strong partnerships between providers and schools</w:t>
      </w:r>
    </w:p>
    <w:p w14:paraId="0EC2DF92" w14:textId="77777777" w:rsidR="00897CA0" w:rsidRPr="002C4CC8" w:rsidRDefault="00897CA0" w:rsidP="00897CA0">
      <w:pPr>
        <w:pStyle w:val="USBullet1"/>
      </w:pPr>
      <w:r w:rsidRPr="002C4CC8">
        <w:t>Clear roles and shared expectations</w:t>
      </w:r>
    </w:p>
    <w:p w14:paraId="650794F7" w14:textId="77777777" w:rsidR="00897CA0" w:rsidRPr="002C4CC8" w:rsidRDefault="00897CA0" w:rsidP="00897CA0">
      <w:pPr>
        <w:pStyle w:val="USBullet1"/>
      </w:pPr>
      <w:r w:rsidRPr="002C4CC8">
        <w:t>Deliberate associate teacher capability-building</w:t>
      </w:r>
    </w:p>
    <w:p w14:paraId="6EEAB905" w14:textId="77777777" w:rsidR="00897CA0" w:rsidRPr="002C4CC8" w:rsidRDefault="00897CA0" w:rsidP="00897CA0">
      <w:pPr>
        <w:pStyle w:val="USBullet1"/>
      </w:pPr>
      <w:r w:rsidRPr="002C4CC8">
        <w:t>Integration of theory and practice</w:t>
      </w:r>
    </w:p>
    <w:p w14:paraId="3DC8E73B" w14:textId="45802A1B" w:rsidR="00897CA0" w:rsidRPr="002C4CC8" w:rsidRDefault="00897CA0" w:rsidP="002B4250">
      <w:pPr>
        <w:pStyle w:val="USBullet1"/>
        <w:spacing w:after="180"/>
      </w:pPr>
      <w:r w:rsidRPr="002C4CC8">
        <w:t>Shared, transparent assessment of practice</w:t>
      </w:r>
      <w:r w:rsidR="006578DD">
        <w:t>.</w:t>
      </w:r>
    </w:p>
    <w:p w14:paraId="5F5BAA5C" w14:textId="6BF7C5D8" w:rsidR="00897CA0" w:rsidRPr="00500EBB" w:rsidRDefault="00897CA0" w:rsidP="00897CA0">
      <w:pPr>
        <w:pStyle w:val="USBodyText"/>
      </w:pPr>
      <w:r w:rsidRPr="00500EBB">
        <w:t xml:space="preserve">The 2019 Requirements strengthened professional experience by reflecting these characteristics and increasing the required number of days. However, the </w:t>
      </w:r>
      <w:r w:rsidR="242530F1">
        <w:t xml:space="preserve">ITE Programme </w:t>
      </w:r>
      <w:r w:rsidRPr="00500EBB">
        <w:t>Requirements rely heavily on providers to interpret and implement the conditions that make professional experience high quality.</w:t>
      </w:r>
    </w:p>
    <w:p w14:paraId="5AA362C9" w14:textId="77777777" w:rsidR="00897CA0" w:rsidRPr="00500EBB" w:rsidRDefault="00897CA0" w:rsidP="00897CA0">
      <w:pPr>
        <w:pStyle w:val="USBodyText"/>
      </w:pPr>
      <w:r w:rsidRPr="00500EBB">
        <w:t xml:space="preserve">This can result in variable placement quality and limited system-level visibility of whether key features are consistently realised. There is limited oversight of the quality and diversity of placement settings, </w:t>
      </w:r>
      <w:r w:rsidRPr="00500EBB">
        <w:lastRenderedPageBreak/>
        <w:t>the extent of active teaching undertaken by student teachers, the preparation and support provided to associate teachers, and how progression and professional growth are monitored during placements.</w:t>
      </w:r>
    </w:p>
    <w:p w14:paraId="4911B147" w14:textId="6EEA89D1" w:rsidR="00897CA0" w:rsidRPr="002C4CC8" w:rsidRDefault="49B9CA16" w:rsidP="00354639">
      <w:pPr>
        <w:pStyle w:val="Heading4"/>
      </w:pPr>
      <w:bookmarkStart w:id="166" w:name="_Toc118048843"/>
      <w:r>
        <w:t>The opportunity</w:t>
      </w:r>
      <w:bookmarkEnd w:id="166"/>
      <w:r w:rsidR="00897CA0">
        <w:t xml:space="preserve"> </w:t>
      </w:r>
    </w:p>
    <w:p w14:paraId="46CADF16" w14:textId="250D26AC" w:rsidR="00897CA0" w:rsidRPr="00500EBB" w:rsidRDefault="00897CA0" w:rsidP="00897CA0">
      <w:pPr>
        <w:pStyle w:val="USBodyText"/>
      </w:pPr>
      <w:r>
        <w:t xml:space="preserve">The Government has signalled a direction of reform that emphasises practice-based learning, closer provider-school partnerships, and stronger integration of theory and practice. These priorities are acknowledged in the </w:t>
      </w:r>
      <w:r w:rsidR="6E5DFBAF">
        <w:t>current ITE Programme Requirements</w:t>
      </w:r>
      <w:r>
        <w:t xml:space="preserve">, but there is an opportunity to define more clearly what they require in practice and how providers should evidence them. </w:t>
      </w:r>
    </w:p>
    <w:p w14:paraId="6FDD3737" w14:textId="1D5D4183" w:rsidR="00897CA0" w:rsidRPr="00500EBB" w:rsidRDefault="00897CA0" w:rsidP="00897CA0">
      <w:pPr>
        <w:pStyle w:val="USBodyText"/>
      </w:pPr>
      <w:r w:rsidRPr="00500EBB">
        <w:t>International framework</w:t>
      </w:r>
      <w:r>
        <w:t>s</w:t>
      </w:r>
      <w:r w:rsidR="4845051D">
        <w:t xml:space="preserve"> </w:t>
      </w:r>
      <w:r>
        <w:t>are more explicit about the conditions that support high-quality professional experience, including mentor capability, placement quality and diversity, regular feedback and support, and the integration of theory and practice.</w:t>
      </w:r>
      <w:r w:rsidRPr="00A213CC">
        <w:rPr>
          <w:rStyle w:val="FootnoteReference"/>
          <w:rFonts w:ascii="Aptos" w:hAnsi="Aptos"/>
        </w:rPr>
        <w:footnoteReference w:id="55"/>
      </w:r>
      <w:r>
        <w:t xml:space="preserve"> </w:t>
      </w:r>
    </w:p>
    <w:p w14:paraId="149C2C39" w14:textId="175A8CE6" w:rsidR="00897CA0" w:rsidRDefault="00897CA0" w:rsidP="00897CA0">
      <w:pPr>
        <w:pStyle w:val="USBodyText"/>
      </w:pPr>
      <w:r>
        <w:t xml:space="preserve">The </w:t>
      </w:r>
      <w:r w:rsidR="5424913D">
        <w:t>current ITE Programme Requirements</w:t>
      </w:r>
      <w:r>
        <w:t xml:space="preserve"> emphasise the duration of professional experience and broad expectations for its design. While this is an important foundation, they provide less direction regarding the defining features and conditions of high-quality professional experience. A stronger approach would clarify expectations for associate teacher capability, placement quality and diversity, active teaching opportunities, communication and support during placements, alignment with the programme’s model of progression, and how providers monitor and evidence student teacher development during professional experience.</w:t>
      </w:r>
    </w:p>
    <w:p w14:paraId="736C9F68" w14:textId="02C04F75" w:rsidR="00FC1C5E" w:rsidRDefault="00FC1C5E" w:rsidP="7DB33BB7">
      <w:pPr>
        <w:pStyle w:val="USBodyText"/>
      </w:pPr>
      <w:r>
        <w:t xml:space="preserve">Professional experience </w:t>
      </w:r>
      <w:r w:rsidR="00883D47">
        <w:t xml:space="preserve">is distinct from many other aspects of ITE because it is delivered through a partnership between providers, schools, kura, and early learning services. While providers retain responsibility for preparing teachers with the </w:t>
      </w:r>
      <w:r w:rsidR="00185E97">
        <w:t>knowled</w:t>
      </w:r>
      <w:r w:rsidR="009B2BD5">
        <w:t xml:space="preserve">ge, </w:t>
      </w:r>
      <w:r w:rsidR="00883D47">
        <w:t xml:space="preserve">practices, and capabilities needed in a learning environment, the quality of professional experience is influenced by the capacity, capability and commitment of placement settings and associate teachers. </w:t>
      </w:r>
      <w:r w:rsidR="1252BDE2">
        <w:t xml:space="preserve">Clearer expectations would help establish a common understanding of who is responsible for different aspects of professional experience quality and how these responsibilities should be shared across the partnership. </w:t>
      </w:r>
    </w:p>
    <w:p w14:paraId="46594845" w14:textId="77777777" w:rsidR="00897CA0" w:rsidRPr="00500EBB" w:rsidRDefault="00897CA0" w:rsidP="00897CA0">
      <w:pPr>
        <w:pStyle w:val="USBodyText"/>
      </w:pPr>
      <w:r w:rsidRPr="00500EBB">
        <w:t>This would support greater consistency across programmes while preserving flexibility for providers to design placements that reflect their programme model and context. It would also help distinguish between quality expectations that should apply across all pathways and design features that may need to vary by programme structure, including employment-based pathways.</w:t>
      </w:r>
    </w:p>
    <w:p w14:paraId="6A36566E" w14:textId="0ED12DA5" w:rsidR="00897CA0" w:rsidRPr="002C4CC8" w:rsidRDefault="2F9F5526" w:rsidP="00354639">
      <w:pPr>
        <w:pStyle w:val="Heading4"/>
      </w:pPr>
      <w:bookmarkStart w:id="167" w:name="_Toc427507963"/>
      <w:r w:rsidRPr="008C1B83">
        <w:lastRenderedPageBreak/>
        <w:t>What would change</w:t>
      </w:r>
      <w:bookmarkEnd w:id="167"/>
    </w:p>
    <w:p w14:paraId="419EB239" w14:textId="22D9E4FE" w:rsidR="00897CA0" w:rsidRPr="002C4CC8" w:rsidRDefault="49B9CA16" w:rsidP="00D27FBB">
      <w:pPr>
        <w:pStyle w:val="Heading5"/>
      </w:pPr>
      <w:bookmarkStart w:id="168" w:name="_Toc552209679"/>
      <w:r>
        <w:t>Strengthen expectations for associate teacher capability</w:t>
      </w:r>
      <w:bookmarkEnd w:id="168"/>
    </w:p>
    <w:p w14:paraId="0027FCA4" w14:textId="0E297D76" w:rsidR="00897CA0" w:rsidRPr="00F10735" w:rsidRDefault="2639BDB3" w:rsidP="65C5DE98">
      <w:pPr>
        <w:pStyle w:val="USBodyText"/>
      </w:pPr>
      <w:r>
        <w:t>The ITE Programme Requirements</w:t>
      </w:r>
      <w:r w:rsidR="00897CA0">
        <w:t xml:space="preserve"> </w:t>
      </w:r>
      <w:r w:rsidR="328EDE84">
        <w:t>would</w:t>
      </w:r>
      <w:r w:rsidR="00897CA0">
        <w:t xml:space="preserve"> more clearly define the minimum expectations for associate teacher preparation. This </w:t>
      </w:r>
      <w:r w:rsidR="78CE04E1">
        <w:t>would</w:t>
      </w:r>
      <w:r w:rsidR="00897CA0">
        <w:t xml:space="preserve"> include structure</w:t>
      </w:r>
      <w:r w:rsidR="00897CA0" w:rsidRPr="00F10735">
        <w:t xml:space="preserve">d </w:t>
      </w:r>
      <w:r w:rsidR="00EC266A" w:rsidRPr="00F10735">
        <w:t>training/</w:t>
      </w:r>
      <w:r w:rsidR="003B0078" w:rsidRPr="00F10735">
        <w:t>guidance</w:t>
      </w:r>
      <w:r w:rsidR="00897CA0" w:rsidRPr="00F10735">
        <w:t xml:space="preserve"> on expectations for observation and feedback, and clarity about the associate teacher’s role in supporting student teacher learning and assessing practice against </w:t>
      </w:r>
      <w:r w:rsidR="00C702BB" w:rsidRPr="00F10735">
        <w:t>the Standards for the Teaching Profession</w:t>
      </w:r>
      <w:r w:rsidR="00897CA0" w:rsidRPr="00F10735">
        <w:t>.</w:t>
      </w:r>
    </w:p>
    <w:p w14:paraId="1913E171" w14:textId="7E42FEAC" w:rsidR="00897CA0" w:rsidRPr="00500EBB" w:rsidRDefault="51289D32" w:rsidP="00897CA0">
      <w:pPr>
        <w:pStyle w:val="USBodyText"/>
      </w:pPr>
      <w:r w:rsidRPr="00F10735">
        <w:t>With changes to the</w:t>
      </w:r>
      <w:r w:rsidR="242530F1" w:rsidRPr="00F10735">
        <w:t xml:space="preserve"> ITE Programme</w:t>
      </w:r>
      <w:r w:rsidRPr="00F10735">
        <w:t xml:space="preserve"> Requirements and </w:t>
      </w:r>
      <w:r w:rsidR="00C702BB" w:rsidRPr="00F10735">
        <w:t>the Standards for the Teaching Profession</w:t>
      </w:r>
      <w:r w:rsidRPr="00F10735">
        <w:t>, training</w:t>
      </w:r>
      <w:r w:rsidR="00EC266A" w:rsidRPr="00F10735">
        <w:t>/guidance</w:t>
      </w:r>
      <w:r>
        <w:t xml:space="preserve"> will provide essential support for associate teachers to understand what student teachers are expected to know and be able to do during professional experience. </w:t>
      </w:r>
      <w:r w:rsidR="63B47533">
        <w:t xml:space="preserve">This </w:t>
      </w:r>
      <w:r w:rsidR="36171B31">
        <w:t>sh</w:t>
      </w:r>
      <w:r w:rsidR="426C956F">
        <w:t>ould</w:t>
      </w:r>
      <w:r w:rsidR="63B47533">
        <w:t xml:space="preserve"> include </w:t>
      </w:r>
      <w:r w:rsidR="07241470">
        <w:t>an understanding of the new shared core that will underpin all ITE Programmes</w:t>
      </w:r>
      <w:r w:rsidR="061A69CA">
        <w:t xml:space="preserve">, enabling </w:t>
      </w:r>
      <w:r w:rsidR="0351C79A">
        <w:t>associate teachers to support and assess student teachers against a common set of expectations</w:t>
      </w:r>
      <w:r w:rsidR="07241470">
        <w:t xml:space="preserve">. </w:t>
      </w:r>
      <w:r w:rsidR="54DDD8D6">
        <w:t xml:space="preserve">It </w:t>
      </w:r>
      <w:r w:rsidR="63774EB8">
        <w:t>sh</w:t>
      </w:r>
      <w:r w:rsidR="4A5888F7">
        <w:t>oul</w:t>
      </w:r>
      <w:r w:rsidR="54DDD8D6">
        <w:t xml:space="preserve">d also support associate teachers to help students apply this learning in practice, including </w:t>
      </w:r>
      <w:r w:rsidR="4E0755B2">
        <w:t>adapting teaching</w:t>
      </w:r>
      <w:r w:rsidR="0672966B">
        <w:t>,</w:t>
      </w:r>
      <w:r w:rsidR="4E0755B2">
        <w:t xml:space="preserve"> </w:t>
      </w:r>
      <w:r w:rsidR="60C6F2A8">
        <w:t>h</w:t>
      </w:r>
      <w:r>
        <w:t>elping</w:t>
      </w:r>
      <w:r w:rsidR="3D9EF72B">
        <w:t xml:space="preserve"> </w:t>
      </w:r>
      <w:r>
        <w:t xml:space="preserve">to meet the needs of diverse learners, </w:t>
      </w:r>
      <w:r w:rsidR="4E0755B2">
        <w:t xml:space="preserve">using </w:t>
      </w:r>
      <w:r>
        <w:t>subject-specific pedagogical practices, creating safe and supportive learning environments, and developing their capacity to exercise professional judgement to be responsive to different learners, settings and communities.</w:t>
      </w:r>
    </w:p>
    <w:p w14:paraId="2ABC78EE" w14:textId="7239A2D4" w:rsidR="00897CA0" w:rsidRPr="00500EBB" w:rsidRDefault="00897CA0" w:rsidP="65C5DE98">
      <w:pPr>
        <w:pStyle w:val="USBodyText"/>
      </w:pPr>
      <w:r>
        <w:t>Providers</w:t>
      </w:r>
      <w:r w:rsidR="3A590F2D">
        <w:t xml:space="preserve"> would</w:t>
      </w:r>
      <w:r>
        <w:t xml:space="preserve"> be expected to provide associate teachers with information about the programme, including what student teachers are learning, the assessment framework, key teaching tasks and the programme’s model of progression. This is particularly important because ECE services and schools may host student teachers from multiple providers, each with different programme structures, terminology, assessment processes and expectations. While associate teachers should understand these elements to make connections between a student teacher’s training and the professional experience placement, they should not be required to strictly reproduce the provider’s teacher development model. Rather, associate teachers should be enabled to model effective practice, explain their professional decision-making, observe and provide developmental feedback in ways that effectively support the development of the student teacher.</w:t>
      </w:r>
    </w:p>
    <w:p w14:paraId="1B78123E" w14:textId="38A1398D" w:rsidR="00897CA0" w:rsidRPr="00500EBB" w:rsidRDefault="00897CA0" w:rsidP="00897CA0">
      <w:pPr>
        <w:pStyle w:val="USBodyText"/>
      </w:pPr>
      <w:r>
        <w:t>Given that associate teacher resources and professional learning opportunities are often voluntary and vary in uptake, this could be supported by a clearer agreement between providers and associate teachers that sets minimum expectations for information-sharing, support and feedback.</w:t>
      </w:r>
      <w:r w:rsidR="00156A0E">
        <w:t xml:space="preserve"> </w:t>
      </w:r>
      <w:r w:rsidR="00C17CF1">
        <w:t>A</w:t>
      </w:r>
      <w:r w:rsidR="00A006A0">
        <w:t>n agreement could provide greater clarity</w:t>
      </w:r>
      <w:r w:rsidR="00116BB3">
        <w:t xml:space="preserve"> regarding the respective roles and responsibilities of </w:t>
      </w:r>
      <w:r w:rsidR="4610A49D">
        <w:t>providers, associate teachers</w:t>
      </w:r>
      <w:r w:rsidR="00116BB3">
        <w:t xml:space="preserve">, and professional experience </w:t>
      </w:r>
      <w:r w:rsidR="4610A49D">
        <w:t xml:space="preserve">settings, while </w:t>
      </w:r>
      <w:r w:rsidR="00116BB3">
        <w:t>recognis</w:t>
      </w:r>
      <w:r w:rsidR="37F09210">
        <w:t>ing</w:t>
      </w:r>
      <w:r w:rsidR="00116BB3">
        <w:t xml:space="preserve"> that </w:t>
      </w:r>
      <w:r w:rsidR="6143490A">
        <w:t xml:space="preserve">high-quality </w:t>
      </w:r>
      <w:r w:rsidR="00116BB3">
        <w:t xml:space="preserve">professional experience </w:t>
      </w:r>
      <w:r w:rsidR="185CFD78">
        <w:t>depends o</w:t>
      </w:r>
      <w:r w:rsidR="36B7BA5F">
        <w:t>n</w:t>
      </w:r>
      <w:r w:rsidR="185CFD78">
        <w:t xml:space="preserve"> effective partnerships between them. </w:t>
      </w:r>
    </w:p>
    <w:p w14:paraId="6860A106" w14:textId="387E3E09" w:rsidR="00897CA0" w:rsidRPr="00500EBB" w:rsidRDefault="00897CA0" w:rsidP="00AE2209">
      <w:pPr>
        <w:pStyle w:val="USBodyText"/>
      </w:pPr>
      <w:r w:rsidRPr="00500EBB">
        <w:t xml:space="preserve">It will be important to balance the need for greater expectations with the practical realities of school capacity, ensuring that any additional responsibilities placed on associate teachers remain achievable and do not inadvertently reduce the availability or diversity of placement opportunities across different contexts and settings. </w:t>
      </w:r>
    </w:p>
    <w:p w14:paraId="5E0E4E7A" w14:textId="027200BB" w:rsidR="00897CA0" w:rsidRPr="002C4CC8" w:rsidRDefault="49B9CA16" w:rsidP="00D27FBB">
      <w:pPr>
        <w:pStyle w:val="Heading5"/>
      </w:pPr>
      <w:bookmarkStart w:id="169" w:name="_Toc959610532"/>
      <w:r>
        <w:t>Strengthen expectations for active teaching aligned to the model of progression</w:t>
      </w:r>
      <w:bookmarkEnd w:id="169"/>
      <w:r w:rsidR="00897CA0">
        <w:t xml:space="preserve"> </w:t>
      </w:r>
    </w:p>
    <w:p w14:paraId="65E57C5A" w14:textId="0285D1F7" w:rsidR="00897CA0" w:rsidRPr="00500EBB" w:rsidRDefault="6DB0E8B1" w:rsidP="65C5DE98">
      <w:pPr>
        <w:pStyle w:val="USBodyText"/>
      </w:pPr>
      <w:r>
        <w:t>The ITE Programme Requirements</w:t>
      </w:r>
      <w:r w:rsidR="00897CA0">
        <w:t xml:space="preserve"> </w:t>
      </w:r>
      <w:r w:rsidR="38F15898">
        <w:t>would be adjusted to make it</w:t>
      </w:r>
      <w:r w:rsidR="00897CA0">
        <w:t xml:space="preserve"> clearer that professional experience is not only about time spent in a setting. It should provide structured opportunities for student teachers </w:t>
      </w:r>
      <w:r w:rsidR="00897CA0">
        <w:lastRenderedPageBreak/>
        <w:t>to observe, plan, teach, assess, manage classroom routines, receive feedback and apply that feedback over time.</w:t>
      </w:r>
    </w:p>
    <w:p w14:paraId="2FE08753" w14:textId="7CC365FD" w:rsidR="00897CA0" w:rsidRDefault="00897CA0" w:rsidP="00897CA0">
      <w:pPr>
        <w:pStyle w:val="USBodyText"/>
      </w:pPr>
      <w:r>
        <w:t xml:space="preserve">Professional experience should support progression from observation and supported practice through to increasing responsibility. </w:t>
      </w:r>
      <w:r w:rsidR="6DB0E8B1">
        <w:t>The ITE Programme Requirements</w:t>
      </w:r>
      <w:r>
        <w:t xml:space="preserve"> </w:t>
      </w:r>
      <w:r w:rsidR="0F46D047">
        <w:t>would</w:t>
      </w:r>
      <w:r>
        <w:t xml:space="preserve"> expect providers to show how active teaching opportunities are sequenced and linked to the programme’s model of progression and assessment framework (see Opportunity 3).</w:t>
      </w:r>
    </w:p>
    <w:p w14:paraId="53B453F1" w14:textId="07E8CF65" w:rsidR="00897CA0" w:rsidRPr="00500EBB" w:rsidRDefault="00897CA0" w:rsidP="65C5DE98">
      <w:pPr>
        <w:pStyle w:val="USBodyText"/>
      </w:pPr>
      <w:r>
        <w:t xml:space="preserve">This </w:t>
      </w:r>
      <w:r w:rsidR="0690AFB0">
        <w:t>would</w:t>
      </w:r>
      <w:r>
        <w:t xml:space="preserve"> include providing structure</w:t>
      </w:r>
      <w:r w:rsidR="77D03DE3">
        <w:t>d</w:t>
      </w:r>
      <w:r>
        <w:t xml:space="preserve"> opportunities for student teachers to develop and demonstrate their capability to teach diverse learning, including learners with disabilities and additional learning needs, neurodivergent learners, Pasifika and Māori learners, and learners from culturally and linguistically diverse backgrounds. </w:t>
      </w:r>
    </w:p>
    <w:p w14:paraId="480527C1" w14:textId="3274D204" w:rsidR="00897CA0" w:rsidRPr="002C4CC8" w:rsidRDefault="49B9CA16" w:rsidP="00D27FBB">
      <w:pPr>
        <w:pStyle w:val="Heading5"/>
      </w:pPr>
      <w:bookmarkStart w:id="170" w:name="_Toc899320090"/>
      <w:r>
        <w:t>Strengthen expectations for communication and support during professional experience placement</w:t>
      </w:r>
      <w:bookmarkEnd w:id="170"/>
    </w:p>
    <w:p w14:paraId="08D303D7" w14:textId="16753AB9" w:rsidR="00897CA0" w:rsidRPr="00500EBB" w:rsidRDefault="00897CA0" w:rsidP="00897CA0">
      <w:pPr>
        <w:pStyle w:val="USBodyText"/>
      </w:pPr>
      <w:r>
        <w:t xml:space="preserve">The </w:t>
      </w:r>
      <w:r w:rsidR="131A55C3">
        <w:t>current ITE Programme Requirements</w:t>
      </w:r>
      <w:r>
        <w:t xml:space="preserve"> emphasise communication before and after professional experience but are not explicit about expectations for communication and support during professional experience placement itself. </w:t>
      </w:r>
    </w:p>
    <w:p w14:paraId="2246F1B9" w14:textId="77777777" w:rsidR="00897CA0" w:rsidRPr="00500EBB" w:rsidRDefault="00897CA0" w:rsidP="002B4250">
      <w:pPr>
        <w:pStyle w:val="USBodyText"/>
        <w:spacing w:after="60"/>
      </w:pPr>
      <w:r w:rsidRPr="00500EBB">
        <w:t>This means that the level of engagement between providers and professional experience settings can vary, with potential impacts on the:</w:t>
      </w:r>
    </w:p>
    <w:p w14:paraId="16B41CE7" w14:textId="77777777" w:rsidR="00897CA0" w:rsidRPr="002C4CC8" w:rsidRDefault="00897CA0" w:rsidP="00897CA0">
      <w:pPr>
        <w:pStyle w:val="USBullet1"/>
      </w:pPr>
      <w:r w:rsidRPr="002C4CC8">
        <w:t>Consistency of support for student teachers</w:t>
      </w:r>
    </w:p>
    <w:p w14:paraId="16C58377" w14:textId="77777777" w:rsidR="00897CA0" w:rsidRPr="002C4CC8" w:rsidRDefault="00897CA0" w:rsidP="00897CA0">
      <w:pPr>
        <w:pStyle w:val="USBullet1"/>
      </w:pPr>
      <w:r w:rsidRPr="002C4CC8">
        <w:t>Timely identification of issues during placement</w:t>
      </w:r>
    </w:p>
    <w:p w14:paraId="325132E4" w14:textId="660AC04D" w:rsidR="00897CA0" w:rsidRPr="002C4CC8" w:rsidRDefault="00897CA0" w:rsidP="002B4250">
      <w:pPr>
        <w:pStyle w:val="USBullet1"/>
        <w:spacing w:after="180"/>
      </w:pPr>
      <w:r w:rsidRPr="002C4CC8">
        <w:t>Overall quality of the learning experience</w:t>
      </w:r>
      <w:r w:rsidR="006578DD">
        <w:t>.</w:t>
      </w:r>
    </w:p>
    <w:p w14:paraId="701A1351" w14:textId="77777777" w:rsidR="00897CA0" w:rsidRPr="00500EBB" w:rsidRDefault="00897CA0" w:rsidP="00897CA0">
      <w:pPr>
        <w:pStyle w:val="USBodyText"/>
      </w:pPr>
      <w:r w:rsidRPr="00500EBB">
        <w:t xml:space="preserve">Stronger in-placement communication also enables providers to better support student teacher wellbeing, which is critical to helping them meet the demands of professional experience and maximise learning outcomes. </w:t>
      </w:r>
    </w:p>
    <w:p w14:paraId="53DE642E" w14:textId="2614E806" w:rsidR="00897CA0" w:rsidRPr="00500EBB" w:rsidRDefault="30955573" w:rsidP="65C5DE98">
      <w:pPr>
        <w:pStyle w:val="USBodyText"/>
      </w:pPr>
      <w:r>
        <w:t>The ITE Programme Requirements</w:t>
      </w:r>
      <w:r w:rsidR="00897CA0">
        <w:t xml:space="preserve"> </w:t>
      </w:r>
      <w:r w:rsidR="39C16168">
        <w:t>would be amended to</w:t>
      </w:r>
      <w:r w:rsidR="00897CA0">
        <w:t xml:space="preserve"> more clearly articulate expectations for communication and support throughout professional experience placement. </w:t>
      </w:r>
      <w:r w:rsidR="0BEA3634">
        <w:t>This should include greater clarity regarding who is responsible for maintaining communication, monitoring student teacher progress, ra</w:t>
      </w:r>
      <w:r w:rsidR="23F476CB">
        <w:t>is</w:t>
      </w:r>
      <w:r w:rsidR="0BEA3634">
        <w:t xml:space="preserve">ing concerns when issues arise, and responding to those concerns. </w:t>
      </w:r>
    </w:p>
    <w:p w14:paraId="3363F6FF" w14:textId="4C06838E" w:rsidR="00897CA0" w:rsidRPr="00500EBB" w:rsidRDefault="00897CA0" w:rsidP="65C5DE98">
      <w:pPr>
        <w:pStyle w:val="USBodyText"/>
      </w:pPr>
      <w:r>
        <w:t xml:space="preserve">This could include establishing minimum expectations for key engagement points during placement, while allowing flexibility based on placement length, context and student teacher need. Rather than focusing solely on the frequency of contact, the </w:t>
      </w:r>
      <w:r w:rsidR="242530F1">
        <w:t xml:space="preserve">ITE Programme </w:t>
      </w:r>
      <w:r>
        <w:t xml:space="preserve">Requirements </w:t>
      </w:r>
      <w:r w:rsidR="75280FC9">
        <w:t>w</w:t>
      </w:r>
      <w:r>
        <w:t>ould clarify the purpose of communication and the decisions, feedback and support that each interaction is intended to enable, including monitoring progress and wellbeing, addressing concerns early, and supporting student teacher development.</w:t>
      </w:r>
    </w:p>
    <w:p w14:paraId="1D07761F" w14:textId="4AD78B8A" w:rsidR="00897CA0" w:rsidRPr="002C4CC8" w:rsidRDefault="49B9CA16" w:rsidP="00D27FBB">
      <w:pPr>
        <w:pStyle w:val="Heading5"/>
      </w:pPr>
      <w:bookmarkStart w:id="171" w:name="_Toc638091952"/>
      <w:r>
        <w:lastRenderedPageBreak/>
        <w:t>Better differentiate requirements across programme structures</w:t>
      </w:r>
      <w:bookmarkEnd w:id="171"/>
    </w:p>
    <w:p w14:paraId="424B42CD" w14:textId="4D1B75CA" w:rsidR="00897CA0" w:rsidRPr="00500EBB" w:rsidRDefault="30955573" w:rsidP="00897CA0">
      <w:pPr>
        <w:pStyle w:val="USBodyText"/>
      </w:pPr>
      <w:r>
        <w:t>The ITE Programme Requirements</w:t>
      </w:r>
      <w:r w:rsidR="00897CA0">
        <w:t xml:space="preserve"> </w:t>
      </w:r>
      <w:r w:rsidR="32A4EE70">
        <w:t>would be amended to</w:t>
      </w:r>
      <w:r w:rsidR="00897CA0">
        <w:t xml:space="preserve"> distinguish more clearly between common quality expectations and pathway-specific design features. Different programme structures, including employment-based pathways, should be expected to meet a consistent quality bar, but may need different design settings to make those expectations workable.</w:t>
      </w:r>
    </w:p>
    <w:p w14:paraId="5C4E8D82" w14:textId="77777777" w:rsidR="00897CA0" w:rsidRDefault="00897CA0" w:rsidP="00897CA0">
      <w:pPr>
        <w:pStyle w:val="USBodyText"/>
      </w:pPr>
      <w:r>
        <w:t xml:space="preserve">Exposure to diverse learners, communities and educational contexts is an important component of high-quality professional experience. For most programmes, the simplest and most direct way to achieve this is through professional experience placements across different settings, enabling teachers to develop and apply their knowledge in a range of contexts. </w:t>
      </w:r>
    </w:p>
    <w:p w14:paraId="4C97A8AA" w14:textId="77777777" w:rsidR="00897CA0" w:rsidRPr="00500EBB" w:rsidRDefault="00897CA0" w:rsidP="00897CA0">
      <w:pPr>
        <w:pStyle w:val="USBodyText"/>
      </w:pPr>
      <w:r>
        <w:t>Some programme structures, particularly employment based one-year pathways, can face practical challenges in meeting prescriptive requirements. Releasing a student teacher from their employing school for extended periods may create significant operational pressures for schools and providers.</w:t>
      </w:r>
    </w:p>
    <w:p w14:paraId="712E65EF" w14:textId="23055E15" w:rsidR="00897CA0" w:rsidRDefault="0F61ACF7" w:rsidP="65C5DE98">
      <w:pPr>
        <w:pStyle w:val="USBodyText"/>
      </w:pPr>
      <w:r>
        <w:t>The ITE Programme Requirements</w:t>
      </w:r>
      <w:r w:rsidR="00897CA0">
        <w:t xml:space="preserve"> </w:t>
      </w:r>
      <w:r w:rsidR="5ECE45A8">
        <w:t>would</w:t>
      </w:r>
      <w:r w:rsidR="00897CA0">
        <w:t xml:space="preserve"> therefore focus less on prescribing a single mechanism and more on the outcome being achieved. Exposure to diverse learners, communities and educational contexts should remain the expectation, and professional experience across different settings should remain the preferred approach where feasible. However, providers </w:t>
      </w:r>
      <w:r w:rsidR="6EEA87BB">
        <w:t>w</w:t>
      </w:r>
      <w:r w:rsidR="00897CA0">
        <w:t>ould be able to demonstrate alternative approaches to achieving this outcome where specific placement requirements are less practical.</w:t>
      </w:r>
    </w:p>
    <w:p w14:paraId="1C097C69" w14:textId="252FE6D5" w:rsidR="00897CA0" w:rsidRPr="002C4CC8" w:rsidRDefault="49B9CA16" w:rsidP="00D27FBB">
      <w:pPr>
        <w:pStyle w:val="Heading5"/>
      </w:pPr>
      <w:bookmarkStart w:id="172" w:name="_Toc1757618208"/>
      <w:r>
        <w:t xml:space="preserve">Identify system-level supports required beyond the </w:t>
      </w:r>
      <w:r w:rsidR="0960D603">
        <w:t xml:space="preserve">ITE Programme </w:t>
      </w:r>
      <w:r>
        <w:t>Requirements</w:t>
      </w:r>
      <w:bookmarkEnd w:id="172"/>
    </w:p>
    <w:p w14:paraId="32F681EA" w14:textId="16102E35" w:rsidR="00897CA0" w:rsidRPr="001D0191" w:rsidRDefault="49B9CA16" w:rsidP="00897CA0">
      <w:pPr>
        <w:pStyle w:val="USBodyText"/>
      </w:pPr>
      <w:r>
        <w:t>While the</w:t>
      </w:r>
      <w:r w:rsidR="0960D603">
        <w:t xml:space="preserve"> ITE Programme</w:t>
      </w:r>
      <w:r>
        <w:t xml:space="preserve"> Requirements can strengthen expectations for high-quality professional experience, many of the factors that determine whether those expectations are realised sit outside the </w:t>
      </w:r>
      <w:r w:rsidR="0960D603">
        <w:t xml:space="preserve">ITE Programme </w:t>
      </w:r>
      <w:r>
        <w:t>Requirements themselves</w:t>
      </w:r>
      <w:r w:rsidR="41767CD8">
        <w:t xml:space="preserve"> and may require complementary non-regulatory responses</w:t>
      </w:r>
      <w:r>
        <w:t>. The availability and quality of professional experience placements are influenced by associate teacher capacity, workload, remuneration, access to professional learning, provider-school relationships, and the willingness of schools, kura and early learning services to host and support student teachers.</w:t>
      </w:r>
    </w:p>
    <w:p w14:paraId="35E2C992" w14:textId="26FCAB46" w:rsidR="00897CA0" w:rsidRPr="001D0191" w:rsidRDefault="49B9CA16" w:rsidP="00897CA0">
      <w:pPr>
        <w:pStyle w:val="USBodyText"/>
      </w:pPr>
      <w:r w:rsidRPr="001D0191">
        <w:t xml:space="preserve">These factors have a significant influence on placement quality and graduate readiness but cannot be addressed through </w:t>
      </w:r>
      <w:r>
        <w:t xml:space="preserve">the </w:t>
      </w:r>
      <w:r w:rsidR="0960D603">
        <w:t xml:space="preserve">ITE Programme </w:t>
      </w:r>
      <w:r>
        <w:t>R</w:t>
      </w:r>
      <w:r w:rsidRPr="001D0191">
        <w:t xml:space="preserve">equirements alone. There is a risk that increasing expectations within the </w:t>
      </w:r>
      <w:r w:rsidR="0960D603">
        <w:t xml:space="preserve">ITE Programme </w:t>
      </w:r>
      <w:r w:rsidRPr="001D0191">
        <w:t>Requirements without addressing these underlying system settings could increase burden on providers and placement settings without delivering the intended improvements in practice.</w:t>
      </w:r>
      <w:r w:rsidR="45FA4CFE">
        <w:t xml:space="preserve"> </w:t>
      </w:r>
      <w:r w:rsidR="45FA4CFE" w:rsidRPr="1709B4D8">
        <w:t>While there is separate work underway to strengthen the capacity of schools, kura and early learning services to host and support student teachers,</w:t>
      </w:r>
      <w:r w:rsidR="00897CA0" w:rsidRPr="1709B4D8">
        <w:rPr>
          <w:rStyle w:val="FootnoteReference"/>
        </w:rPr>
        <w:footnoteReference w:id="56"/>
      </w:r>
      <w:r w:rsidR="45FA4CFE" w:rsidRPr="1709B4D8">
        <w:t xml:space="preserve"> it will be important that any changes to the </w:t>
      </w:r>
      <w:r w:rsidR="0960D603" w:rsidRPr="1709B4D8">
        <w:t xml:space="preserve">ITE Programme </w:t>
      </w:r>
      <w:r w:rsidR="45FA4CFE" w:rsidRPr="1709B4D8">
        <w:t>Requirements are aligned with current capacity and investment levels</w:t>
      </w:r>
      <w:r w:rsidR="5E0EF6F4" w:rsidRPr="1709B4D8">
        <w:t xml:space="preserve"> to ensure expectations remain achievable in practice.</w:t>
      </w:r>
      <w:r w:rsidR="5E0EF6F4">
        <w:t xml:space="preserve"> </w:t>
      </w:r>
    </w:p>
    <w:p w14:paraId="585BBE87" w14:textId="1DBCFE8F" w:rsidR="00897CA0" w:rsidRDefault="49B9CA16" w:rsidP="00897CA0">
      <w:pPr>
        <w:pStyle w:val="USBodyText"/>
      </w:pPr>
      <w:r>
        <w:lastRenderedPageBreak/>
        <w:t xml:space="preserve">Strengthening the </w:t>
      </w:r>
      <w:r w:rsidR="0960D603">
        <w:t xml:space="preserve">ITE Programme </w:t>
      </w:r>
      <w:r>
        <w:t>Requirements should be accompanied by broader system-level action. This could include investment in associate teacher capability, stronger support and recognition for mentoring and supervision, improved coordination between providers and placement settings, and wider efforts to increase the availability and quality of professional experience opportunities.</w:t>
      </w:r>
    </w:p>
    <w:p w14:paraId="57FA25B9" w14:textId="18761698" w:rsidR="00A50913" w:rsidRPr="002C4CC8" w:rsidRDefault="3C6D19AF" w:rsidP="1709B4D8">
      <w:pPr>
        <w:pStyle w:val="Heading4"/>
      </w:pPr>
      <w:bookmarkStart w:id="173" w:name="_Toc262436768"/>
      <w:r>
        <w:t>Implementation considerations</w:t>
      </w:r>
      <w:bookmarkEnd w:id="173"/>
    </w:p>
    <w:p w14:paraId="0931D662" w14:textId="6340C486" w:rsidR="00A50913" w:rsidRDefault="0DD10AAA" w:rsidP="002B4250">
      <w:pPr>
        <w:pStyle w:val="USBodyText"/>
        <w:spacing w:after="360"/>
      </w:pPr>
      <w:r>
        <w:t xml:space="preserve">Many of the factors that influence placement quality sit outside of the direct control of providers and </w:t>
      </w:r>
      <w:r w:rsidR="00AA763C">
        <w:t xml:space="preserve">are </w:t>
      </w:r>
      <w:r>
        <w:t>affected by workforce capacity, access to professional learning, placement availability, and the willingness of schools, kura and early le</w:t>
      </w:r>
      <w:r w:rsidR="5A5249D9">
        <w:t xml:space="preserve">arning services to host and support student teachers. While there is value in strengthening expectations regarding professional experience, </w:t>
      </w:r>
      <w:r w:rsidR="283BBAA6">
        <w:t xml:space="preserve">implementation would need to remain achievable and </w:t>
      </w:r>
      <w:r w:rsidR="402B612D">
        <w:t xml:space="preserve">ensure that </w:t>
      </w:r>
      <w:r w:rsidR="7FE24986">
        <w:t>these expectations</w:t>
      </w:r>
      <w:r w:rsidR="402B612D">
        <w:t xml:space="preserve"> are applied across different programme models and contexts. </w:t>
      </w:r>
    </w:p>
    <w:tbl>
      <w:tblPr>
        <w:tblStyle w:val="TableGrid"/>
        <w:tblW w:w="0" w:type="auto"/>
        <w:tblCellMar>
          <w:top w:w="198" w:type="dxa"/>
          <w:left w:w="170" w:type="dxa"/>
          <w:bottom w:w="198" w:type="dxa"/>
          <w:right w:w="170" w:type="dxa"/>
        </w:tblCellMar>
        <w:tblLook w:val="06A0" w:firstRow="1" w:lastRow="0" w:firstColumn="1" w:lastColumn="0" w:noHBand="1" w:noVBand="1"/>
      </w:tblPr>
      <w:tblGrid>
        <w:gridCol w:w="9060"/>
      </w:tblGrid>
      <w:tr w:rsidR="6E293931" w14:paraId="088DD7B7" w14:textId="77777777" w:rsidTr="00651998">
        <w:trPr>
          <w:trHeight w:val="300"/>
        </w:trPr>
        <w:tc>
          <w:tcPr>
            <w:tcW w:w="9060" w:type="dxa"/>
            <w:tcBorders>
              <w:top w:val="nil"/>
              <w:left w:val="nil"/>
              <w:bottom w:val="nil"/>
              <w:right w:val="nil"/>
            </w:tcBorders>
            <w:shd w:val="clear" w:color="auto" w:fill="D5E4E6" w:themeFill="accent1" w:themeFillTint="33"/>
          </w:tcPr>
          <w:p w14:paraId="7CDB38B8" w14:textId="2164182C" w:rsidR="2627CB5F" w:rsidRPr="00C31A46" w:rsidRDefault="47098182" w:rsidP="00651998">
            <w:pPr>
              <w:pStyle w:val="Heading4"/>
              <w:spacing w:before="0"/>
            </w:pPr>
            <w:bookmarkStart w:id="174" w:name="_Toc1830965445"/>
            <w:r>
              <w:t>For discussion:</w:t>
            </w:r>
            <w:bookmarkEnd w:id="174"/>
          </w:p>
          <w:p w14:paraId="0D15E5E6" w14:textId="2B137A9E" w:rsidR="1AE804CB" w:rsidRDefault="4B53DFD7" w:rsidP="00651998">
            <w:pPr>
              <w:pStyle w:val="USBullet1"/>
              <w:spacing w:before="120" w:after="120"/>
            </w:pPr>
            <w:r>
              <w:t xml:space="preserve">To what extent do you agree with the rationale for this opportunity? </w:t>
            </w:r>
          </w:p>
          <w:p w14:paraId="2D585A1C" w14:textId="0445BF2E" w:rsidR="1AE804CB" w:rsidRDefault="4B53DFD7" w:rsidP="00651998">
            <w:pPr>
              <w:pStyle w:val="USBullet1"/>
              <w:spacing w:before="120" w:after="120"/>
            </w:pPr>
            <w:r>
              <w:t xml:space="preserve">Are there alternative approaches that you would recommend instead? </w:t>
            </w:r>
          </w:p>
          <w:p w14:paraId="682221F6" w14:textId="74D70816" w:rsidR="1AE804CB" w:rsidRDefault="4B53DFD7" w:rsidP="00651998">
            <w:pPr>
              <w:pStyle w:val="USBullet1"/>
              <w:spacing w:before="120" w:after="120"/>
            </w:pPr>
            <w:r>
              <w:t>What costs, risks, or unintended consequences should be considered?</w:t>
            </w:r>
          </w:p>
        </w:tc>
      </w:tr>
    </w:tbl>
    <w:p w14:paraId="3B4940C5" w14:textId="77777777" w:rsidR="002B4250" w:rsidRDefault="002B4250" w:rsidP="002B4250">
      <w:pPr>
        <w:pStyle w:val="USWhiteSpaceAfterTable"/>
      </w:pPr>
      <w:bookmarkStart w:id="175" w:name="_Toc234512884"/>
      <w:bookmarkStart w:id="176" w:name="_Toc236686040"/>
    </w:p>
    <w:p w14:paraId="52A92EBD" w14:textId="621ADAD0" w:rsidR="00897CA0" w:rsidRPr="00D7584D" w:rsidRDefault="00897CA0" w:rsidP="00897CA0">
      <w:pPr>
        <w:pStyle w:val="Heading3"/>
        <w:rPr>
          <w:rFonts w:ascii="Aptos" w:hAnsi="Aptos"/>
          <w:sz w:val="21"/>
          <w:szCs w:val="21"/>
        </w:rPr>
      </w:pPr>
      <w:bookmarkStart w:id="177" w:name="_Toc241658048"/>
      <w:r w:rsidRPr="045E5A3E">
        <w:rPr>
          <w:rFonts w:ascii="Aptos" w:hAnsi="Aptos"/>
        </w:rPr>
        <w:t xml:space="preserve">Opportunity 7: </w:t>
      </w:r>
      <w:r>
        <w:t>Consider a national, standardised and externally moderated assessment framework.</w:t>
      </w:r>
      <w:bookmarkEnd w:id="175"/>
      <w:bookmarkEnd w:id="176"/>
      <w:bookmarkEnd w:id="177"/>
    </w:p>
    <w:p w14:paraId="3F72DF81" w14:textId="04E0E960" w:rsidR="00897CA0" w:rsidRPr="002C4CC8" w:rsidRDefault="49B9CA16" w:rsidP="00354639">
      <w:pPr>
        <w:pStyle w:val="Heading4"/>
      </w:pPr>
      <w:bookmarkStart w:id="178" w:name="_Toc284861335"/>
      <w:r>
        <w:t>Current state</w:t>
      </w:r>
      <w:bookmarkEnd w:id="178"/>
    </w:p>
    <w:p w14:paraId="34F51F59" w14:textId="0F2DC753" w:rsidR="00897CA0" w:rsidRPr="00500EBB" w:rsidRDefault="00897CA0" w:rsidP="00897CA0">
      <w:pPr>
        <w:pStyle w:val="USBodyText"/>
      </w:pPr>
      <w:r>
        <w:t xml:space="preserve">The </w:t>
      </w:r>
      <w:r w:rsidR="4935BF83">
        <w:t>current ITE Programme Requirements</w:t>
      </w:r>
      <w:r>
        <w:t xml:space="preserve"> place some obligations on ITE providers to assess student teachers’ readiness to teach, including through formative and summative assessment, KTTs, moderation processes and the Culminating Integrative Assessment (CIA). These requirements establish an expectation that providers will assess whether student teachers can integrate theory and practice, exercise professional judgement, and synthesise their learning across </w:t>
      </w:r>
      <w:r w:rsidR="00C702BB">
        <w:t>the Standards for the Teaching Profession</w:t>
      </w:r>
      <w:r>
        <w:t>.</w:t>
      </w:r>
    </w:p>
    <w:p w14:paraId="3AC057BF" w14:textId="77777777" w:rsidR="00897CA0" w:rsidRPr="00500EBB" w:rsidRDefault="00897CA0" w:rsidP="00897CA0">
      <w:pPr>
        <w:pStyle w:val="USBodyText"/>
      </w:pPr>
      <w:r w:rsidRPr="00500EBB">
        <w:t>However, the current assessment architecture relies heavily on provider-led judgements and does not align these judgements to a sufficiently explicit external standard. While providers are required to assess readiness, the system does not provide a common national benchmark for what readiness looks like in practice, nor does it provide strong enough external assessment or moderation to support consistency across providers.</w:t>
      </w:r>
    </w:p>
    <w:p w14:paraId="7FF31FFC" w14:textId="74D7C0E3" w:rsidR="00897CA0" w:rsidRPr="00500EBB" w:rsidRDefault="00897CA0" w:rsidP="00897CA0">
      <w:pPr>
        <w:pStyle w:val="USBodyText"/>
      </w:pPr>
      <w:r>
        <w:lastRenderedPageBreak/>
        <w:t xml:space="preserve">This issue is visible in the existing assessment requirements. </w:t>
      </w:r>
      <w:r w:rsidRPr="00500EBB">
        <w:t xml:space="preserve">A 2022 report of the </w:t>
      </w:r>
      <w:r w:rsidR="00246D15">
        <w:t xml:space="preserve">Teaching Council of Aotearoa New Zealand </w:t>
      </w:r>
      <w:r w:rsidRPr="00500EBB">
        <w:t>found that the CIA has been one of the most frequently conditioned</w:t>
      </w:r>
      <w:r w:rsidRPr="43B75BAF">
        <w:rPr>
          <w:rStyle w:val="FootnoteReference"/>
          <w:rFonts w:ascii="Aptos" w:hAnsi="Aptos"/>
        </w:rPr>
        <w:footnoteReference w:id="57"/>
      </w:r>
      <w:r w:rsidRPr="00500EBB">
        <w:t xml:space="preserve"> requirements during programme approvals, with panels regularly identifying limited or tentative connections to authentic practice and underdeveloped marking rubrics.</w:t>
      </w:r>
      <w:r w:rsidRPr="43B75BAF">
        <w:rPr>
          <w:rStyle w:val="FootnoteReference"/>
          <w:rFonts w:ascii="Aptos" w:hAnsi="Aptos"/>
        </w:rPr>
        <w:footnoteReference w:id="58"/>
      </w:r>
      <w:r w:rsidRPr="00500EBB">
        <w:t xml:space="preserve"> </w:t>
      </w:r>
    </w:p>
    <w:p w14:paraId="2D1F1271" w14:textId="77777777" w:rsidR="00897CA0" w:rsidRDefault="00897CA0" w:rsidP="00897CA0">
      <w:pPr>
        <w:pStyle w:val="USBodyText"/>
      </w:pPr>
      <w:r w:rsidRPr="008F54B2">
        <w:t>This suggests that the CIA and associated assessment expectations are not anchored to clear external standards. Providers have significant discretion in determining assessment design, contributing to variation in the rigour, validity and comparability of assessment across providers. The system therefore depends primarily on provider-led assessment, with limited independent assurance that student teachers meet a consistent minimum standard of teaching capability at critical points in their development.</w:t>
      </w:r>
    </w:p>
    <w:p w14:paraId="1C133153" w14:textId="77777777" w:rsidR="00897CA0" w:rsidRPr="00500EBB" w:rsidRDefault="00897CA0" w:rsidP="002B4250">
      <w:pPr>
        <w:pStyle w:val="USBodyText"/>
        <w:spacing w:after="60"/>
      </w:pPr>
      <w:r w:rsidRPr="00500EBB">
        <w:t>This means:</w:t>
      </w:r>
    </w:p>
    <w:p w14:paraId="27580071" w14:textId="77777777" w:rsidR="00897CA0" w:rsidRPr="00500EBB" w:rsidRDefault="00897CA0" w:rsidP="00897CA0">
      <w:pPr>
        <w:pStyle w:val="USBullet1"/>
      </w:pPr>
      <w:r w:rsidRPr="00500EBB">
        <w:t>There is no external verification of a student teacher’s core knowledge, judgement, or professional capability at any defined point in the ITE pathway</w:t>
      </w:r>
    </w:p>
    <w:p w14:paraId="7615A6DF" w14:textId="77777777" w:rsidR="00897CA0" w:rsidRPr="00500EBB" w:rsidRDefault="00897CA0" w:rsidP="00897CA0">
      <w:pPr>
        <w:pStyle w:val="USBullet1"/>
      </w:pPr>
      <w:r w:rsidRPr="00500EBB">
        <w:t>There is no consistent threshold for readiness for key activities in the ITE programme, such as professional experience</w:t>
      </w:r>
    </w:p>
    <w:p w14:paraId="37AF9F37" w14:textId="77777777" w:rsidR="00897CA0" w:rsidRPr="00500EBB" w:rsidRDefault="00897CA0" w:rsidP="00897CA0">
      <w:pPr>
        <w:pStyle w:val="USBullet1"/>
      </w:pPr>
      <w:r w:rsidRPr="00500EBB">
        <w:t>There is limited opportunity to identify and support student teachers who may require additional development before progressing through critical components of their training</w:t>
      </w:r>
    </w:p>
    <w:p w14:paraId="677BD187" w14:textId="47461119" w:rsidR="00897CA0" w:rsidRPr="00702700" w:rsidRDefault="00897CA0" w:rsidP="002B4250">
      <w:pPr>
        <w:pStyle w:val="USBullet1"/>
        <w:spacing w:after="180"/>
      </w:pPr>
      <w:r w:rsidRPr="00500EBB">
        <w:t>There is no independent assurance that graduates from different providers have met a consistent national threshold for readiness to teach</w:t>
      </w:r>
      <w:r w:rsidR="006578DD">
        <w:t>.</w:t>
      </w:r>
    </w:p>
    <w:p w14:paraId="14220C00" w14:textId="00D2A998" w:rsidR="00897CA0" w:rsidRPr="002C4CC8" w:rsidRDefault="49B9CA16" w:rsidP="00354639">
      <w:pPr>
        <w:pStyle w:val="Heading4"/>
      </w:pPr>
      <w:bookmarkStart w:id="179" w:name="_Toc122579532"/>
      <w:r>
        <w:t>The opportunity</w:t>
      </w:r>
      <w:bookmarkEnd w:id="179"/>
    </w:p>
    <w:p w14:paraId="79331B50" w14:textId="77777777" w:rsidR="00897CA0" w:rsidRDefault="00897CA0" w:rsidP="00897CA0">
      <w:pPr>
        <w:pStyle w:val="USBodyText"/>
      </w:pPr>
      <w:r w:rsidRPr="007F73ED">
        <w:t>There is an opportunity to strengthen the consistency and comparability of evidence about graduate readiness across providers, and to close the gap between what provider-led assessment is intended to assure and what it currently demonstrates at a system level.</w:t>
      </w:r>
      <w:r>
        <w:t xml:space="preserve"> </w:t>
      </w:r>
    </w:p>
    <w:p w14:paraId="38ABB88F" w14:textId="7007EBA0" w:rsidR="00897CA0" w:rsidRPr="00500EBB" w:rsidRDefault="00897CA0" w:rsidP="00897CA0">
      <w:pPr>
        <w:pStyle w:val="USBodyText"/>
      </w:pPr>
      <w:r w:rsidRPr="00500EBB">
        <w:t>Research shows that authentically evaluating graduate readiness through performance assessments can both develop and measure beginning teacher effectiveness, improve system confidence in graduate readiness and enable comparability across providers.</w:t>
      </w:r>
      <w:r w:rsidRPr="43B75BAF">
        <w:rPr>
          <w:rStyle w:val="FootnoteReference"/>
          <w:rFonts w:ascii="Aptos" w:hAnsi="Aptos"/>
        </w:rPr>
        <w:footnoteReference w:id="59"/>
      </w:r>
      <w:r w:rsidRPr="00500EBB">
        <w:t xml:space="preserve"> Research also points to teacher performance assessments being used by ITE providers for formative purposes to guide curriculum planning and review for improvement, thereby acting as a catalyst for reform and professionalising teacher education.</w:t>
      </w:r>
      <w:r w:rsidRPr="43B75BAF">
        <w:rPr>
          <w:rStyle w:val="FootnoteReference"/>
          <w:rFonts w:ascii="Aptos" w:hAnsi="Aptos"/>
        </w:rPr>
        <w:footnoteReference w:id="60"/>
      </w:r>
      <w:r w:rsidR="00F65692">
        <w:t xml:space="preserve"> </w:t>
      </w:r>
      <w:r w:rsidRPr="00500EBB">
        <w:t xml:space="preserve"> </w:t>
      </w:r>
    </w:p>
    <w:p w14:paraId="2ED42064" w14:textId="77777777" w:rsidR="00897CA0" w:rsidRPr="00500EBB" w:rsidRDefault="00897CA0" w:rsidP="002B4250">
      <w:pPr>
        <w:pStyle w:val="USBodyText"/>
        <w:spacing w:after="60"/>
      </w:pPr>
      <w:r>
        <w:lastRenderedPageBreak/>
        <w:t>C</w:t>
      </w:r>
      <w:r w:rsidRPr="00500EBB">
        <w:t xml:space="preserve">ross-professional examples don’t provide a direct template for the proposed model. However, the following examples demonstrate how other professions and education systems use standardised, externally administered to test specific forms of knowledge, reasoning, judgement or professional capability at defined stages of training. They provide useful </w:t>
      </w:r>
      <w:r>
        <w:t>guides</w:t>
      </w:r>
      <w:r w:rsidRPr="00500EBB">
        <w:t xml:space="preserve"> for how particular skills and capabilities can be assessed with greater consistency and assurance. </w:t>
      </w:r>
    </w:p>
    <w:p w14:paraId="1AEB5906" w14:textId="77777777" w:rsidR="00897CA0" w:rsidRPr="002C4CC8" w:rsidRDefault="00897CA0" w:rsidP="00897CA0">
      <w:pPr>
        <w:pStyle w:val="USBullet1"/>
      </w:pPr>
      <w:r w:rsidRPr="002C4CC8">
        <w:t xml:space="preserve">In Aotearoa New Zealand, nursing graduates must sit and pass the Nursing Council’s State Final Examination before they can register as a registered or enrolled nurse, within one year of completing their programme. The exam is a multichoice paper covering nursing knowledge as it relates to the Nursing Council Standards, and medicinal calculation. Results are issued on a pass or fail basis and to pass a candidate needs to achieve 70% across the exam. </w:t>
      </w:r>
    </w:p>
    <w:p w14:paraId="51C2F39A" w14:textId="77777777" w:rsidR="00897CA0" w:rsidRPr="002C4CC8" w:rsidRDefault="00897CA0" w:rsidP="002B4250">
      <w:pPr>
        <w:pStyle w:val="USBullet1"/>
        <w:spacing w:after="180"/>
      </w:pPr>
      <w:r w:rsidRPr="002C4CC8">
        <w:t xml:space="preserve">Similarly, midwifery graduates in Aotearoa </w:t>
      </w:r>
      <w:r w:rsidRPr="00500EBB">
        <w:t>N</w:t>
      </w:r>
      <w:r>
        <w:t xml:space="preserve">ew </w:t>
      </w:r>
      <w:r w:rsidRPr="00500EBB">
        <w:t>Z</w:t>
      </w:r>
      <w:r>
        <w:t>ealand</w:t>
      </w:r>
      <w:r w:rsidRPr="002C4CC8">
        <w:t xml:space="preserve"> must pass the Midwifery Council’s National Midwifery Examination, which is an online, 3</w:t>
      </w:r>
      <w:r>
        <w:t>-</w:t>
      </w:r>
      <w:r w:rsidRPr="002C4CC8">
        <w:t xml:space="preserve">hour exam administered by an external host. The exam is entirely multichoice and covers the theoretical, clinical knowledge, and cultural safety required to provide safe midwifery care. To pass, candidates need to achieve 70% across the exam. </w:t>
      </w:r>
    </w:p>
    <w:p w14:paraId="3F082C2B" w14:textId="77777777" w:rsidR="00897CA0" w:rsidRPr="00971A84" w:rsidRDefault="00897CA0" w:rsidP="00897CA0">
      <w:pPr>
        <w:pStyle w:val="USBodyText"/>
      </w:pPr>
      <w:r w:rsidRPr="00971A84">
        <w:t xml:space="preserve">While these examples demonstrate external assessment supporting consistency and public assurance where the assessment domain is clearly defined, they </w:t>
      </w:r>
      <w:r>
        <w:t>do not</w:t>
      </w:r>
      <w:r w:rsidRPr="00971A84">
        <w:t xml:space="preserve">, on their own, demonstrate that a similar assessment would improve teaching quality or provide a complete measure of readiness to teach. </w:t>
      </w:r>
    </w:p>
    <w:p w14:paraId="37934391" w14:textId="77777777" w:rsidR="00897CA0" w:rsidRPr="00656A13" w:rsidRDefault="00897CA0" w:rsidP="00897CA0">
      <w:pPr>
        <w:pStyle w:val="USBodyText"/>
      </w:pPr>
      <w:r w:rsidRPr="00971A84">
        <w:t>The system should retain provider-led assessment while introducing a national assessment framework that provides stronger external assurance of student teacher capability. This would establish common expectations for the capabilities that must be demonstrated</w:t>
      </w:r>
      <w:r>
        <w:t xml:space="preserve"> </w:t>
      </w:r>
      <w:r w:rsidRPr="00971A84">
        <w:t>and the level of external moderation or independent quality assurance required to support confidence in assessment judgements.</w:t>
      </w:r>
    </w:p>
    <w:p w14:paraId="2793D244" w14:textId="679791C8" w:rsidR="00897CA0" w:rsidRPr="002C4CC8" w:rsidRDefault="2F9F5526" w:rsidP="00D27FBB">
      <w:pPr>
        <w:pStyle w:val="Heading5"/>
      </w:pPr>
      <w:bookmarkStart w:id="180" w:name="_Toc1629912940"/>
      <w:r>
        <w:t>What would change</w:t>
      </w:r>
      <w:bookmarkEnd w:id="180"/>
    </w:p>
    <w:p w14:paraId="6CF64435" w14:textId="3601B47B" w:rsidR="00897CA0" w:rsidRPr="00500EBB" w:rsidRDefault="00897CA0" w:rsidP="65C5DE98">
      <w:pPr>
        <w:pStyle w:val="USBodyText"/>
      </w:pPr>
      <w:r>
        <w:t xml:space="preserve">The system </w:t>
      </w:r>
      <w:r w:rsidR="60EB26E2">
        <w:t xml:space="preserve">would </w:t>
      </w:r>
      <w:r>
        <w:t>retain provider-led assessment while introducing a national assessment framework that provides stronger external assurance of student teacher capability. This would establish common expectations for the capabilities that must be demonstrated, the standard those capabilities must meet, and the level of external moderation or independent quality assurance required to support confidence in assessment judgements.</w:t>
      </w:r>
    </w:p>
    <w:p w14:paraId="3EA3865D" w14:textId="77777777" w:rsidR="00897CA0" w:rsidRPr="00500EBB" w:rsidRDefault="00897CA0" w:rsidP="00897CA0">
      <w:pPr>
        <w:pStyle w:val="USBodyText"/>
      </w:pPr>
      <w:r>
        <w:t>Introducing a national assessment framework is not intended to replace provider-led assessment. Rather, it would establish common assurance points across the developmental pathway from acquiring professional knowledge, to applying professional judgement, to demonstrating capability in authentic classroom settings.</w:t>
      </w:r>
    </w:p>
    <w:p w14:paraId="4982A45F" w14:textId="77721062" w:rsidR="0E0B2A99" w:rsidRDefault="5EE1201E" w:rsidP="00B4300F">
      <w:pPr>
        <w:pStyle w:val="USBodyText"/>
      </w:pPr>
      <w:r>
        <w:t xml:space="preserve">By focusing on the demonstration of capability, a stronger assessment framework </w:t>
      </w:r>
      <w:r w:rsidR="3CA26716">
        <w:t xml:space="preserve">would establish clear expectation about the </w:t>
      </w:r>
      <w:r w:rsidR="42D9B1BE">
        <w:t>capabilit</w:t>
      </w:r>
      <w:r w:rsidR="2A7F35C3">
        <w:t>ies</w:t>
      </w:r>
      <w:r w:rsidR="3CA26716">
        <w:t xml:space="preserve"> student teachers must </w:t>
      </w:r>
      <w:r w:rsidR="03FB89FA">
        <w:t>demonstrate</w:t>
      </w:r>
      <w:r w:rsidR="1BA4D3AC">
        <w:t>, rather than prescribing additional inputs or delivery requirements</w:t>
      </w:r>
      <w:r w:rsidR="539BDD6E">
        <w:t>.</w:t>
      </w:r>
      <w:r w:rsidR="3CA26716">
        <w:t xml:space="preserve"> </w:t>
      </w:r>
      <w:r w:rsidR="7E71D4F1">
        <w:t xml:space="preserve">Consistent </w:t>
      </w:r>
      <w:r w:rsidR="3CA26716">
        <w:t xml:space="preserve">with good regulatory practice, this enables providers </w:t>
      </w:r>
      <w:r w:rsidR="71F566BF">
        <w:t>with the flexibility to determine and innovate how best to develop those capabilities</w:t>
      </w:r>
      <w:r w:rsidR="1F80DF3B">
        <w:t xml:space="preserve"> within different programme models and contexts. </w:t>
      </w:r>
    </w:p>
    <w:p w14:paraId="226660D9" w14:textId="77777777" w:rsidR="00897CA0" w:rsidRPr="00500EBB" w:rsidRDefault="00897CA0" w:rsidP="002B4250">
      <w:pPr>
        <w:pStyle w:val="USBodyText"/>
        <w:spacing w:after="60"/>
      </w:pPr>
      <w:r>
        <w:lastRenderedPageBreak/>
        <w:t>A strengthened approach through a structured, standardised and externally moderated assessment framework could:</w:t>
      </w:r>
    </w:p>
    <w:p w14:paraId="4C9E2E1D" w14:textId="77777777" w:rsidR="00897CA0" w:rsidRPr="002C4CC8" w:rsidRDefault="00897CA0" w:rsidP="00897CA0">
      <w:pPr>
        <w:pStyle w:val="USBullet1"/>
      </w:pPr>
      <w:r w:rsidRPr="002C4CC8">
        <w:t>Establish a consistent, system wide threshold for graduate capability</w:t>
      </w:r>
    </w:p>
    <w:p w14:paraId="6B5BDABC" w14:textId="77777777" w:rsidR="00897CA0" w:rsidRPr="002C4CC8" w:rsidRDefault="00897CA0" w:rsidP="00897CA0">
      <w:pPr>
        <w:pStyle w:val="USBullet1"/>
      </w:pPr>
      <w:r w:rsidRPr="002C4CC8">
        <w:t>Provide greater confidence that judgements about readiness to teach are fair, reliable and comparable across providers</w:t>
      </w:r>
    </w:p>
    <w:p w14:paraId="3DE35416" w14:textId="77777777" w:rsidR="00897CA0" w:rsidRPr="002C4CC8" w:rsidRDefault="00897CA0" w:rsidP="00897CA0">
      <w:pPr>
        <w:pStyle w:val="USBullet1"/>
      </w:pPr>
      <w:r w:rsidRPr="002C4CC8">
        <w:t>Enable earlier identification of student teachers requiring additional support, allowing providers to intervene before progression to more complex settings</w:t>
      </w:r>
    </w:p>
    <w:p w14:paraId="551D9826" w14:textId="560DDF26" w:rsidR="00897CA0" w:rsidRPr="002C4CC8" w:rsidRDefault="00897CA0" w:rsidP="002B4250">
      <w:pPr>
        <w:pStyle w:val="USBullet1"/>
        <w:spacing w:after="180"/>
      </w:pPr>
      <w:r w:rsidRPr="002C4CC8">
        <w:t>Strengthen confidence that graduating teachers have demonstrated the knowledge, skills and professional judgement required for practice</w:t>
      </w:r>
      <w:r w:rsidR="00973964">
        <w:t>.</w:t>
      </w:r>
    </w:p>
    <w:p w14:paraId="6B62C092" w14:textId="2B2E01A6" w:rsidR="00897CA0" w:rsidRPr="002C4CC8" w:rsidRDefault="49B9CA16" w:rsidP="00D27FBB">
      <w:pPr>
        <w:pStyle w:val="Heading5"/>
      </w:pPr>
      <w:bookmarkStart w:id="181" w:name="_Toc875310117"/>
      <w:r>
        <w:t>The proposed model</w:t>
      </w:r>
      <w:bookmarkEnd w:id="181"/>
    </w:p>
    <w:p w14:paraId="468287EA" w14:textId="77777777" w:rsidR="00897CA0" w:rsidRPr="00500EBB" w:rsidRDefault="00897CA0" w:rsidP="00897CA0">
      <w:pPr>
        <w:pStyle w:val="USBodyText"/>
      </w:pPr>
      <w:r w:rsidRPr="00500EBB">
        <w:t>A structured national assessment framework could include complementary components aligned to the coherent model of progression. Each component would assess a different aspect of readiness to teach at the point in the pathway when that capability should be demonstrated. Together, they would operate as non-negotiable assessment hurdles, while allowing providers flexibility to determine how the assessments are sequenced and embedded within different programme models.</w:t>
      </w:r>
    </w:p>
    <w:p w14:paraId="18A504FC" w14:textId="7A72BB95" w:rsidR="00897CA0" w:rsidRPr="00500EBB" w:rsidRDefault="00897CA0" w:rsidP="002B4250">
      <w:pPr>
        <w:pStyle w:val="USBodyText"/>
        <w:spacing w:after="60"/>
      </w:pPr>
      <w:r w:rsidRPr="00500EBB">
        <w:t>The model does not need to prescribe at this stage whether there should be two or three separate assessments. The key design task is to ensure the framework assesses the capabilities that matter most for readiness to teach, at the points in the pathway when those capabilities should be demonstrated</w:t>
      </w:r>
      <w:r w:rsidR="003235C8">
        <w:t>:</w:t>
      </w:r>
    </w:p>
    <w:p w14:paraId="0DBCFD62" w14:textId="77777777" w:rsidR="00897CA0" w:rsidRPr="003235C8" w:rsidRDefault="00897CA0" w:rsidP="00897CA0">
      <w:pPr>
        <w:pStyle w:val="USBullet1"/>
        <w:rPr>
          <w:bCs/>
        </w:rPr>
      </w:pPr>
      <w:r w:rsidRPr="0078628B">
        <w:rPr>
          <w:b/>
        </w:rPr>
        <w:t>Core knowledge</w:t>
      </w:r>
      <w:r w:rsidRPr="00872FF3">
        <w:rPr>
          <w:b/>
        </w:rPr>
        <w:t>:</w:t>
      </w:r>
      <w:r w:rsidRPr="003235C8">
        <w:rPr>
          <w:bCs/>
        </w:rPr>
        <w:t xml:space="preserve"> student teachers should demonstrate the declarative knowledge required to teach effectively, including any shared curriculum expectations outlined elsewhere in this report (see Opportunity 5). This domain could be assessed through an externally set and independently marked component or incorporated into a broader assessment of professional capability.</w:t>
      </w:r>
    </w:p>
    <w:p w14:paraId="2651572B" w14:textId="77777777" w:rsidR="00897CA0" w:rsidRPr="003235C8" w:rsidRDefault="00897CA0" w:rsidP="00897CA0">
      <w:pPr>
        <w:pStyle w:val="USBullet1"/>
        <w:rPr>
          <w:bCs/>
        </w:rPr>
      </w:pPr>
      <w:r w:rsidRPr="0078628B">
        <w:rPr>
          <w:b/>
        </w:rPr>
        <w:t>Professional judgement and application</w:t>
      </w:r>
      <w:r w:rsidRPr="00872FF3">
        <w:rPr>
          <w:b/>
        </w:rPr>
        <w:t>:</w:t>
      </w:r>
      <w:r w:rsidRPr="003235C8">
        <w:rPr>
          <w:bCs/>
        </w:rPr>
        <w:t xml:space="preserve"> student teachers should demonstrate that they can apply professional knowledge to realistic teaching scenarios. This could include situational judgement tests, structured scenarios or other applied assessment formats that assess how student teachers’ reason through classroom, learner, professional and ethical situations. This could include their ability to understand Māori and Pasifika learners’ contexts, engage respectfully with cultural worldviews different from their own, and demonstrate empathy and culturally responsive professional judgement.</w:t>
      </w:r>
    </w:p>
    <w:p w14:paraId="1989D9CD" w14:textId="77777777" w:rsidR="00897CA0" w:rsidRPr="002C4CC8" w:rsidRDefault="00897CA0" w:rsidP="002B4250">
      <w:pPr>
        <w:pStyle w:val="USBullet1"/>
        <w:spacing w:after="180"/>
      </w:pPr>
      <w:r w:rsidRPr="0078628B">
        <w:rPr>
          <w:b/>
        </w:rPr>
        <w:t>Observed classroom practice</w:t>
      </w:r>
      <w:r w:rsidRPr="00872FF3">
        <w:rPr>
          <w:b/>
        </w:rPr>
        <w:t>:</w:t>
      </w:r>
      <w:r w:rsidRPr="003235C8">
        <w:rPr>
          <w:bCs/>
        </w:rPr>
        <w:t xml:space="preserve"> student teachers should demonstrate the expected teaching capabilities in practice. This domain should include</w:t>
      </w:r>
      <w:r w:rsidRPr="002C4CC8">
        <w:t xml:space="preserve"> direct observation of teaching practice and be externally moderated or independently quality assured, rather than relying solely on assessment by the provider.</w:t>
      </w:r>
    </w:p>
    <w:p w14:paraId="58754465" w14:textId="61C27D1E" w:rsidR="00897CA0" w:rsidRPr="00500EBB" w:rsidRDefault="00897CA0" w:rsidP="00897CA0">
      <w:pPr>
        <w:pStyle w:val="USBodyText"/>
      </w:pPr>
      <w:r w:rsidRPr="00500EBB">
        <w:t xml:space="preserve">These domains could be assessed through separate components or combined in fewer integrated assessments, provided the model preserves clear external standards, robust moderation and a final judgement about readiness to teach. The framework should not sit as a set of standalone assessments. </w:t>
      </w:r>
      <w:r w:rsidRPr="00500EBB">
        <w:lastRenderedPageBreak/>
        <w:t xml:space="preserve">Rather, it should reflect and reinforce each programme’s coherent and complete model of progression from entry to meeting </w:t>
      </w:r>
      <w:r w:rsidR="00C702BB">
        <w:t>the Standards for the Teaching Profession</w:t>
      </w:r>
      <w:r w:rsidRPr="00500EBB">
        <w:t>. This would reinforce the principle that assessment, curriculum and pedagogy are mutually reinforcing, and a hallmark of high-quality ITE programme design.</w:t>
      </w:r>
    </w:p>
    <w:p w14:paraId="25CDB601" w14:textId="77777777" w:rsidR="00897CA0" w:rsidRPr="00500EBB" w:rsidRDefault="00897CA0" w:rsidP="002B4250">
      <w:pPr>
        <w:pStyle w:val="USBodyText"/>
        <w:spacing w:after="60"/>
      </w:pPr>
      <w:r w:rsidRPr="00500EBB">
        <w:t>The national assessment framework should be guided by the following principles:</w:t>
      </w:r>
    </w:p>
    <w:p w14:paraId="5FCBF9A3" w14:textId="77777777" w:rsidR="00897CA0" w:rsidRPr="00AB6FA4" w:rsidRDefault="00897CA0" w:rsidP="00897CA0">
      <w:pPr>
        <w:pStyle w:val="USBullet1"/>
      </w:pPr>
      <w:r w:rsidRPr="0078628B">
        <w:rPr>
          <w:b/>
          <w:bCs/>
        </w:rPr>
        <w:t>Independent assurance of capability:</w:t>
      </w:r>
      <w:r w:rsidRPr="00AB6FA4">
        <w:t xml:space="preserve"> assessment should provide confidence that judgements about readiness are fair, reliable and comparable across providers.</w:t>
      </w:r>
    </w:p>
    <w:p w14:paraId="2F34C1AD" w14:textId="77777777" w:rsidR="00897CA0" w:rsidRPr="00AB6FA4" w:rsidRDefault="00897CA0" w:rsidP="00897CA0">
      <w:pPr>
        <w:pStyle w:val="USBullet1"/>
      </w:pPr>
      <w:r w:rsidRPr="0078628B">
        <w:rPr>
          <w:b/>
          <w:bCs/>
        </w:rPr>
        <w:t>Assessment of authentic practice:</w:t>
      </w:r>
      <w:r w:rsidRPr="00AB6FA4">
        <w:t xml:space="preserve"> high-quality assessment should evaluate teaching through authentic practice, requiring student teachers to integrate planning, enactment, assessment of learning and professional judgement in coherent tasks.</w:t>
      </w:r>
    </w:p>
    <w:p w14:paraId="15F6CD10" w14:textId="77777777" w:rsidR="00897CA0" w:rsidRPr="00AB6FA4" w:rsidRDefault="00897CA0" w:rsidP="00897CA0">
      <w:pPr>
        <w:pStyle w:val="USBullet1"/>
      </w:pPr>
      <w:r w:rsidRPr="0078628B">
        <w:rPr>
          <w:b/>
          <w:bCs/>
        </w:rPr>
        <w:t>Reflective of te ao Māori:</w:t>
      </w:r>
      <w:r w:rsidRPr="00AB6FA4">
        <w:t xml:space="preserve"> assessment design and moderation should reflect the distinctive context of Aotearoa New Zealand, including expectations and provisions for te reo Māori and tikanga Māori. </w:t>
      </w:r>
    </w:p>
    <w:p w14:paraId="38258FAB" w14:textId="1FE7B14C" w:rsidR="00897CA0" w:rsidRPr="00AB6FA4" w:rsidRDefault="00897CA0" w:rsidP="00897CA0">
      <w:pPr>
        <w:pStyle w:val="USBullet1"/>
      </w:pPr>
      <w:r w:rsidRPr="0078628B">
        <w:rPr>
          <w:b/>
          <w:bCs/>
        </w:rPr>
        <w:t>Clear and consistent standards:</w:t>
      </w:r>
      <w:r w:rsidRPr="00AB6FA4">
        <w:t xml:space="preserve"> there should be explicit expectations for what constitutes meeting </w:t>
      </w:r>
      <w:r w:rsidR="00C702BB">
        <w:t>the Standards for the Teaching Profession</w:t>
      </w:r>
      <w:r w:rsidRPr="00AB6FA4">
        <w:t>, supported by detailed rubrics, exemplars and moderation processes.</w:t>
      </w:r>
    </w:p>
    <w:p w14:paraId="14055716" w14:textId="21BE755F" w:rsidR="00897CA0" w:rsidRPr="00AB6FA4" w:rsidRDefault="00897CA0" w:rsidP="00897CA0">
      <w:pPr>
        <w:pStyle w:val="USBullet1"/>
      </w:pPr>
      <w:r w:rsidRPr="2F2DCFD8">
        <w:rPr>
          <w:b/>
          <w:bCs/>
        </w:rPr>
        <w:t>Robust external moderation:</w:t>
      </w:r>
      <w:r>
        <w:t xml:space="preserve"> moderation should include measures such as independent assessors, double marking, and clear guidance to support inter-rater reliability and consistency of judgement across providers. </w:t>
      </w:r>
      <w:r w:rsidR="72CA1AAA">
        <w:t xml:space="preserve">Where external moderation is introduced, assessors should be independent of the provider responsible for delivering the ITE programme. </w:t>
      </w:r>
    </w:p>
    <w:p w14:paraId="2BEA90CE" w14:textId="77777777" w:rsidR="00897CA0" w:rsidRPr="00AB6FA4" w:rsidRDefault="00897CA0" w:rsidP="00897CA0">
      <w:pPr>
        <w:pStyle w:val="USBullet1"/>
      </w:pPr>
      <w:r w:rsidRPr="0078628B">
        <w:rPr>
          <w:b/>
          <w:bCs/>
        </w:rPr>
        <w:t>Flexibility in delivery, consistency in outcomes:</w:t>
      </w:r>
      <w:r w:rsidRPr="00AB6FA4">
        <w:t xml:space="preserve"> providers should have flexibility to determine when and how assessments occur within their programmes. However, non-negotiable assessment hurdles should ensure that all student teachers demonstrate required capabilities before graduation.</w:t>
      </w:r>
    </w:p>
    <w:p w14:paraId="60C1EFF2" w14:textId="77777777" w:rsidR="00897CA0" w:rsidRPr="002C4CC8" w:rsidRDefault="00897CA0" w:rsidP="002B4250">
      <w:pPr>
        <w:pStyle w:val="USBullet1"/>
        <w:spacing w:after="180"/>
      </w:pPr>
      <w:r w:rsidRPr="0078628B">
        <w:rPr>
          <w:b/>
          <w:bCs/>
        </w:rPr>
        <w:t xml:space="preserve">A final assessment of readiness to teach: </w:t>
      </w:r>
      <w:r w:rsidRPr="00AB6FA4">
        <w:t>the framework should include an end-point assessment that draws on the totality of a student teacher’s learning and experience and confirms readiness to teach against a national</w:t>
      </w:r>
      <w:r w:rsidRPr="002C4CC8">
        <w:t xml:space="preserve"> threshold.</w:t>
      </w:r>
    </w:p>
    <w:p w14:paraId="0B1F1133" w14:textId="77777777" w:rsidR="00897CA0" w:rsidRPr="002E65B4" w:rsidRDefault="00897CA0" w:rsidP="00897CA0">
      <w:pPr>
        <w:pStyle w:val="USBodyText"/>
      </w:pPr>
      <w:r>
        <w:t>These principles are intended to ensure the assessment framework strengthens confidence in graduate readiness, while supporting assessment that is authentic, fair, and fit for purpose. They provide a basis for balancing consistency of outcomes with flexibility in how providers deliver and assess teacher preparation.</w:t>
      </w:r>
    </w:p>
    <w:p w14:paraId="41E395CA" w14:textId="63BA2EED" w:rsidR="00897CA0" w:rsidRPr="002C4CC8" w:rsidRDefault="2C60AF43" w:rsidP="045E5A3E">
      <w:pPr>
        <w:pStyle w:val="Heading4"/>
        <w:rPr>
          <w:rFonts w:asciiTheme="minorHAnsi" w:hAnsiTheme="minorHAnsi"/>
        </w:rPr>
      </w:pPr>
      <w:bookmarkStart w:id="182" w:name="_Toc1395276838"/>
      <w:r>
        <w:t>Imp</w:t>
      </w:r>
      <w:r w:rsidR="59AAA2F2">
        <w:t>lementation considerations</w:t>
      </w:r>
      <w:bookmarkEnd w:id="182"/>
    </w:p>
    <w:p w14:paraId="52F62C11" w14:textId="418CBAE1" w:rsidR="00F10735" w:rsidRDefault="00897CA0" w:rsidP="00897CA0">
      <w:pPr>
        <w:pStyle w:val="USBodyText"/>
      </w:pPr>
      <w:r w:rsidRPr="00500EBB">
        <w:t xml:space="preserve">Introducing a national, externally moderated assessment framework would require careful design to ensure validity, reliability, cultural responsiveness and alignment to the intent of </w:t>
      </w:r>
      <w:r w:rsidR="00C702BB">
        <w:t>the Standards for the Teaching Profession</w:t>
      </w:r>
      <w:r w:rsidRPr="00500EBB">
        <w:t>.</w:t>
      </w:r>
      <w:r w:rsidR="762B3F29">
        <w:t xml:space="preserve"> </w:t>
      </w:r>
      <w:r w:rsidR="00F10735">
        <w:br w:type="page"/>
      </w:r>
    </w:p>
    <w:p w14:paraId="49055F2B" w14:textId="77777777" w:rsidR="00897CA0" w:rsidRPr="00500EBB" w:rsidRDefault="00897CA0" w:rsidP="002B4250">
      <w:pPr>
        <w:pStyle w:val="USBodyText"/>
        <w:spacing w:after="60"/>
      </w:pPr>
      <w:r w:rsidRPr="00500EBB">
        <w:lastRenderedPageBreak/>
        <w:t>Key considerations include how:</w:t>
      </w:r>
    </w:p>
    <w:p w14:paraId="6E20CA09" w14:textId="77777777" w:rsidR="00897CA0" w:rsidRPr="002C4CC8" w:rsidRDefault="00897CA0" w:rsidP="00897CA0">
      <w:pPr>
        <w:pStyle w:val="USBullet1"/>
      </w:pPr>
      <w:r w:rsidRPr="002C4CC8">
        <w:t>The assessment framework complements and strengthens provider-led assessment</w:t>
      </w:r>
    </w:p>
    <w:p w14:paraId="7AF3BE2A" w14:textId="77777777" w:rsidR="00897CA0" w:rsidRPr="002C4CC8" w:rsidRDefault="00897CA0" w:rsidP="00897CA0">
      <w:pPr>
        <w:pStyle w:val="USBullet1"/>
      </w:pPr>
      <w:r w:rsidRPr="002C4CC8">
        <w:t>External moderation of classroom practice is designed and implemented</w:t>
      </w:r>
    </w:p>
    <w:p w14:paraId="73D35E0C" w14:textId="77777777" w:rsidR="00897CA0" w:rsidRPr="002C4CC8" w:rsidRDefault="00897CA0" w:rsidP="00897CA0">
      <w:pPr>
        <w:pStyle w:val="USBullet1"/>
      </w:pPr>
      <w:r w:rsidRPr="002C4CC8">
        <w:t>Assessors are trained and quality assured</w:t>
      </w:r>
    </w:p>
    <w:p w14:paraId="0ECBD7E4" w14:textId="77777777" w:rsidR="00897CA0" w:rsidRPr="002C4CC8" w:rsidRDefault="00897CA0" w:rsidP="00897CA0">
      <w:pPr>
        <w:pStyle w:val="USBullet1"/>
      </w:pPr>
      <w:r w:rsidRPr="002C4CC8">
        <w:t>Consistency of judgement is maintained across providers and contexts</w:t>
      </w:r>
    </w:p>
    <w:p w14:paraId="3D25FE1A" w14:textId="77777777" w:rsidR="00897CA0" w:rsidRPr="002C4CC8" w:rsidRDefault="00897CA0" w:rsidP="00897CA0">
      <w:pPr>
        <w:pStyle w:val="USBullet1"/>
      </w:pPr>
      <w:r w:rsidRPr="002C4CC8">
        <w:t>The framework accommodates different programme models</w:t>
      </w:r>
    </w:p>
    <w:p w14:paraId="7591EEBA" w14:textId="07800A0A" w:rsidR="00897CA0" w:rsidRPr="002C4CC8" w:rsidRDefault="00897CA0" w:rsidP="002B4250">
      <w:pPr>
        <w:pStyle w:val="USBullet1"/>
        <w:spacing w:after="180"/>
      </w:pPr>
      <w:r w:rsidRPr="002C4CC8">
        <w:t>Assessment results are used to support student development, provider improvement and system-level monitoring</w:t>
      </w:r>
      <w:r w:rsidR="00973964">
        <w:t>.</w:t>
      </w:r>
    </w:p>
    <w:p w14:paraId="7A805A1D" w14:textId="77777777" w:rsidR="00897CA0" w:rsidRPr="00500EBB" w:rsidRDefault="2C60AF43" w:rsidP="00897CA0">
      <w:pPr>
        <w:pStyle w:val="USBodyText"/>
      </w:pPr>
      <w:r>
        <w:t xml:space="preserve">A strengthened national assessment model would build on the current system while moving beyond reliance on provider-led assessment as the primary source of assurance. It would establish clear components for assessing student teachers’ capability across the ITE pathway. While there are no direct international comparators for the full model proposed here, the approach would position Aotearoa New Zealand as an early adopter of a more coherent and externally assured model of assessing readiness to teach. </w:t>
      </w:r>
    </w:p>
    <w:p w14:paraId="5716359D" w14:textId="09545333" w:rsidR="03EBD9D8" w:rsidRDefault="4D9B4114" w:rsidP="002B4250">
      <w:pPr>
        <w:pStyle w:val="USBodyText"/>
        <w:spacing w:after="360"/>
      </w:pPr>
      <w:r>
        <w:t xml:space="preserve">Given the scale and complexity of the proposed change, </w:t>
      </w:r>
      <w:r w:rsidR="2040DB7C">
        <w:t>an important consideration is whether a national approach would provide sufficient benefits in terms of consistency, confidence and graduate assurance to justify the additional implementation and compliance costs. A</w:t>
      </w:r>
      <w:r>
        <w:t xml:space="preserve"> staged approach to development, testing and implementation </w:t>
      </w:r>
      <w:r w:rsidR="44AA330E">
        <w:t>would be</w:t>
      </w:r>
      <w:r>
        <w:t xml:space="preserve"> appropriate. Further work would be required to determine governance arrangements, delivery responsibilities, administra</w:t>
      </w:r>
      <w:r w:rsidR="7CD544E9">
        <w:t xml:space="preserve">tion and </w:t>
      </w:r>
      <w:r>
        <w:t>resourcing requiremen</w:t>
      </w:r>
      <w:r w:rsidR="663DDB85">
        <w:t xml:space="preserve">ts. </w:t>
      </w:r>
    </w:p>
    <w:tbl>
      <w:tblPr>
        <w:tblStyle w:val="TableGrid"/>
        <w:tblW w:w="0" w:type="auto"/>
        <w:tblCellMar>
          <w:top w:w="198" w:type="dxa"/>
          <w:left w:w="170" w:type="dxa"/>
          <w:bottom w:w="198" w:type="dxa"/>
          <w:right w:w="170" w:type="dxa"/>
        </w:tblCellMar>
        <w:tblLook w:val="06A0" w:firstRow="1" w:lastRow="0" w:firstColumn="1" w:lastColumn="0" w:noHBand="1" w:noVBand="1"/>
      </w:tblPr>
      <w:tblGrid>
        <w:gridCol w:w="9060"/>
      </w:tblGrid>
      <w:tr w:rsidR="788B8F3F" w14:paraId="7A3E3ACC" w14:textId="77777777" w:rsidTr="002B4250">
        <w:trPr>
          <w:trHeight w:val="300"/>
        </w:trPr>
        <w:tc>
          <w:tcPr>
            <w:tcW w:w="9060" w:type="dxa"/>
            <w:tcBorders>
              <w:top w:val="nil"/>
              <w:left w:val="nil"/>
              <w:bottom w:val="nil"/>
              <w:right w:val="nil"/>
            </w:tcBorders>
            <w:shd w:val="clear" w:color="auto" w:fill="D5E4E6" w:themeFill="accent1" w:themeFillTint="33"/>
          </w:tcPr>
          <w:p w14:paraId="163E08B4" w14:textId="26F724BB" w:rsidR="2C59E327" w:rsidRDefault="663DDB85" w:rsidP="00455C75">
            <w:pPr>
              <w:pStyle w:val="Heading4"/>
              <w:spacing w:before="0"/>
            </w:pPr>
            <w:bookmarkStart w:id="183" w:name="_Toc1876020096"/>
            <w:r>
              <w:t>For discussion:</w:t>
            </w:r>
            <w:bookmarkEnd w:id="183"/>
          </w:p>
          <w:p w14:paraId="38128387" w14:textId="1F57D848" w:rsidR="154C8B40" w:rsidRDefault="154C8B40" w:rsidP="00455C75">
            <w:pPr>
              <w:pStyle w:val="USBullet1"/>
              <w:spacing w:before="120" w:after="120"/>
            </w:pPr>
            <w:r>
              <w:t xml:space="preserve">To what extent do you agree with the rationale for this opportunity? </w:t>
            </w:r>
          </w:p>
          <w:p w14:paraId="36629FBF" w14:textId="0445BF2E" w:rsidR="154C8B40" w:rsidRDefault="154C8B40" w:rsidP="00455C75">
            <w:pPr>
              <w:pStyle w:val="USBullet1"/>
              <w:spacing w:before="120" w:after="120"/>
            </w:pPr>
            <w:r>
              <w:t xml:space="preserve">Are there alternative approaches that you would recommend instead? </w:t>
            </w:r>
          </w:p>
          <w:p w14:paraId="44E1CF2D" w14:textId="48051AEE" w:rsidR="2C59E327" w:rsidRDefault="154C8B40" w:rsidP="00455C75">
            <w:pPr>
              <w:pStyle w:val="USBullet1"/>
              <w:spacing w:before="120" w:after="120"/>
            </w:pPr>
            <w:r>
              <w:t>What costs, risks, or unintended consequences should be considered?</w:t>
            </w:r>
          </w:p>
        </w:tc>
      </w:tr>
    </w:tbl>
    <w:p w14:paraId="1485F7C1" w14:textId="77777777" w:rsidR="002B4250" w:rsidRDefault="002B4250" w:rsidP="002B4250">
      <w:pPr>
        <w:pStyle w:val="USWhiteSpaceAfterTable"/>
      </w:pPr>
      <w:bookmarkStart w:id="184" w:name="_Toc234512885"/>
      <w:bookmarkStart w:id="185" w:name="_Toc236686041"/>
    </w:p>
    <w:p w14:paraId="290E172D" w14:textId="4BA859B3" w:rsidR="00897CA0" w:rsidRPr="00897CA0" w:rsidRDefault="51289D32" w:rsidP="788B8F3F">
      <w:pPr>
        <w:pStyle w:val="Heading3"/>
      </w:pPr>
      <w:bookmarkStart w:id="186" w:name="_Toc241658049"/>
      <w:r>
        <w:t>Opportunity 8: Establish clearer links between ITE preparation and supports for early career teachers.</w:t>
      </w:r>
      <w:bookmarkEnd w:id="184"/>
      <w:bookmarkEnd w:id="185"/>
      <w:bookmarkEnd w:id="186"/>
      <w:r>
        <w:t xml:space="preserve"> </w:t>
      </w:r>
    </w:p>
    <w:p w14:paraId="1C9BF0F1" w14:textId="5F8ABD09" w:rsidR="00897CA0" w:rsidRPr="002C4CC8" w:rsidRDefault="49B9CA16" w:rsidP="00354639">
      <w:pPr>
        <w:pStyle w:val="Heading4"/>
      </w:pPr>
      <w:bookmarkStart w:id="187" w:name="_Toc1001151489"/>
      <w:r>
        <w:t>Current state</w:t>
      </w:r>
      <w:bookmarkEnd w:id="187"/>
    </w:p>
    <w:p w14:paraId="25770DFE" w14:textId="5B8422AB" w:rsidR="00897CA0" w:rsidRPr="00500EBB" w:rsidRDefault="00897CA0" w:rsidP="00897CA0">
      <w:pPr>
        <w:pStyle w:val="USBodyText"/>
      </w:pPr>
      <w:r>
        <w:t xml:space="preserve">At present, the </w:t>
      </w:r>
      <w:r w:rsidR="242530F1">
        <w:t xml:space="preserve">ITE Programme </w:t>
      </w:r>
      <w:r>
        <w:t xml:space="preserve">Requirements and the supports available to beginning teachers, such as induction and mentoring, operate largely as separate systems. The </w:t>
      </w:r>
      <w:r w:rsidR="47699B5D">
        <w:t>current ITE Programme Requirements</w:t>
      </w:r>
      <w:r>
        <w:t xml:space="preserve"> include a non-binding recommendation that graduates be provided with information to </w:t>
      </w:r>
      <w:r>
        <w:lastRenderedPageBreak/>
        <w:t xml:space="preserve">inform their induction and mentoring as provisionally certified teachers but stop short of establishing a formal connection between programme design and early career support. </w:t>
      </w:r>
    </w:p>
    <w:p w14:paraId="636084D7" w14:textId="3988E1DB" w:rsidR="00897CA0" w:rsidRPr="00500EBB" w:rsidRDefault="00897CA0" w:rsidP="00897CA0">
      <w:pPr>
        <w:pStyle w:val="USBodyText"/>
      </w:pPr>
      <w:r w:rsidRPr="00500EBB">
        <w:t xml:space="preserve">The </w:t>
      </w:r>
      <w:r w:rsidR="00246D15">
        <w:t xml:space="preserve">Teaching Council of Aotearoa New Zealand </w:t>
      </w:r>
      <w:r w:rsidRPr="00500EBB">
        <w:t>Guidelines for Induction and Mentoring and Mentor Teachers</w:t>
      </w:r>
      <w:r w:rsidRPr="43B75BAF">
        <w:rPr>
          <w:rStyle w:val="FootnoteReference"/>
          <w:rFonts w:ascii="Aptos" w:hAnsi="Aptos"/>
        </w:rPr>
        <w:footnoteReference w:id="61"/>
      </w:r>
      <w:r>
        <w:t xml:space="preserve"> </w:t>
      </w:r>
      <w:r w:rsidRPr="00500EBB">
        <w:t xml:space="preserve">(revised in 2015) sets out system level expectations for supporting provisionally certified teachers. However, the Guidelines make no reference to ITE providers, reflecting the separation between ITE preparation and early career support. </w:t>
      </w:r>
    </w:p>
    <w:p w14:paraId="08D51575" w14:textId="77777777" w:rsidR="00897CA0" w:rsidRPr="00500EBB" w:rsidRDefault="00897CA0" w:rsidP="00897CA0">
      <w:pPr>
        <w:pStyle w:val="USBodyText"/>
      </w:pPr>
      <w:r>
        <w:t xml:space="preserve">The </w:t>
      </w:r>
      <w:r w:rsidRPr="00500EBB">
        <w:t>N</w:t>
      </w:r>
      <w:r>
        <w:t xml:space="preserve">ew </w:t>
      </w:r>
      <w:r w:rsidRPr="00500EBB">
        <w:t>Z</w:t>
      </w:r>
      <w:r>
        <w:t xml:space="preserve">ealand </w:t>
      </w:r>
      <w:r w:rsidRPr="00500EBB">
        <w:t>C</w:t>
      </w:r>
      <w:r>
        <w:t xml:space="preserve">ouncil of </w:t>
      </w:r>
      <w:r w:rsidRPr="00500EBB">
        <w:t>E</w:t>
      </w:r>
      <w:r>
        <w:t xml:space="preserve">ducational </w:t>
      </w:r>
      <w:r w:rsidRPr="00500EBB">
        <w:t>R</w:t>
      </w:r>
      <w:r>
        <w:t>esearch</w:t>
      </w:r>
      <w:r w:rsidRPr="00500EBB">
        <w:t>’s report on supporting early career teachers and kaiako suggests that the lack of integration between ITE preparation and early career supports contributes to variability in the quality and consistency of induction and mentoring support across settings.</w:t>
      </w:r>
      <w:r w:rsidRPr="43B75BAF">
        <w:rPr>
          <w:rStyle w:val="FootnoteReference"/>
          <w:rFonts w:ascii="Aptos" w:hAnsi="Aptos"/>
        </w:rPr>
        <w:footnoteReference w:id="62"/>
      </w:r>
      <w:r w:rsidRPr="00500EBB">
        <w:t xml:space="preserve"> While these supports are highly valued, provision ranges from comprehensive, sustained programmes to limited or inconsistent support, indicating limited coherence across the system and weak alignment between ITE preparation and early career development.</w:t>
      </w:r>
    </w:p>
    <w:p w14:paraId="71A4EBD0" w14:textId="2F1D37E1" w:rsidR="00897CA0" w:rsidRPr="002C4CC8" w:rsidRDefault="49B9CA16" w:rsidP="00354639">
      <w:pPr>
        <w:pStyle w:val="Heading4"/>
      </w:pPr>
      <w:bookmarkStart w:id="188" w:name="_Toc1434674402"/>
      <w:r>
        <w:t>The opportunity</w:t>
      </w:r>
      <w:bookmarkEnd w:id="188"/>
      <w:r w:rsidR="00897CA0">
        <w:t xml:space="preserve"> </w:t>
      </w:r>
    </w:p>
    <w:p w14:paraId="5EF7813F" w14:textId="77777777" w:rsidR="00897CA0" w:rsidRDefault="00897CA0" w:rsidP="00897CA0">
      <w:pPr>
        <w:pStyle w:val="USBodyText"/>
      </w:pPr>
      <w:r>
        <w:t>The transition of a student teacher from an ITE programme to employment in a school or early learning setting is a critical stage of teacher development. Research has consistently identified this period as one where early career teachers experience high levels of distress and where attrition risk is greatest.</w:t>
      </w:r>
      <w:r w:rsidRPr="2F2DCFD8">
        <w:rPr>
          <w:rStyle w:val="FootnoteReference"/>
          <w:rFonts w:ascii="Aptos" w:hAnsi="Aptos"/>
        </w:rPr>
        <w:footnoteReference w:id="63"/>
      </w:r>
      <w:r>
        <w:t xml:space="preserve"> How well this transition is navigated has significant implications for teacher effectiveness, retention, and ultimately student outcomes. International research emphasises that a more integrated approach, where ITE programmes are designed with the transition to practice in mind, and induction and mentoring build deliberately on what graduates have learned, can produce stronger outcomes.</w:t>
      </w:r>
      <w:r w:rsidRPr="2F2DCFD8">
        <w:rPr>
          <w:rStyle w:val="FootnoteReference"/>
          <w:rFonts w:ascii="Aptos" w:hAnsi="Aptos"/>
        </w:rPr>
        <w:footnoteReference w:id="64"/>
      </w:r>
    </w:p>
    <w:p w14:paraId="5826434C" w14:textId="5D62AEF0" w:rsidR="00897CA0" w:rsidRPr="00500EBB" w:rsidRDefault="00897CA0" w:rsidP="00897CA0">
      <w:pPr>
        <w:pStyle w:val="USBodyText"/>
      </w:pPr>
      <w:r>
        <w:t xml:space="preserve">Strengthening the connection between ITE and early career support would better prepare student teachers for the move into beginning teacher roles. </w:t>
      </w:r>
      <w:r w:rsidR="00A41D8A">
        <w:t>While teacher effective</w:t>
      </w:r>
      <w:r w:rsidR="00475E44">
        <w:t>ness is influenced by a broad range</w:t>
      </w:r>
      <w:r w:rsidR="004874E4">
        <w:t xml:space="preserve"> of </w:t>
      </w:r>
      <w:r w:rsidR="00B51150">
        <w:t xml:space="preserve">factors, </w:t>
      </w:r>
      <w:r w:rsidR="0060598E">
        <w:t>a more connected approach would help ensure that initial preparation is reinforced through the critical early years of practice.</w:t>
      </w:r>
      <w:r w:rsidR="00475E44">
        <w:t xml:space="preserve"> </w:t>
      </w:r>
      <w:r w:rsidR="01FC322D">
        <w:t xml:space="preserve">Responsibility for supporting beginning teachers sits across employers, the </w:t>
      </w:r>
      <w:r w:rsidR="00246D15">
        <w:t>Teaching Council of Aotearoa New Zealand</w:t>
      </w:r>
      <w:r w:rsidR="01FC322D">
        <w:t xml:space="preserve">, the Ministry and the wider education system. </w:t>
      </w:r>
      <w:r>
        <w:t xml:space="preserve">Rather than treating ITE as a discrete phase that ends at graduation, it would position initial preparation as the first stage of a connected professional development journey, one that continues through induction, mentoring, and into confident independent practice. </w:t>
      </w:r>
    </w:p>
    <w:p w14:paraId="4EF0ACA6" w14:textId="0AFCB154" w:rsidR="00897CA0" w:rsidRPr="002C4CC8" w:rsidRDefault="2F9F5526" w:rsidP="00354639">
      <w:pPr>
        <w:pStyle w:val="Heading4"/>
      </w:pPr>
      <w:bookmarkStart w:id="189" w:name="_Toc1573341781"/>
      <w:r>
        <w:lastRenderedPageBreak/>
        <w:t>What would change</w:t>
      </w:r>
      <w:bookmarkEnd w:id="189"/>
    </w:p>
    <w:p w14:paraId="021C47AE" w14:textId="07E6DB0D" w:rsidR="00897CA0" w:rsidRPr="00500EBB" w:rsidRDefault="0F61ACF7" w:rsidP="002B4250">
      <w:pPr>
        <w:pStyle w:val="USBodyText"/>
        <w:spacing w:after="60"/>
      </w:pPr>
      <w:r>
        <w:t>The ITE Programme Requirements</w:t>
      </w:r>
      <w:r w:rsidR="00897CA0">
        <w:t xml:space="preserve"> </w:t>
      </w:r>
      <w:r w:rsidR="3978B93A">
        <w:t>would</w:t>
      </w:r>
      <w:r w:rsidR="00897CA0">
        <w:t xml:space="preserve"> more explicitly support the transition to practice by expecting ITE programmes to:</w:t>
      </w:r>
    </w:p>
    <w:p w14:paraId="632618BA" w14:textId="6BD9DC7D" w:rsidR="00897CA0" w:rsidRPr="002C4CC8" w:rsidRDefault="00897CA0" w:rsidP="00897CA0">
      <w:pPr>
        <w:pStyle w:val="USBullet1"/>
      </w:pPr>
      <w:r>
        <w:t>Prepare graduates with a clear understanding of the induction and mentoring process, and progression to full certification, and strategies for continued professional growth</w:t>
      </w:r>
      <w:r w:rsidR="00973964">
        <w:t>.</w:t>
      </w:r>
    </w:p>
    <w:p w14:paraId="11F69CDB" w14:textId="6D061887" w:rsidR="00897CA0" w:rsidRPr="002C4CC8" w:rsidRDefault="3DD3A555" w:rsidP="00897CA0">
      <w:pPr>
        <w:pStyle w:val="USBullet1"/>
      </w:pPr>
      <w:r>
        <w:t xml:space="preserve">Supporting beginning teachers to develop the adaptive expertise needed to apply their knowledge and skills in different contexts, respond to unfamiliar challenges, seek and use feedback, and continue learning throughout their professional careers. </w:t>
      </w:r>
    </w:p>
    <w:p w14:paraId="3CEC2B58" w14:textId="3A2C3FC0" w:rsidR="00897CA0" w:rsidRPr="002C4CC8" w:rsidRDefault="00897CA0" w:rsidP="002B4250">
      <w:pPr>
        <w:pStyle w:val="USBullet1"/>
        <w:spacing w:after="180"/>
      </w:pPr>
      <w:r w:rsidRPr="002C4CC8">
        <w:t>Identify explicit connections between the knowledge and skills developed during ITE and the focus areas of structured induction programmes</w:t>
      </w:r>
      <w:r w:rsidR="00720B60">
        <w:t>.</w:t>
      </w:r>
    </w:p>
    <w:p w14:paraId="4B4798C6" w14:textId="5CB5F83F" w:rsidR="00897CA0" w:rsidRPr="005F2DCF" w:rsidRDefault="2C60AF43" w:rsidP="005F2DCF">
      <w:pPr>
        <w:pStyle w:val="USBodyText"/>
      </w:pPr>
      <w:r>
        <w:t xml:space="preserve">Such an approach would not extend the reach of the </w:t>
      </w:r>
      <w:r w:rsidR="0960D603">
        <w:t xml:space="preserve">ITE Programme </w:t>
      </w:r>
      <w:r>
        <w:t xml:space="preserve">Requirements into employment </w:t>
      </w:r>
      <w:r w:rsidR="492A0264">
        <w:t xml:space="preserve">or transfer responsibility for ongoing support away from employers and the wider system. </w:t>
      </w:r>
      <w:r w:rsidR="595F0F74">
        <w:t xml:space="preserve">It </w:t>
      </w:r>
      <w:r>
        <w:t>would shift the current baseline from a non-binding recommendation to provide information to an expectation that programme design actively prepares graduates for the transition to independent practice. This recognises teacher development as a continuum from programme entry through to confident and capable independent practice, and positions ITE as its first stage</w:t>
      </w:r>
      <w:r w:rsidR="479FCF78">
        <w:t>.</w:t>
      </w:r>
      <w:r>
        <w:t xml:space="preserve"> </w:t>
      </w:r>
      <w:r w:rsidR="1B4CCAC8">
        <w:t>I</w:t>
      </w:r>
      <w:r>
        <w:t>t would seek to create a more supported, integrated framework that recognises teacher development from programme entry through to confident and capable independent practice.</w:t>
      </w:r>
    </w:p>
    <w:p w14:paraId="09FA6F9A" w14:textId="10B44A5E" w:rsidR="00CD0E61" w:rsidRPr="005F2DCF" w:rsidRDefault="634B7970" w:rsidP="005F2DCF">
      <w:pPr>
        <w:pStyle w:val="Heading4"/>
      </w:pPr>
      <w:bookmarkStart w:id="190" w:name="_Toc1719744702"/>
      <w:r w:rsidRPr="005F2DCF">
        <w:t>Implementation considerations</w:t>
      </w:r>
      <w:bookmarkEnd w:id="190"/>
    </w:p>
    <w:p w14:paraId="431410C8" w14:textId="2D3BF5A3" w:rsidR="00CD0E61" w:rsidRPr="00CA627D" w:rsidRDefault="6BF3AC88" w:rsidP="008D4EFF">
      <w:pPr>
        <w:pStyle w:val="USBodyText"/>
        <w:spacing w:after="360"/>
      </w:pPr>
      <w:r w:rsidRPr="00CA627D">
        <w:t xml:space="preserve">Strengthening connections between ITE and early career supports would require consideration of how responsibilities are shared between providers, employers, the </w:t>
      </w:r>
      <w:r w:rsidR="00246D15">
        <w:t>Teaching Council of Aotearoa New Zealand</w:t>
      </w:r>
      <w:r w:rsidRPr="00CA627D">
        <w:t>, the Ministry and the wider education system</w:t>
      </w:r>
      <w:r w:rsidR="5CF35761" w:rsidRPr="00CA627D">
        <w:t xml:space="preserve"> and who is best placed to provide what support to ensure a sufficient quality uplift of this transition. Consideration would need to be given to ensuring expectations remain achievable for providers and are </w:t>
      </w:r>
      <w:r w:rsidR="11ADF6F2" w:rsidRPr="00CA627D">
        <w:t>proportionate</w:t>
      </w:r>
      <w:r w:rsidR="5CF35761" w:rsidRPr="00CA627D">
        <w:t xml:space="preserve"> to the role ITE can reasonably play in suppor</w:t>
      </w:r>
      <w:r w:rsidR="44E0F81A" w:rsidRPr="00CA627D">
        <w:t xml:space="preserve">ting this transition to practice.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98" w:type="dxa"/>
          <w:left w:w="170" w:type="dxa"/>
          <w:bottom w:w="198" w:type="dxa"/>
          <w:right w:w="170" w:type="dxa"/>
        </w:tblCellMar>
        <w:tblLook w:val="06A0" w:firstRow="1" w:lastRow="0" w:firstColumn="1" w:lastColumn="0" w:noHBand="1" w:noVBand="1"/>
      </w:tblPr>
      <w:tblGrid>
        <w:gridCol w:w="9060"/>
      </w:tblGrid>
      <w:tr w:rsidR="788B8F3F" w14:paraId="4BA33FB1" w14:textId="77777777" w:rsidTr="00455C75">
        <w:trPr>
          <w:trHeight w:val="300"/>
        </w:trPr>
        <w:tc>
          <w:tcPr>
            <w:tcW w:w="9060" w:type="dxa"/>
            <w:shd w:val="clear" w:color="auto" w:fill="D5E4E6" w:themeFill="accent1" w:themeFillTint="33"/>
          </w:tcPr>
          <w:p w14:paraId="39DCF174" w14:textId="2D5D58AD" w:rsidR="549F9BFF" w:rsidRPr="005F2DCF" w:rsidRDefault="634B7970" w:rsidP="005F2DCF">
            <w:pPr>
              <w:pStyle w:val="Heading4"/>
              <w:spacing w:before="0"/>
            </w:pPr>
            <w:bookmarkStart w:id="191" w:name="_Toc39620768"/>
            <w:r>
              <w:t>For discussion:</w:t>
            </w:r>
            <w:bookmarkEnd w:id="191"/>
          </w:p>
          <w:p w14:paraId="6C766562" w14:textId="1B8EAB91" w:rsidR="3D4E51D6" w:rsidRDefault="52075A30" w:rsidP="00455C75">
            <w:pPr>
              <w:pStyle w:val="USBullet1"/>
              <w:spacing w:before="120" w:after="120"/>
            </w:pPr>
            <w:r>
              <w:t xml:space="preserve">To what extent do you agree with the rationale for this opportunity? </w:t>
            </w:r>
          </w:p>
          <w:p w14:paraId="008C6448" w14:textId="0445BF2E" w:rsidR="3D4E51D6" w:rsidRDefault="52075A30" w:rsidP="00455C75">
            <w:pPr>
              <w:pStyle w:val="USBullet1"/>
              <w:spacing w:before="120" w:after="120"/>
            </w:pPr>
            <w:r>
              <w:t xml:space="preserve">Are there alternative approaches that you would recommend instead? </w:t>
            </w:r>
          </w:p>
          <w:p w14:paraId="2163C9F2" w14:textId="491D99F1" w:rsidR="3D4E51D6" w:rsidRDefault="52075A30" w:rsidP="00455C75">
            <w:pPr>
              <w:pStyle w:val="USBullet1"/>
              <w:spacing w:before="120" w:after="120"/>
            </w:pPr>
            <w:r>
              <w:t>What costs, risks, or unintended consequences should be considered?</w:t>
            </w:r>
          </w:p>
        </w:tc>
      </w:tr>
    </w:tbl>
    <w:p w14:paraId="3EA4B367" w14:textId="0AA1C620" w:rsidR="00F10735" w:rsidRDefault="00F10735" w:rsidP="008D4EFF">
      <w:pPr>
        <w:pStyle w:val="USWhiteSpaceAfterTable"/>
      </w:pPr>
      <w:bookmarkStart w:id="192" w:name="_Toc234512886"/>
      <w:bookmarkStart w:id="193" w:name="_Toc236686042"/>
      <w:r>
        <w:br w:type="page"/>
      </w:r>
    </w:p>
    <w:p w14:paraId="32CEFF19" w14:textId="523B0E69" w:rsidR="00CD0E61" w:rsidRPr="00A36AD0" w:rsidRDefault="2D6ED1FA" w:rsidP="00CD0E61">
      <w:pPr>
        <w:pStyle w:val="Heading2"/>
      </w:pPr>
      <w:bookmarkStart w:id="194" w:name="_Toc241658050"/>
      <w:r>
        <w:lastRenderedPageBreak/>
        <w:t>Improving programme quality assurance</w:t>
      </w:r>
      <w:bookmarkEnd w:id="192"/>
      <w:bookmarkEnd w:id="193"/>
      <w:bookmarkEnd w:id="194"/>
    </w:p>
    <w:p w14:paraId="4A1D2870" w14:textId="77777777" w:rsidR="00CD0E61" w:rsidRDefault="00CD0E61" w:rsidP="008D4EFF">
      <w:pPr>
        <w:pStyle w:val="USBodyText"/>
        <w:spacing w:after="60"/>
      </w:pPr>
      <w:r>
        <w:t>We have identified the following opportunity to improve programme quality assurance:</w:t>
      </w:r>
    </w:p>
    <w:p w14:paraId="5BA54008" w14:textId="657B252C" w:rsidR="00CD0E61" w:rsidRDefault="00CD0E61" w:rsidP="008D4EFF">
      <w:pPr>
        <w:pStyle w:val="USNumber1"/>
        <w:spacing w:after="180"/>
      </w:pPr>
      <w:r w:rsidRPr="272CFD7E">
        <w:rPr>
          <w:b/>
          <w:bCs/>
        </w:rPr>
        <w:t>Strengthen the rigour and consistency of approvals, monitoring and moderation</w:t>
      </w:r>
      <w:r w:rsidR="00474861">
        <w:t xml:space="preserve"> </w:t>
      </w:r>
      <w:r>
        <w:t xml:space="preserve">so there is assurance that ITE programmes are designed and delivered to a consistently high standard. </w:t>
      </w:r>
    </w:p>
    <w:p w14:paraId="6D964999" w14:textId="2E3E27E3" w:rsidR="00CD0E61" w:rsidRDefault="00CD0E61" w:rsidP="00CD0E61">
      <w:pPr>
        <w:pStyle w:val="USBodyText"/>
      </w:pPr>
      <w:r>
        <w:t xml:space="preserve">This opportunity leverages existing mechanisms in the </w:t>
      </w:r>
      <w:r w:rsidR="242530F1">
        <w:t xml:space="preserve">ITE Programme </w:t>
      </w:r>
      <w:r>
        <w:t xml:space="preserve">Requirements to </w:t>
      </w:r>
      <w:r w:rsidRPr="0026444E">
        <w:t>sharpen how approvals, monitoring and moderation work together to provide system-level confidence in ITE quality.</w:t>
      </w:r>
    </w:p>
    <w:p w14:paraId="3992527E" w14:textId="7BC2CEDE" w:rsidR="00CD0E61" w:rsidRPr="00500EBB" w:rsidRDefault="00CD0E61" w:rsidP="00CD0E61">
      <w:pPr>
        <w:pStyle w:val="Heading3"/>
      </w:pPr>
      <w:bookmarkStart w:id="195" w:name="_Toc234512887"/>
      <w:bookmarkStart w:id="196" w:name="_Toc236686043"/>
      <w:bookmarkStart w:id="197" w:name="_Toc241658051"/>
      <w:r>
        <w:t>Opportunity 9: Strengthen the rigour and consistency of programme approvals, monitoring</w:t>
      </w:r>
      <w:r w:rsidR="001A28DE">
        <w:t xml:space="preserve"> and</w:t>
      </w:r>
      <w:r w:rsidR="00323BC5">
        <w:t xml:space="preserve"> </w:t>
      </w:r>
      <w:r>
        <w:t>moderatio</w:t>
      </w:r>
      <w:r w:rsidR="00474861">
        <w:t>n</w:t>
      </w:r>
      <w:r>
        <w:t>.</w:t>
      </w:r>
      <w:bookmarkEnd w:id="195"/>
      <w:bookmarkEnd w:id="196"/>
      <w:bookmarkEnd w:id="197"/>
    </w:p>
    <w:p w14:paraId="3D73726E" w14:textId="5F3E673F" w:rsidR="00CD0E61" w:rsidRPr="002C4CC8" w:rsidRDefault="60AF53BE" w:rsidP="00354639">
      <w:pPr>
        <w:pStyle w:val="Heading4"/>
      </w:pPr>
      <w:bookmarkStart w:id="198" w:name="_Toc327535003"/>
      <w:r>
        <w:t>The current state</w:t>
      </w:r>
      <w:bookmarkEnd w:id="198"/>
    </w:p>
    <w:p w14:paraId="10F9CAD1" w14:textId="10749127" w:rsidR="00CD0E61" w:rsidRPr="00500EBB" w:rsidRDefault="00CD0E61" w:rsidP="008D4EFF">
      <w:pPr>
        <w:pStyle w:val="USBodyText"/>
        <w:spacing w:after="60"/>
      </w:pPr>
      <w:r>
        <w:t xml:space="preserve">Programme </w:t>
      </w:r>
      <w:r w:rsidR="002F6E9F">
        <w:t>approvals,</w:t>
      </w:r>
      <w:r>
        <w:t xml:space="preserve"> monitoring </w:t>
      </w:r>
      <w:r w:rsidR="002F6E9F">
        <w:t xml:space="preserve">and national moderation </w:t>
      </w:r>
      <w:r>
        <w:t xml:space="preserve">are the </w:t>
      </w:r>
      <w:r w:rsidR="002F6E9F">
        <w:t xml:space="preserve">three </w:t>
      </w:r>
      <w:r>
        <w:t xml:space="preserve">principal mechanisms through which the </w:t>
      </w:r>
      <w:r w:rsidR="00246D15">
        <w:t xml:space="preserve">Teaching Council of Aotearoa New Zealand </w:t>
      </w:r>
      <w:r w:rsidR="67E1AACD" w:rsidRPr="00F10735">
        <w:t>independently</w:t>
      </w:r>
      <w:r w:rsidR="67E1AACD">
        <w:t xml:space="preserve"> </w:t>
      </w:r>
      <w:r>
        <w:t>provides oversight of ITE programme quality:</w:t>
      </w:r>
    </w:p>
    <w:p w14:paraId="59E67A22" w14:textId="5C6FD418" w:rsidR="00CD0E61" w:rsidRPr="002C4CC8" w:rsidRDefault="00CD0E61" w:rsidP="00CD0E61">
      <w:pPr>
        <w:pStyle w:val="USBullet1"/>
      </w:pPr>
      <w:r w:rsidRPr="002C4CC8">
        <w:t xml:space="preserve">Approval is the upfront process through which new programmes are assessed against the </w:t>
      </w:r>
      <w:r w:rsidR="242530F1">
        <w:t xml:space="preserve">ITE Programme </w:t>
      </w:r>
      <w:r w:rsidRPr="002C4CC8">
        <w:t>Requirements and authorised to operate.</w:t>
      </w:r>
      <w:r w:rsidRPr="00500EBB">
        <w:t xml:space="preserve"> </w:t>
      </w:r>
      <w:r w:rsidRPr="002C4CC8">
        <w:t xml:space="preserve">ITE programmes are subject to a dual approvals process, requiring approval by both the </w:t>
      </w:r>
      <w:r w:rsidR="00246D15">
        <w:t xml:space="preserve">Teaching Council of Aotearoa New Zealand </w:t>
      </w:r>
      <w:r w:rsidRPr="002C4CC8">
        <w:t xml:space="preserve">and CUAP or NZQA. </w:t>
      </w:r>
    </w:p>
    <w:p w14:paraId="79E84BC1" w14:textId="42842349" w:rsidR="00CD0E61" w:rsidRDefault="00CD0E61" w:rsidP="00CD0E61">
      <w:pPr>
        <w:pStyle w:val="USBullet1"/>
      </w:pPr>
      <w:r w:rsidRPr="002C4CC8">
        <w:t xml:space="preserve">Monitoring provides ongoing assurance that the programme continues to be delivered as designed and produces graduates who can meet </w:t>
      </w:r>
      <w:r w:rsidR="00C702BB">
        <w:t>the Standards for the Teaching Profession</w:t>
      </w:r>
      <w:r w:rsidRPr="002C4CC8">
        <w:t xml:space="preserve">. </w:t>
      </w:r>
    </w:p>
    <w:p w14:paraId="5FAF3069" w14:textId="77777777" w:rsidR="00CD0E61" w:rsidRPr="00EA4C31" w:rsidRDefault="00CD0E61" w:rsidP="008D4EFF">
      <w:pPr>
        <w:pStyle w:val="USBullet1"/>
        <w:spacing w:after="180"/>
      </w:pPr>
      <w:r>
        <w:t>National moderation provides assurance about the consistency and rigour of provider-led assessment, complementing the internal moderation providers undertake within their own programmes.</w:t>
      </w:r>
    </w:p>
    <w:p w14:paraId="5EE10B60" w14:textId="70EB744C" w:rsidR="00CD0E61" w:rsidRDefault="00AC598A" w:rsidP="00CD0E61">
      <w:pPr>
        <w:pStyle w:val="USBodyText"/>
      </w:pPr>
      <w:r>
        <w:t xml:space="preserve">Together, </w:t>
      </w:r>
      <w:r w:rsidR="001513F7">
        <w:t xml:space="preserve">these processes </w:t>
      </w:r>
      <w:r>
        <w:t xml:space="preserve">are intended to ensure that all ITE programmes are designed and delivered to a consistently high standard. </w:t>
      </w:r>
      <w:r w:rsidR="00CD0E61">
        <w:t>In practice,</w:t>
      </w:r>
      <w:r>
        <w:t xml:space="preserve"> however,</w:t>
      </w:r>
      <w:r w:rsidR="00CD0E61">
        <w:t xml:space="preserve"> </w:t>
      </w:r>
      <w:r w:rsidR="001513F7">
        <w:t xml:space="preserve">several elements of </w:t>
      </w:r>
      <w:r w:rsidR="067248AE">
        <w:t>t</w:t>
      </w:r>
      <w:r w:rsidR="0EF48039">
        <w:t>hese processes</w:t>
      </w:r>
      <w:r w:rsidR="00CD0E61">
        <w:t xml:space="preserve"> lack the rigour, consistency and transparency needed for system-level assurance of programme quality. </w:t>
      </w:r>
    </w:p>
    <w:p w14:paraId="3365084A" w14:textId="2D919ED5" w:rsidR="00E64E1B" w:rsidRDefault="7866B7EA" w:rsidP="6E293931">
      <w:pPr>
        <w:pStyle w:val="USBodyText"/>
      </w:pPr>
      <w:r>
        <w:t xml:space="preserve">The framework for approvals, monitoring and national moderation is established by Part Two of the ITE </w:t>
      </w:r>
      <w:r w:rsidR="206E94BE">
        <w:t>Programme Requirements</w:t>
      </w:r>
      <w:r>
        <w:t xml:space="preserve"> and supported by the </w:t>
      </w:r>
      <w:r w:rsidRPr="00A213CC">
        <w:rPr>
          <w:i/>
          <w:iCs/>
        </w:rPr>
        <w:t>ITE Programme Approval, Monitoring, Review and Moderation Policy 2024</w:t>
      </w:r>
      <w:r>
        <w:t xml:space="preserve">. </w:t>
      </w:r>
      <w:r w:rsidR="13F0EE98">
        <w:t xml:space="preserve">Under the new arrangements, the </w:t>
      </w:r>
      <w:r w:rsidR="00246D15">
        <w:t xml:space="preserve">Teaching Council of Aotearoa New Zealand </w:t>
      </w:r>
      <w:r w:rsidR="13F0EE98">
        <w:t xml:space="preserve">will retain responsibility for these functions, informed by advice from the Ministry of Education. </w:t>
      </w:r>
      <w:r>
        <w:t xml:space="preserve">The </w:t>
      </w:r>
      <w:r w:rsidR="00246D15">
        <w:t xml:space="preserve">Teaching Council of Aotearoa New Zealand </w:t>
      </w:r>
      <w:r>
        <w:t xml:space="preserve">is currently reviewing and updating the supporting policy to strengthen transparency and quality assurance arrangements. </w:t>
      </w:r>
      <w:r w:rsidR="1601562E">
        <w:t xml:space="preserve">Through this review, there </w:t>
      </w:r>
      <w:r>
        <w:t>is an opportunity to conside</w:t>
      </w:r>
      <w:r w:rsidR="666B804A">
        <w:t xml:space="preserve">r </w:t>
      </w:r>
      <w:r w:rsidR="15B35BE7">
        <w:t xml:space="preserve">how the </w:t>
      </w:r>
      <w:r w:rsidR="206E94BE">
        <w:t>ITE Programme</w:t>
      </w:r>
      <w:r w:rsidR="1DC3723D">
        <w:t xml:space="preserve"> </w:t>
      </w:r>
      <w:r w:rsidR="666B804A">
        <w:t>Requirements</w:t>
      </w:r>
      <w:r w:rsidR="2202050E">
        <w:t xml:space="preserve"> can further </w:t>
      </w:r>
      <w:r w:rsidR="6CF9F30C">
        <w:t xml:space="preserve">formalise and enhance </w:t>
      </w:r>
      <w:r w:rsidR="2B2BFD15">
        <w:t>the existing quality assurance framework</w:t>
      </w:r>
      <w:r w:rsidR="2202050E">
        <w:t xml:space="preserve"> of ITE programmes</w:t>
      </w:r>
      <w:r w:rsidR="2F649FA6">
        <w:t xml:space="preserve">. </w:t>
      </w:r>
    </w:p>
    <w:p w14:paraId="4E4F1F06" w14:textId="74EFBA96" w:rsidR="00E64E1B" w:rsidRPr="00021863" w:rsidRDefault="00CD0E61" w:rsidP="272CFD7E">
      <w:pPr>
        <w:pStyle w:val="USBodyText"/>
      </w:pPr>
      <w:r>
        <w:lastRenderedPageBreak/>
        <w:t xml:space="preserve">The current </w:t>
      </w:r>
      <w:r w:rsidR="00C81A23">
        <w:t xml:space="preserve">ITE </w:t>
      </w:r>
      <w:r w:rsidR="206E94BE">
        <w:t>Programme Requirements</w:t>
      </w:r>
      <w:r w:rsidR="00C81A23">
        <w:t xml:space="preserve"> and supporting policy</w:t>
      </w:r>
      <w:r>
        <w:t xml:space="preserve"> provide considerable flexibility in the </w:t>
      </w:r>
      <w:r w:rsidR="00C81A23">
        <w:t>com</w:t>
      </w:r>
      <w:r>
        <w:t>position of approvals panels and the selection of monitors. Approvals panels</w:t>
      </w:r>
      <w:r w:rsidR="00C705AE">
        <w:t xml:space="preserve"> are </w:t>
      </w:r>
      <w:r w:rsidR="000A0C20">
        <w:t>intentionally assembled</w:t>
      </w:r>
      <w:r w:rsidR="00C705AE">
        <w:t xml:space="preserve"> by the </w:t>
      </w:r>
      <w:r w:rsidR="00246D15">
        <w:t xml:space="preserve">Teaching Council of Aotearoa New Zealand </w:t>
      </w:r>
      <w:r w:rsidR="000A0C20">
        <w:t xml:space="preserve">to bring together a range of expertise </w:t>
      </w:r>
      <w:r w:rsidR="00C705AE">
        <w:t>and</w:t>
      </w:r>
      <w:r>
        <w:t xml:space="preserve"> </w:t>
      </w:r>
      <w:r w:rsidR="00C256C0">
        <w:t>“</w:t>
      </w:r>
      <w:r>
        <w:t>may consist of some, or all</w:t>
      </w:r>
      <w:r w:rsidR="00C256C0">
        <w:t>”</w:t>
      </w:r>
      <w:r>
        <w:t xml:space="preserve"> of a broad list of individuals, including ITE teacher educators, sector teachers, Māori and Pasifika representatives, and people with expertise in assessment or curriculum design.</w:t>
      </w:r>
      <w:r w:rsidR="00C705AE">
        <w:t xml:space="preserve"> </w:t>
      </w:r>
      <w:r w:rsidR="007F2E03">
        <w:t xml:space="preserve">While this breadth of expertise is an important strength, in practice it results in considerable variation in panel composition across programmes. </w:t>
      </w:r>
      <w:r w:rsidR="0084714A">
        <w:t>To support approvals panels, t</w:t>
      </w:r>
      <w:r w:rsidR="0057498B">
        <w:t>he</w:t>
      </w:r>
      <w:r w:rsidR="0053316F">
        <w:t xml:space="preserve"> </w:t>
      </w:r>
      <w:r w:rsidR="00246D15">
        <w:t xml:space="preserve">Teaching Council of Aotearoa New Zealand </w:t>
      </w:r>
      <w:r w:rsidR="0057498B">
        <w:t xml:space="preserve">currently </w:t>
      </w:r>
      <w:r w:rsidR="00C81A23">
        <w:t>provides training</w:t>
      </w:r>
      <w:r w:rsidR="00C74572">
        <w:t xml:space="preserve"> covering the </w:t>
      </w:r>
      <w:r w:rsidR="206E94BE">
        <w:t>ITE Programme Requirements</w:t>
      </w:r>
      <w:r w:rsidR="00C74572">
        <w:t xml:space="preserve">, </w:t>
      </w:r>
      <w:r w:rsidR="00C702BB">
        <w:t>the Standards for the Teaching Profession</w:t>
      </w:r>
      <w:r w:rsidR="00C74572">
        <w:t xml:space="preserve">, the approvals process, assessment of programme evidence against the </w:t>
      </w:r>
      <w:r w:rsidR="206E94BE">
        <w:t>ITE Programme Requirements</w:t>
      </w:r>
      <w:r w:rsidR="00C74572">
        <w:t xml:space="preserve">, and panel roles and responsibilities. However, </w:t>
      </w:r>
      <w:r w:rsidR="00B00158">
        <w:t xml:space="preserve">expectations for training are not formalised in the </w:t>
      </w:r>
      <w:r w:rsidR="206E94BE">
        <w:t>ITE Programme</w:t>
      </w:r>
      <w:r w:rsidR="00B00158">
        <w:t xml:space="preserve"> Requirements. </w:t>
      </w:r>
    </w:p>
    <w:p w14:paraId="22064333" w14:textId="4E4473BD" w:rsidR="00944DBC" w:rsidRDefault="00D56BB4" w:rsidP="00B00158">
      <w:pPr>
        <w:pStyle w:val="USBodyText"/>
      </w:pPr>
      <w:r>
        <w:t>The monitoring framework provides a solid foundation for quality assurance</w:t>
      </w:r>
      <w:r w:rsidR="00944DBC">
        <w:t xml:space="preserve">, providing a structured mechanism for regular reviews of programmes. However, the current approach relies heavily on provider self-assessment. The ITE </w:t>
      </w:r>
      <w:r w:rsidR="206E94BE">
        <w:t xml:space="preserve">Programme </w:t>
      </w:r>
      <w:r w:rsidR="00944DBC">
        <w:t xml:space="preserve">Requirements do not formally establish the expectation for monitors to apply a shared monitoring assessment framework </w:t>
      </w:r>
      <w:r w:rsidR="00863C74">
        <w:t>or that monitoring operates as</w:t>
      </w:r>
      <w:r w:rsidR="00944DBC">
        <w:t xml:space="preserve"> an external assessment </w:t>
      </w:r>
      <w:r w:rsidR="00863C74">
        <w:t xml:space="preserve">of programmes </w:t>
      </w:r>
      <w:r w:rsidR="00944DBC">
        <w:t xml:space="preserve">focused on how programmes develop graduate capability. Monitor selection is also influenced by providers, who nominate a proposed monitor </w:t>
      </w:r>
      <w:r w:rsidR="00863C74">
        <w:t>for confirmation</w:t>
      </w:r>
      <w:r w:rsidR="00944DBC">
        <w:t xml:space="preserve"> by the </w:t>
      </w:r>
      <w:r w:rsidR="00246D15">
        <w:t>Teaching Council of Aotearoa New Zealand</w:t>
      </w:r>
      <w:r w:rsidR="00944DBC">
        <w:t xml:space="preserve">. </w:t>
      </w:r>
      <w:r w:rsidR="00703782">
        <w:t xml:space="preserve">These </w:t>
      </w:r>
      <w:r w:rsidR="007F3DB4">
        <w:t>factors</w:t>
      </w:r>
      <w:r w:rsidR="00703782">
        <w:t xml:space="preserve"> can limit the </w:t>
      </w:r>
      <w:r w:rsidR="007F3DB4">
        <w:t xml:space="preserve">consistency, depth and effectiveness of monitoring judgements across programmes. </w:t>
      </w:r>
    </w:p>
    <w:p w14:paraId="5A3207DF" w14:textId="29B14469" w:rsidR="00CD0E61" w:rsidRDefault="00CD0E61" w:rsidP="002047D6">
      <w:pPr>
        <w:pStyle w:val="USBodyText"/>
      </w:pPr>
      <w:r>
        <w:t xml:space="preserve">We also understand that following initial programme approval, the requirements for providers to seek approval for subsequent changes to assessments and other aspects of their programme creates an ongoing compliance burden that can be disproportionate to the substance of the changes being made. This can discourage providers from making sensible refinements to programme design over time. While there is an opportunity to improve this aspect of the process under the </w:t>
      </w:r>
      <w:r w:rsidR="206E94BE">
        <w:t>ITE Programme Requirements</w:t>
      </w:r>
      <w:r>
        <w:t>, this will not solve for similar constraints in CUAP and NZQA processes.</w:t>
      </w:r>
      <w:r w:rsidR="00F65692">
        <w:t xml:space="preserve"> </w:t>
      </w:r>
    </w:p>
    <w:p w14:paraId="4C64CA75" w14:textId="77777777" w:rsidR="00CD0E61" w:rsidRPr="00500EBB" w:rsidRDefault="00CD0E61" w:rsidP="00CD0E61">
      <w:pPr>
        <w:pStyle w:val="USBodyText"/>
      </w:pPr>
      <w:r>
        <w:t>Finally, n</w:t>
      </w:r>
      <w:r w:rsidRPr="00B46803">
        <w:t xml:space="preserve">ational moderation </w:t>
      </w:r>
      <w:r>
        <w:t>of</w:t>
      </w:r>
      <w:r w:rsidRPr="00B46803">
        <w:t xml:space="preserve"> </w:t>
      </w:r>
      <w:r>
        <w:t xml:space="preserve">assessments </w:t>
      </w:r>
      <w:r w:rsidRPr="00B46803">
        <w:t>is intended to sit alongside approvals and monitoring as a further layer of quality assurance. In practice, however, moderation currently operates on a peer-to-peer basis, with providers responsible for finding another provider to moderate their assessments. While the existing pre-moderation step provides valuable, actionable feedback on assessment design, the peer-to-peer arrangement creates the risk of uneven outcomes. As a result, national moderation does not currently provide the system-level assurance it is intended to.</w:t>
      </w:r>
    </w:p>
    <w:p w14:paraId="51B7B92E" w14:textId="0A5F20B5" w:rsidR="00CD0E61" w:rsidRPr="002C4CC8" w:rsidRDefault="60AF53BE" w:rsidP="00354639">
      <w:pPr>
        <w:pStyle w:val="Heading4"/>
      </w:pPr>
      <w:bookmarkStart w:id="199" w:name="_Toc2085081232"/>
      <w:r>
        <w:t>The opportunity</w:t>
      </w:r>
      <w:bookmarkEnd w:id="199"/>
    </w:p>
    <w:p w14:paraId="1047E8EA" w14:textId="77777777" w:rsidR="00CD0E61" w:rsidRPr="00500EBB" w:rsidRDefault="00CD0E61" w:rsidP="00CD0E61">
      <w:pPr>
        <w:pStyle w:val="USBodyText"/>
      </w:pPr>
      <w:r>
        <w:t xml:space="preserve">International experience points towards more structured and consistent approaches to ITE programme approvals and monitoring. England’s approvals and review processes are supported by explicit criteria and detailed guidance on how an assessment will take place. This includes detailed assessment of how programmes have embedded the Core Content Framework. Wales uses structured criteria, multi-disciplinary panels and operational guidance for assessors. Australia has explicit requirements for panel composition, expertise and process, supported by operational guidance, and </w:t>
      </w:r>
      <w:r>
        <w:lastRenderedPageBreak/>
        <w:t xml:space="preserve">has established a targeted quality assurance process to assess the implementation of the newly introduced core content. </w:t>
      </w:r>
    </w:p>
    <w:p w14:paraId="31BF0C43" w14:textId="632D2D10" w:rsidR="00CD0E61" w:rsidRDefault="00CD0E61" w:rsidP="00CD0E61">
      <w:pPr>
        <w:pStyle w:val="USBodyText"/>
      </w:pPr>
      <w:r>
        <w:t>Within the existing regulatory architecture for ITE programmes, the rigour and consistency of the existing approvals and monitoring processes can be strengthened by introducing standing national panels</w:t>
      </w:r>
      <w:r w:rsidR="00491D1F">
        <w:t xml:space="preserve"> and the independent appointment of monitors, and strengthening</w:t>
      </w:r>
      <w:r>
        <w:t xml:space="preserve"> mandatory panellist training</w:t>
      </w:r>
      <w:r w:rsidR="00154855">
        <w:t xml:space="preserve"> and </w:t>
      </w:r>
      <w:r>
        <w:t>guidance for monitoring</w:t>
      </w:r>
      <w:r w:rsidR="00176C28">
        <w:t xml:space="preserve">. </w:t>
      </w:r>
    </w:p>
    <w:p w14:paraId="79A04500" w14:textId="63DB12C1" w:rsidR="00544FC8" w:rsidRPr="00021863" w:rsidRDefault="03545AE1" w:rsidP="77D79F8E">
      <w:pPr>
        <w:pStyle w:val="USBodyText"/>
      </w:pPr>
      <w:r>
        <w:t>Training already forms part of the programme approvals process, but there</w:t>
      </w:r>
      <w:r w:rsidR="338F6C3A">
        <w:t xml:space="preserve"> is an opportunity to </w:t>
      </w:r>
      <w:r>
        <w:t xml:space="preserve">make expectations more explicit within the </w:t>
      </w:r>
      <w:r w:rsidR="242530F1">
        <w:t xml:space="preserve">ITE Programme </w:t>
      </w:r>
      <w:r w:rsidR="338F6C3A">
        <w:t xml:space="preserve">Requirements and </w:t>
      </w:r>
      <w:r>
        <w:t xml:space="preserve">further strengthen </w:t>
      </w:r>
      <w:r w:rsidR="338F6C3A">
        <w:t xml:space="preserve">the </w:t>
      </w:r>
      <w:r>
        <w:t xml:space="preserve">consistency and depth of training for approvals panellists. This would help </w:t>
      </w:r>
      <w:r w:rsidR="338F6C3A">
        <w:t xml:space="preserve">to ensure there is </w:t>
      </w:r>
      <w:r w:rsidR="500260B1">
        <w:t xml:space="preserve">a </w:t>
      </w:r>
      <w:r w:rsidR="338F6C3A">
        <w:t xml:space="preserve">consistent understanding of expectations of the </w:t>
      </w:r>
      <w:r w:rsidR="492E60E0">
        <w:t>programme approvals</w:t>
      </w:r>
      <w:r w:rsidR="338F6C3A">
        <w:t xml:space="preserve"> process both within and across panels. </w:t>
      </w:r>
      <w:r w:rsidR="5C31BA71">
        <w:t>Enhanced</w:t>
      </w:r>
      <w:r w:rsidR="338F6C3A">
        <w:t xml:space="preserve"> training </w:t>
      </w:r>
      <w:r w:rsidR="638082EB">
        <w:t>would</w:t>
      </w:r>
      <w:r w:rsidR="338F6C3A">
        <w:t xml:space="preserve"> also reduce the likelihood that panellists make consequential judgements in areas where they may have limited expertise without appropriate guidance (e.g. a school sector representative assessing tertiary assessment and moderation practices).</w:t>
      </w:r>
    </w:p>
    <w:p w14:paraId="35EB20E4" w14:textId="5C0AE84F" w:rsidR="003D4FD1" w:rsidRPr="00021863" w:rsidRDefault="10149241" w:rsidP="77D79F8E">
      <w:pPr>
        <w:pStyle w:val="USBodyText"/>
      </w:pPr>
      <w:r>
        <w:t>There is also an opportunity to strengthen monitoring processes through</w:t>
      </w:r>
      <w:r w:rsidR="5F35ACE6">
        <w:t xml:space="preserve"> introducing</w:t>
      </w:r>
      <w:r>
        <w:t xml:space="preserve"> a shared assessment framework and enhanced guidance for monitors. </w:t>
      </w:r>
      <w:r w:rsidR="1E552A6E">
        <w:t>Under the current supporting policy,</w:t>
      </w:r>
      <w:r w:rsidR="08FE9B38">
        <w:t xml:space="preserve"> programme monitoring is</w:t>
      </w:r>
      <w:r w:rsidR="523D5F81">
        <w:t xml:space="preserve"> </w:t>
      </w:r>
      <w:r w:rsidR="08FE9B38">
        <w:t xml:space="preserve">underpinned </w:t>
      </w:r>
      <w:r w:rsidR="7208FB3B">
        <w:t>by a provider-self assessment template</w:t>
      </w:r>
      <w:r w:rsidR="08FE9B38">
        <w:t xml:space="preserve"> focused on</w:t>
      </w:r>
      <w:r w:rsidR="10408498">
        <w:t xml:space="preserve"> annual reporting</w:t>
      </w:r>
      <w:r w:rsidR="4089727A">
        <w:t xml:space="preserve"> information, programme strengths and challenges and programme changes</w:t>
      </w:r>
      <w:r w:rsidR="7208FB3B">
        <w:t>.</w:t>
      </w:r>
      <w:r w:rsidR="4089727A">
        <w:t xml:space="preserve"> There is an opportunity</w:t>
      </w:r>
      <w:r w:rsidR="523D5F81">
        <w:t xml:space="preserve"> to strengthen monitoring by introducing a</w:t>
      </w:r>
      <w:r>
        <w:t xml:space="preserve"> common monitoring framework fo</w:t>
      </w:r>
      <w:r w:rsidR="4D497C20">
        <w:t>r</w:t>
      </w:r>
      <w:r w:rsidR="523D5F81">
        <w:t xml:space="preserve"> external assessment by the monitor focused on </w:t>
      </w:r>
      <w:r>
        <w:t>how programmes develop graduate capability</w:t>
      </w:r>
      <w:r w:rsidR="523D5F81">
        <w:t>. This</w:t>
      </w:r>
      <w:r>
        <w:t xml:space="preserve"> would support a more rigorous, consistent and transparent approach to monitoring across providers.</w:t>
      </w:r>
      <w:r w:rsidR="7B8C2D4F">
        <w:t xml:space="preserve"> </w:t>
      </w:r>
    </w:p>
    <w:p w14:paraId="3EC31875" w14:textId="41194C70" w:rsidR="002457FA" w:rsidRPr="00021863" w:rsidRDefault="002457FA" w:rsidP="77D79F8E">
      <w:pPr>
        <w:pStyle w:val="USBodyText"/>
      </w:pPr>
      <w:r>
        <w:t xml:space="preserve">Strengthening national moderation arrangements would complement these changes by supporting more consistent </w:t>
      </w:r>
      <w:r w:rsidR="00DB1B67">
        <w:t xml:space="preserve">assessment expectations across providers. As </w:t>
      </w:r>
      <w:r w:rsidR="242530F1">
        <w:t>the ITE Programme</w:t>
      </w:r>
      <w:r w:rsidR="00DB1B67">
        <w:t xml:space="preserve"> Requirements become more explicit about the knowledge, practices and capabilities all beginning teachers should develop, moderation will play an increasingly important role in ensuring providers are assessing these expectations against a common understanding of quality. A stronger national moderation approach could also provide greater visibility of emerging issues, support calibration across providers, and identify opportunities for sector-wide improvement in assessment.</w:t>
      </w:r>
    </w:p>
    <w:p w14:paraId="175C1D9D" w14:textId="2E829358" w:rsidR="4129DE6D" w:rsidRDefault="1C854D9A" w:rsidP="77D79F8E">
      <w:pPr>
        <w:pStyle w:val="USBodyText"/>
      </w:pPr>
      <w:r>
        <w:t>Together, these changes would help ensure that approvals</w:t>
      </w:r>
      <w:r w:rsidR="09DFDAF7">
        <w:t xml:space="preserve">, </w:t>
      </w:r>
      <w:r>
        <w:t>monitoring</w:t>
      </w:r>
      <w:r w:rsidR="09DFDAF7">
        <w:t xml:space="preserve"> and moderation</w:t>
      </w:r>
      <w:r w:rsidR="3D197AEF">
        <w:t xml:space="preserve"> outcomes </w:t>
      </w:r>
      <w:r w:rsidR="53F0586A">
        <w:t>are informed by</w:t>
      </w:r>
      <w:r w:rsidR="3D197AEF">
        <w:t xml:space="preserve"> explicit, transparent and consistent standard</w:t>
      </w:r>
      <w:r w:rsidR="2981D305">
        <w:t>s</w:t>
      </w:r>
      <w:r w:rsidR="3D197AEF">
        <w:t xml:space="preserve"> of quality, </w:t>
      </w:r>
      <w:r w:rsidR="320DAB6C">
        <w:t xml:space="preserve">reducing variability in how judgments are made across programmes. </w:t>
      </w:r>
      <w:r w:rsidR="6F23E73E">
        <w:t xml:space="preserve">The intention of these changes is not to create a highly standardised approvals and monitoring system or diminish the role of professional judgement, they would intend to strengthen transparency, consistency of process and provide confidence </w:t>
      </w:r>
      <w:r w:rsidR="386D1FA1">
        <w:t xml:space="preserve">in decision making. </w:t>
      </w:r>
      <w:r w:rsidR="4129DE6D">
        <w:t>These reforms would also deliver stronger oversight of the introduction of a shared core (see Opportunity 5).</w:t>
      </w:r>
      <w:r w:rsidR="56A10614">
        <w:t xml:space="preserve"> Because the introduction of the shared core is a </w:t>
      </w:r>
      <w:r w:rsidR="3ECE474F">
        <w:t>significant</w:t>
      </w:r>
      <w:r w:rsidR="56A10614">
        <w:t xml:space="preserve"> change, its successful implementation will require </w:t>
      </w:r>
      <w:r w:rsidR="4129DE6D">
        <w:t>comprehensive assessment through approvals and monitoring</w:t>
      </w:r>
      <w:r w:rsidR="509EF099">
        <w:t xml:space="preserve"> to confirm it is </w:t>
      </w:r>
      <w:r w:rsidR="4129DE6D">
        <w:t>being taught, assessed and integrated into programmes with sufficient depth, coherence and rigour.</w:t>
      </w:r>
      <w:r w:rsidR="77A96DF8">
        <w:t xml:space="preserve"> </w:t>
      </w:r>
      <w:r w:rsidR="11D82257">
        <w:t>Maintaining a targeted focus on t</w:t>
      </w:r>
      <w:r w:rsidR="790D04D4">
        <w:t>he</w:t>
      </w:r>
      <w:r w:rsidR="11D82257">
        <w:t xml:space="preserve"> share core, particularly </w:t>
      </w:r>
      <w:r w:rsidR="77A96DF8">
        <w:t>during early stages of implementation,</w:t>
      </w:r>
      <w:r w:rsidR="46228203">
        <w:t xml:space="preserve"> reflects good regulatory practice by providing </w:t>
      </w:r>
      <w:r w:rsidR="681096E9">
        <w:t xml:space="preserve">clarity to providers </w:t>
      </w:r>
      <w:r w:rsidR="38861022">
        <w:t xml:space="preserve">about what is </w:t>
      </w:r>
      <w:r w:rsidR="38861022">
        <w:lastRenderedPageBreak/>
        <w:t xml:space="preserve">expected of programmes, and gives the system assurance and oversight that is proportionate to the scale of the change. </w:t>
      </w:r>
    </w:p>
    <w:p w14:paraId="62BDA88F" w14:textId="2A263395" w:rsidR="00CD0E61" w:rsidRPr="00500EBB" w:rsidRDefault="00CD0E61" w:rsidP="00CD0E61">
      <w:pPr>
        <w:pStyle w:val="USBodyText"/>
      </w:pPr>
      <w:r>
        <w:t>While most ITE programmes are approved and monitored under the general programme approval requirements, Māori-medium programmes are subject to a distinct approval framework that reflects the unique purposes, contexts and expectations of Māori-medium teacher education. Changes to the approvals and monitoring processes need to be further contextualised for Māori-medium programmes and the distinct approval framework they operate under.</w:t>
      </w:r>
    </w:p>
    <w:p w14:paraId="20F8696A" w14:textId="38A4C4C1" w:rsidR="00CD0E61" w:rsidRPr="002C4CC8" w:rsidRDefault="2F9F5526" w:rsidP="00354639">
      <w:pPr>
        <w:pStyle w:val="Heading4"/>
      </w:pPr>
      <w:bookmarkStart w:id="200" w:name="_Toc637665458"/>
      <w:r>
        <w:t>What would change</w:t>
      </w:r>
      <w:bookmarkEnd w:id="200"/>
    </w:p>
    <w:p w14:paraId="74F0DDD3" w14:textId="108568D3" w:rsidR="00CD0E61" w:rsidRPr="002C4CC8" w:rsidRDefault="60AF53BE" w:rsidP="00D27FBB">
      <w:pPr>
        <w:pStyle w:val="Heading5"/>
      </w:pPr>
      <w:bookmarkStart w:id="201" w:name="_Toc17165674"/>
      <w:r>
        <w:t>Move to standing national panels with a trained pool of panellists</w:t>
      </w:r>
      <w:bookmarkEnd w:id="201"/>
    </w:p>
    <w:p w14:paraId="577ACB15" w14:textId="3270B0BA" w:rsidR="00CD0E61" w:rsidRDefault="76869822" w:rsidP="00CD0E61">
      <w:pPr>
        <w:pStyle w:val="USBodyText"/>
      </w:pPr>
      <w:r>
        <w:t>The ITE Programme Requirements</w:t>
      </w:r>
      <w:r w:rsidR="00CD0E61">
        <w:t xml:space="preserve"> </w:t>
      </w:r>
      <w:r w:rsidR="4FCA7AAA">
        <w:t>w</w:t>
      </w:r>
      <w:r w:rsidR="00CD0E61">
        <w:t xml:space="preserve">ould move from a ‘may consist of’ list toward a small number of standing national panels, with differentiated panels for ECE, primary and secondary programmes. Māori-medium programmes should continue to be assessed through their distinct approval pathway, supported by a standing panel with appropriate Māori-medium expertise. </w:t>
      </w:r>
    </w:p>
    <w:p w14:paraId="1CCDBFF8" w14:textId="0C773B99" w:rsidR="00CD0E61" w:rsidRPr="00500EBB" w:rsidRDefault="00CD0E61" w:rsidP="00CD0E61">
      <w:pPr>
        <w:pStyle w:val="USBodyText"/>
      </w:pPr>
      <w:r>
        <w:t xml:space="preserve">Panellists </w:t>
      </w:r>
      <w:r w:rsidR="39F50151">
        <w:t>w</w:t>
      </w:r>
      <w:r>
        <w:t>ould be drawn from a named pool of individuals who meet defined expertise criteria</w:t>
      </w:r>
      <w:r w:rsidR="002D240B">
        <w:t xml:space="preserve"> and have completed mandatory panellist training</w:t>
      </w:r>
      <w:r>
        <w:t>, with panel composition for each application drawn from the pool to suit the programme under review. Independent academic, professional, Māori-medium, disability, and sector expertise should remain part of approval processes.</w:t>
      </w:r>
    </w:p>
    <w:p w14:paraId="1C4A50AE" w14:textId="703BFE4F" w:rsidR="00CD0E61" w:rsidRPr="00500EBB" w:rsidRDefault="5D1DEA98" w:rsidP="1709B4D8">
      <w:pPr>
        <w:pStyle w:val="USBodyText"/>
      </w:pPr>
      <w:r>
        <w:t xml:space="preserve">This approach would retain the strengths of a multi-perspective peer model and continue to incorporate independent academic, professional, Māori, </w:t>
      </w:r>
      <w:r w:rsidR="6E512628">
        <w:t>Pasifika</w:t>
      </w:r>
      <w:r>
        <w:t xml:space="preserve">, and sector expertise, while ensuring consistency in who applies the criteria and how. Given the relatively small volume of approval applications, a standing panel model is operationally feasible and would significantly strengthen consistency across applications. </w:t>
      </w:r>
      <w:r w:rsidR="4C7AF661">
        <w:t xml:space="preserve">This reflects good regulatory practice by ensuring the approvals process supports consistent, predictable outcomes. </w:t>
      </w:r>
    </w:p>
    <w:p w14:paraId="6A05F6E7" w14:textId="38B474F6" w:rsidR="00CD0E61" w:rsidRPr="00021863" w:rsidRDefault="4D50798E" w:rsidP="77D79F8E">
      <w:pPr>
        <w:pStyle w:val="Heading5"/>
      </w:pPr>
      <w:bookmarkStart w:id="202" w:name="_Toc697760071"/>
      <w:r>
        <w:t xml:space="preserve">Elevate and strengthen </w:t>
      </w:r>
      <w:r w:rsidR="60AF53BE">
        <w:t>mandatory training for all approvals panellists</w:t>
      </w:r>
      <w:bookmarkEnd w:id="202"/>
      <w:r w:rsidR="00CD0E61">
        <w:t xml:space="preserve"> </w:t>
      </w:r>
    </w:p>
    <w:p w14:paraId="01DDF801" w14:textId="3E1B2E93" w:rsidR="00CD0E61" w:rsidRPr="00500EBB" w:rsidRDefault="76869822" w:rsidP="008D4EFF">
      <w:pPr>
        <w:pStyle w:val="USBodyText"/>
        <w:spacing w:after="60"/>
      </w:pPr>
      <w:r>
        <w:t>The ITE Programme Requirements</w:t>
      </w:r>
      <w:r w:rsidR="00CD0E61">
        <w:t xml:space="preserve"> </w:t>
      </w:r>
      <w:r w:rsidR="53CFB0A4">
        <w:t>w</w:t>
      </w:r>
      <w:r w:rsidR="00CD0E61">
        <w:t>ould</w:t>
      </w:r>
      <w:r w:rsidR="00384107">
        <w:t xml:space="preserve"> make explicit the expectation that approvals </w:t>
      </w:r>
      <w:r w:rsidR="00CD0E61">
        <w:t>panel</w:t>
      </w:r>
      <w:r w:rsidR="003361A3">
        <w:t>lists undertake</w:t>
      </w:r>
      <w:r w:rsidR="00384107">
        <w:t xml:space="preserve"> training prior to assessing programmes</w:t>
      </w:r>
      <w:r w:rsidR="00CD0E61">
        <w:t xml:space="preserve">. </w:t>
      </w:r>
      <w:r w:rsidR="00E50226">
        <w:t xml:space="preserve">Existing training delivered by the </w:t>
      </w:r>
      <w:r w:rsidR="00BC3C3C">
        <w:t xml:space="preserve">Teaching Council of Aotearoa New Zealand </w:t>
      </w:r>
      <w:r w:rsidR="00E50226">
        <w:t>should be strengthened and cover</w:t>
      </w:r>
      <w:r w:rsidR="00CD0E61">
        <w:t>:</w:t>
      </w:r>
    </w:p>
    <w:p w14:paraId="3B7FEA0C" w14:textId="1E4B3737" w:rsidR="00CD0E61" w:rsidRPr="00BE288A" w:rsidRDefault="00CD0E61" w:rsidP="00CD0E61">
      <w:pPr>
        <w:pStyle w:val="USBullet1"/>
      </w:pPr>
      <w:r>
        <w:t>The purpose, scope and process of programme approvals and monitoring, and the role of individual assessors within that process</w:t>
      </w:r>
    </w:p>
    <w:p w14:paraId="3542A43B" w14:textId="2277AB7E" w:rsidR="00CD0E61" w:rsidRPr="00BE288A" w:rsidRDefault="00CD0E61" w:rsidP="00CD0E61">
      <w:pPr>
        <w:pStyle w:val="USBullet1"/>
      </w:pPr>
      <w:r>
        <w:t>The nature of tertiary ITE programmes, including programme design, assessment frameworks, and internal and external moderation practices</w:t>
      </w:r>
    </w:p>
    <w:p w14:paraId="52FD8B66" w14:textId="23F99DED" w:rsidR="00E50226" w:rsidRDefault="00CD0E61" w:rsidP="008D4EFF">
      <w:pPr>
        <w:pStyle w:val="USBullet1"/>
        <w:spacing w:after="180"/>
      </w:pPr>
      <w:r>
        <w:t>C</w:t>
      </w:r>
      <w:r w:rsidRPr="00BE288A">
        <w:t>ontent-specific knowledge relevant to ITE, including the shared core and the revised Standards</w:t>
      </w:r>
      <w:r w:rsidR="00720B60">
        <w:t>.</w:t>
      </w:r>
    </w:p>
    <w:p w14:paraId="0943D003" w14:textId="0148A965" w:rsidR="00CD0E61" w:rsidRPr="00500EBB" w:rsidRDefault="00E50226" w:rsidP="00CD0E61">
      <w:pPr>
        <w:pStyle w:val="USBodyText"/>
      </w:pPr>
      <w:r>
        <w:t>More rigorous</w:t>
      </w:r>
      <w:r w:rsidR="00CD0E61">
        <w:t xml:space="preserve"> training would reduce variability in decision-making and create a defensible baseline of expertise across the pool from which panellists are drawn. It would also support greater transparency in how approval judgements are reached, making clear to the ITE sector that all assessors have been </w:t>
      </w:r>
      <w:r w:rsidR="00CD0E61">
        <w:lastRenderedPageBreak/>
        <w:t>prepared against a common understanding of the process and the standard against which programmes are being assessed. In this way, mandatory training contributes directly to confidence in the rigour and consistency of the approvals process and the judgements they produce.</w:t>
      </w:r>
    </w:p>
    <w:p w14:paraId="098FBE49" w14:textId="06043124" w:rsidR="00CD0E61" w:rsidRPr="002C4CC8" w:rsidRDefault="60AF53BE" w:rsidP="00D27FBB">
      <w:pPr>
        <w:pStyle w:val="Heading5"/>
      </w:pPr>
      <w:bookmarkStart w:id="203" w:name="_Toc773262984"/>
      <w:r>
        <w:t>Appoint monitors independently and draw them from the trained pool</w:t>
      </w:r>
      <w:bookmarkEnd w:id="203"/>
    </w:p>
    <w:p w14:paraId="6A83BD06" w14:textId="7359B369" w:rsidR="00CD0E61" w:rsidRPr="00500EBB" w:rsidRDefault="0CB26AB0" w:rsidP="00CD0E61">
      <w:pPr>
        <w:pStyle w:val="USBodyText"/>
      </w:pPr>
      <w:r>
        <w:t>The ITE Programme Requirements</w:t>
      </w:r>
      <w:r w:rsidR="00CD0E61">
        <w:t xml:space="preserve"> </w:t>
      </w:r>
      <w:r w:rsidR="316A3C2D">
        <w:t>w</w:t>
      </w:r>
      <w:r w:rsidR="00CD0E61">
        <w:t>ould provide for the appointment of independent monitors</w:t>
      </w:r>
      <w:r w:rsidR="00C629D3">
        <w:t>,</w:t>
      </w:r>
      <w:r w:rsidR="00CD0E61">
        <w:t xml:space="preserve"> drawing from the same trained pool used for approvals panels. This would strengthen the independence of monitoring, embed consistency in expertise and approach across providers, and reinforce the position of monitoring as a substantive quality assurance function rather than a provider-led check-in. </w:t>
      </w:r>
    </w:p>
    <w:p w14:paraId="5AF78C75" w14:textId="514FCAFB" w:rsidR="00CD0E61" w:rsidRPr="00021863" w:rsidRDefault="60AF53BE" w:rsidP="6DADA30F">
      <w:pPr>
        <w:pStyle w:val="Heading5"/>
      </w:pPr>
      <w:bookmarkStart w:id="204" w:name="_Toc1437460104"/>
      <w:r>
        <w:t xml:space="preserve">Develop a </w:t>
      </w:r>
      <w:r w:rsidR="0D654998">
        <w:t xml:space="preserve">monitoring </w:t>
      </w:r>
      <w:r>
        <w:t>framework</w:t>
      </w:r>
      <w:r w:rsidR="0D654998">
        <w:t xml:space="preserve"> focused on evidence of programme delivery and development of graduate capability</w:t>
      </w:r>
      <w:bookmarkEnd w:id="204"/>
      <w:r w:rsidR="00CD0E61">
        <w:t xml:space="preserve"> </w:t>
      </w:r>
    </w:p>
    <w:p w14:paraId="65D45951" w14:textId="6D57E579" w:rsidR="00CD0E61" w:rsidRDefault="00CD0E61" w:rsidP="65C5DE98">
      <w:pPr>
        <w:pStyle w:val="USBodyText"/>
      </w:pPr>
      <w:r>
        <w:t xml:space="preserve">A framework </w:t>
      </w:r>
      <w:r w:rsidR="009F1E5F">
        <w:t>to support an external assessment of</w:t>
      </w:r>
      <w:r w:rsidR="00647A62">
        <w:t xml:space="preserve"> a programme’s delivery and development of </w:t>
      </w:r>
      <w:r w:rsidR="00C629D3">
        <w:t xml:space="preserve">graduate </w:t>
      </w:r>
      <w:r w:rsidR="00647A62">
        <w:t xml:space="preserve">capability </w:t>
      </w:r>
      <w:r w:rsidR="1DA3C853">
        <w:t>woul</w:t>
      </w:r>
      <w:r>
        <w:t xml:space="preserve">d be developed to guide monitoring judgements. It </w:t>
      </w:r>
      <w:r w:rsidR="742A2396">
        <w:t>would</w:t>
      </w:r>
      <w:r>
        <w:t xml:space="preserve"> specify the evidence monitors are expected to review (including evidence of external moderation, observation of teaching, follow-up on prior conditions, and evidence of how the shared core is being taught and assessed), and the standard against which judgements should be made. The framework should align with the evidence requirements at approval, so that monitoring functions as a coherent continuation of approval rather than a separate exercise. </w:t>
      </w:r>
    </w:p>
    <w:p w14:paraId="1E735916" w14:textId="7C42B6E1" w:rsidR="00CD0E61" w:rsidRDefault="00CD0E61" w:rsidP="00CD0E61">
      <w:pPr>
        <w:pStyle w:val="USBodyText"/>
      </w:pPr>
      <w:r>
        <w:t xml:space="preserve">The monitoring framework should be linked to the shared core as a priority. The shared core is a new and significant change in the </w:t>
      </w:r>
      <w:r w:rsidR="242530F1">
        <w:t xml:space="preserve">ITE Programme </w:t>
      </w:r>
      <w:r>
        <w:t xml:space="preserve">Requirements, and monitoring provides a key opportunity to assess whether the shared core is </w:t>
      </w:r>
      <w:r w:rsidRPr="00A10BB0">
        <w:t>being taught, assessed and integrated into programmes with sufficient depth, coherence and rigour.</w:t>
      </w:r>
      <w:r>
        <w:t xml:space="preserve"> This is particularly important during early stages of implementation. </w:t>
      </w:r>
      <w:r w:rsidRPr="00A10BB0">
        <w:t xml:space="preserve">A consistent monitoring framework would give monitors a common basis for </w:t>
      </w:r>
      <w:r>
        <w:t xml:space="preserve">assessing the depth and breadth of implementation and identifying any </w:t>
      </w:r>
      <w:r w:rsidRPr="00A10BB0">
        <w:t>inconsisten</w:t>
      </w:r>
      <w:r>
        <w:t xml:space="preserve">cies or limitations in implementation early. </w:t>
      </w:r>
    </w:p>
    <w:p w14:paraId="4A2D609B" w14:textId="27E2EA03" w:rsidR="00CD0E61" w:rsidRPr="00500EBB" w:rsidRDefault="00CD0E61" w:rsidP="00CD0E61">
      <w:pPr>
        <w:pStyle w:val="USBodyText"/>
      </w:pPr>
      <w:r>
        <w:t>More broadly, a shared</w:t>
      </w:r>
      <w:r w:rsidRPr="00500EBB">
        <w:t xml:space="preserve"> </w:t>
      </w:r>
      <w:r w:rsidR="000D07F3">
        <w:t>monitoring</w:t>
      </w:r>
      <w:r w:rsidRPr="00500EBB">
        <w:t xml:space="preserve"> framework would also support greater transparency in how monitoring judgements are reached, giving the ITE sector a common reference point for understanding what monitors are looking at, how findings are weighed, and how judgements translate into requirements and recommendations. This would strengthen the legitimacy of monitoring outcomes and the consistency with which they are applied across providers.</w:t>
      </w:r>
    </w:p>
    <w:p w14:paraId="49DFFC51" w14:textId="41E12938" w:rsidR="00CD0E61" w:rsidRPr="002C4CC8" w:rsidRDefault="60AF53BE" w:rsidP="00D27FBB">
      <w:pPr>
        <w:pStyle w:val="Heading5"/>
      </w:pPr>
      <w:bookmarkStart w:id="205" w:name="_Toc48853183"/>
      <w:r>
        <w:t>Strengthen the link between monitoring findings and required action</w:t>
      </w:r>
      <w:bookmarkEnd w:id="205"/>
    </w:p>
    <w:p w14:paraId="5BB70CA8" w14:textId="6056DCB5" w:rsidR="00CD0E61" w:rsidRPr="00500EBB" w:rsidRDefault="2D6ED1FA" w:rsidP="00CD0E61">
      <w:pPr>
        <w:pStyle w:val="USBodyText"/>
      </w:pPr>
      <w:r>
        <w:t xml:space="preserve">The current process distinguishes between requirements (which must be addressed immediately) and recommendations (which are revisited at the next monitoring visit). This distinction is sound and should be retained, but its application is currently uneven and there is limited transparency about how findings are tracked over time. </w:t>
      </w:r>
    </w:p>
    <w:p w14:paraId="30DF7962" w14:textId="7324EA56" w:rsidR="00CD0E61" w:rsidRPr="00500EBB" w:rsidRDefault="0CB26AB0" w:rsidP="6DADA30F">
      <w:pPr>
        <w:pStyle w:val="USBodyText"/>
      </w:pPr>
      <w:r>
        <w:t>The ITE Programme Requirements</w:t>
      </w:r>
      <w:r w:rsidR="2D6ED1FA">
        <w:t xml:space="preserve"> </w:t>
      </w:r>
      <w:r w:rsidR="1291C5C9">
        <w:t>w</w:t>
      </w:r>
      <w:r w:rsidR="2D6ED1FA">
        <w:t xml:space="preserve">ould </w:t>
      </w:r>
      <w:r w:rsidR="11A89665">
        <w:t xml:space="preserve">be amended to </w:t>
      </w:r>
      <w:r w:rsidR="2D6ED1FA">
        <w:t xml:space="preserve">specify defined timeframes for addressing requirements, clearer expectations for follow-up on recommendations, and an escalation pathway for </w:t>
      </w:r>
      <w:r w:rsidR="2D6ED1FA">
        <w:lastRenderedPageBreak/>
        <w:t xml:space="preserve">unresolved or repeated concerns. </w:t>
      </w:r>
      <w:r w:rsidR="3EB25A5C">
        <w:t xml:space="preserve">This reflects good regulatory practice </w:t>
      </w:r>
      <w:r w:rsidR="5B5B8231">
        <w:t xml:space="preserve">that </w:t>
      </w:r>
      <w:r w:rsidR="3EB25A5C">
        <w:t>findings hav</w:t>
      </w:r>
      <w:r w:rsidR="4F0842E5">
        <w:t>e</w:t>
      </w:r>
      <w:r w:rsidR="0893BD90">
        <w:t xml:space="preserve"> </w:t>
      </w:r>
      <w:r w:rsidR="3EB25A5C">
        <w:t xml:space="preserve">predictable consequences </w:t>
      </w:r>
      <w:r w:rsidR="3768D56C">
        <w:t>and the regulatory response should be proportionate to the significance and persistence of issues</w:t>
      </w:r>
      <w:r w:rsidR="39664BB1">
        <w:t xml:space="preserve"> identified through monitoring</w:t>
      </w:r>
      <w:r w:rsidR="3768D56C">
        <w:t xml:space="preserve">. </w:t>
      </w:r>
    </w:p>
    <w:p w14:paraId="084062CC" w14:textId="6C1B3B90" w:rsidR="00CD0E61" w:rsidRPr="002C4CC8" w:rsidRDefault="60AF53BE" w:rsidP="00D27FBB">
      <w:pPr>
        <w:pStyle w:val="Heading5"/>
      </w:pPr>
      <w:bookmarkStart w:id="206" w:name="_Toc329866179"/>
      <w:r>
        <w:t>Reposition national moderation as a coherent national arrangement</w:t>
      </w:r>
      <w:bookmarkEnd w:id="206"/>
    </w:p>
    <w:p w14:paraId="291AD672" w14:textId="77777777" w:rsidR="00CD0E61" w:rsidRPr="00500EBB" w:rsidRDefault="00CD0E61" w:rsidP="00CD0E61">
      <w:pPr>
        <w:pStyle w:val="USBodyText"/>
      </w:pPr>
      <w:r>
        <w:t>National moderation has the potential to provide important assurance about the consistency of provider-led assessment, particularly alongside the proposed national externally moderated assessment. The existing pre-moderation step is a genuine strength of the current arrangement: we understand it provides providers with precise, actionable feedback on assessment design, and this should be preserved as the national moderation process is strengthened.</w:t>
      </w:r>
    </w:p>
    <w:p w14:paraId="05A19EF2" w14:textId="77777777" w:rsidR="00CD0E61" w:rsidRPr="00500EBB" w:rsidRDefault="2D6ED1FA" w:rsidP="00CD0E61">
      <w:pPr>
        <w:pStyle w:val="USBodyText"/>
      </w:pPr>
      <w:r>
        <w:t>We understand national moderation currently operates on a peer-to-peer basis, with providers responsible for finding another provider to moderate their assessments. This approach creates the risk of uneven outcomes and incentivising providers to select moderators whose approach aligns with their own.</w:t>
      </w:r>
    </w:p>
    <w:p w14:paraId="245B60FD" w14:textId="6E4DB688" w:rsidR="00CD0E61" w:rsidRDefault="3B0C4C51" w:rsidP="65C5DE98">
      <w:pPr>
        <w:pStyle w:val="USBodyText"/>
      </w:pPr>
      <w:r>
        <w:t>The ITE Programme Requirements</w:t>
      </w:r>
      <w:r w:rsidR="2D6ED1FA">
        <w:t xml:space="preserve"> </w:t>
      </w:r>
      <w:r w:rsidR="3D04DF5C">
        <w:t>would be amended to</w:t>
      </w:r>
      <w:r w:rsidR="2D6ED1FA">
        <w:t xml:space="preserve"> replace this peer-to-peer arrangement with a single, centralised national moderation body. Centralising the function would ensure consistency in how moderation is conducted across providers and create a clearer line of sight into common areas of strength and weakness and the opportunities for sector-wide improvement. This would strengthen national moderation as a more rigorous and coherent component of the system's quality assurance oversight of programmes.</w:t>
      </w:r>
    </w:p>
    <w:p w14:paraId="4FEA2080" w14:textId="038713EE" w:rsidR="63069175" w:rsidRDefault="111DD673" w:rsidP="1709B4D8">
      <w:pPr>
        <w:pStyle w:val="Heading4"/>
      </w:pPr>
      <w:bookmarkStart w:id="207" w:name="_Toc604171302"/>
      <w:r>
        <w:t>Implementation considerations</w:t>
      </w:r>
      <w:bookmarkEnd w:id="207"/>
    </w:p>
    <w:p w14:paraId="0EAC66D1" w14:textId="39DB9305" w:rsidR="55EE4CB9" w:rsidRPr="008D4EFF" w:rsidRDefault="55EE4CB9" w:rsidP="008D4EFF">
      <w:pPr>
        <w:pStyle w:val="USBodyText"/>
      </w:pPr>
      <w:r w:rsidRPr="008D4EFF">
        <w:t>Strengthening approvals, monitoring and moderation arrangements would require further consideration of</w:t>
      </w:r>
      <w:r w:rsidR="77EB3233" w:rsidRPr="008D4EFF">
        <w:t xml:space="preserve"> how proposed changes build on existing initiatives and quality assurance </w:t>
      </w:r>
      <w:r w:rsidR="11416047" w:rsidRPr="008D4EFF">
        <w:t>processes</w:t>
      </w:r>
      <w:r w:rsidR="77EB3233" w:rsidRPr="008D4EFF">
        <w:t xml:space="preserve"> already underway. An important objective would be to retain the strengths of the current quality assurance architecture while improving consistency, transparency and rigour. </w:t>
      </w:r>
    </w:p>
    <w:p w14:paraId="5B180B58" w14:textId="4AEDB1C3" w:rsidR="3A26E0A3" w:rsidRPr="008D4EFF" w:rsidRDefault="3A26E0A3" w:rsidP="008D4EFF">
      <w:pPr>
        <w:pStyle w:val="USBodyText"/>
      </w:pPr>
      <w:r w:rsidRPr="008D4EFF">
        <w:t>Consideration will need to be given to</w:t>
      </w:r>
      <w:r w:rsidR="55EE4CB9" w:rsidRPr="008D4EFF">
        <w:t xml:space="preserve"> the respective roles of the Ministry, the </w:t>
      </w:r>
      <w:r w:rsidR="00BC3C3C">
        <w:t>Teaching Council of Aotearoa New Zealand</w:t>
      </w:r>
      <w:r w:rsidR="55EE4CB9" w:rsidRPr="008D4EFF">
        <w:t xml:space="preserve">, NZQA and any successor arrangements to CUAP. </w:t>
      </w:r>
      <w:r w:rsidR="042BF458" w:rsidRPr="008D4EFF">
        <w:t xml:space="preserve">Changes would need to complement existing approval processes and avoid </w:t>
      </w:r>
      <w:r w:rsidR="457321DC" w:rsidRPr="008D4EFF">
        <w:t>unnecessary</w:t>
      </w:r>
      <w:r w:rsidR="042BF458" w:rsidRPr="008D4EFF">
        <w:t xml:space="preserve"> duplication or compliance burden for providers. </w:t>
      </w:r>
    </w:p>
    <w:p w14:paraId="76196585" w14:textId="414A5648" w:rsidR="73928A85" w:rsidRPr="008D4EFF" w:rsidRDefault="73928A85" w:rsidP="008D4EFF">
      <w:pPr>
        <w:pStyle w:val="USBodyText"/>
        <w:spacing w:after="360"/>
      </w:pPr>
      <w:r w:rsidRPr="008D4EFF">
        <w:t xml:space="preserve">Further work would be required to determine which elements are most appropriately embedded within the </w:t>
      </w:r>
      <w:r w:rsidR="242530F1" w:rsidRPr="008D4EFF">
        <w:t xml:space="preserve">ITE Programme </w:t>
      </w:r>
      <w:r w:rsidRPr="008D4EFF">
        <w:t>Requirements themselves and which are better addressed through supporting policy, guidance and operational processes. As many of the proposed changes build on existing arrangements, implementation will need to be carefully stage</w:t>
      </w:r>
      <w:r w:rsidR="00AD3523">
        <w:t>d</w:t>
      </w:r>
      <w:r w:rsidRPr="008D4EFF">
        <w:t xml:space="preserve"> and sequenced, including in the context of the recent transfer of stand</w:t>
      </w:r>
      <w:r w:rsidR="3C11A611" w:rsidRPr="008D4EFF">
        <w:t xml:space="preserve">ard setting functions to the Ministry. </w:t>
      </w:r>
    </w:p>
    <w:tbl>
      <w:tblPr>
        <w:tblStyle w:val="TableGrid"/>
        <w:tblW w:w="0" w:type="auto"/>
        <w:tblCellMar>
          <w:top w:w="198" w:type="dxa"/>
          <w:left w:w="170" w:type="dxa"/>
          <w:bottom w:w="198" w:type="dxa"/>
          <w:right w:w="170" w:type="dxa"/>
        </w:tblCellMar>
        <w:tblLook w:val="06A0" w:firstRow="1" w:lastRow="0" w:firstColumn="1" w:lastColumn="0" w:noHBand="1" w:noVBand="1"/>
      </w:tblPr>
      <w:tblGrid>
        <w:gridCol w:w="9060"/>
      </w:tblGrid>
      <w:tr w:rsidR="6E293931" w14:paraId="5E0C430C" w14:textId="77777777" w:rsidTr="008D4EFF">
        <w:trPr>
          <w:trHeight w:val="300"/>
        </w:trPr>
        <w:tc>
          <w:tcPr>
            <w:tcW w:w="9060" w:type="dxa"/>
            <w:tcBorders>
              <w:top w:val="nil"/>
              <w:left w:val="nil"/>
              <w:bottom w:val="nil"/>
              <w:right w:val="nil"/>
            </w:tcBorders>
            <w:shd w:val="clear" w:color="auto" w:fill="D5E4E6" w:themeFill="accent1" w:themeFillTint="33"/>
          </w:tcPr>
          <w:p w14:paraId="49F14B72" w14:textId="6445799F" w:rsidR="5975D5EC" w:rsidRPr="00021863" w:rsidRDefault="0E6AEFBC" w:rsidP="008D4EFF">
            <w:pPr>
              <w:pStyle w:val="Heading4"/>
              <w:spacing w:before="0"/>
            </w:pPr>
            <w:bookmarkStart w:id="208" w:name="_Toc1770193625"/>
            <w:r>
              <w:lastRenderedPageBreak/>
              <w:t>For discussion</w:t>
            </w:r>
            <w:bookmarkEnd w:id="208"/>
          </w:p>
          <w:p w14:paraId="152B74EF" w14:textId="127A1BEF" w:rsidR="6E293931" w:rsidRPr="00B4300F" w:rsidRDefault="1B97CB82" w:rsidP="008D4EFF">
            <w:pPr>
              <w:pStyle w:val="USBullet1"/>
              <w:spacing w:before="120" w:after="120"/>
            </w:pPr>
            <w:r>
              <w:t xml:space="preserve">To what extent do you agree with the rationale for this opportunity? </w:t>
            </w:r>
          </w:p>
          <w:p w14:paraId="40653045" w14:textId="0445BF2E" w:rsidR="6E293931" w:rsidRPr="00B4300F" w:rsidRDefault="1B97CB82" w:rsidP="008D4EFF">
            <w:pPr>
              <w:pStyle w:val="USBullet1"/>
              <w:spacing w:before="120" w:after="120"/>
            </w:pPr>
            <w:r>
              <w:t xml:space="preserve">Are there alternative approaches that you would recommend instead? </w:t>
            </w:r>
          </w:p>
          <w:p w14:paraId="05002BBE" w14:textId="30E93A93" w:rsidR="6E293931" w:rsidRPr="00B4300F" w:rsidRDefault="1B97CB82" w:rsidP="008D4EFF">
            <w:pPr>
              <w:pStyle w:val="USBullet1"/>
              <w:spacing w:before="120" w:after="120"/>
            </w:pPr>
            <w:r>
              <w:t>What costs, risks, or unintended consequences should be considered?</w:t>
            </w:r>
          </w:p>
        </w:tc>
      </w:tr>
    </w:tbl>
    <w:p w14:paraId="7EBCAE15" w14:textId="3CA95AD4" w:rsidR="008650E1" w:rsidRPr="004749B7" w:rsidRDefault="4F05DB31" w:rsidP="004749B7">
      <w:pPr>
        <w:pStyle w:val="Heading1"/>
      </w:pPr>
      <w:bookmarkStart w:id="209" w:name="_Toc945006962"/>
      <w:bookmarkStart w:id="210" w:name="_Toc241658052"/>
      <w:bookmarkStart w:id="211" w:name="_Toc234512889"/>
      <w:bookmarkStart w:id="212" w:name="_Ref234589425"/>
      <w:r w:rsidRPr="004749B7">
        <w:lastRenderedPageBreak/>
        <w:t xml:space="preserve">Other </w:t>
      </w:r>
      <w:r w:rsidR="509E42B7" w:rsidRPr="004749B7">
        <w:t>opportunities</w:t>
      </w:r>
      <w:bookmarkEnd w:id="209"/>
      <w:bookmarkEnd w:id="210"/>
    </w:p>
    <w:p w14:paraId="7C0BA3CC" w14:textId="09EB70EF" w:rsidR="008677E3" w:rsidRDefault="033E82D3" w:rsidP="008D4EFF">
      <w:pPr>
        <w:pStyle w:val="USBodyText"/>
        <w:spacing w:after="360"/>
      </w:pPr>
      <w:r>
        <w:t>We have outlined a set number of opportunities that have surfaced through our review of the ITE Programme Requirements, desktop research and engagement with experts. These aren’t intended to represent a complete set of changes.</w:t>
      </w:r>
    </w:p>
    <w:tbl>
      <w:tblPr>
        <w:tblStyle w:val="TableGrid"/>
        <w:tblpPr w:leftFromText="180" w:rightFromText="180" w:vertAnchor="text" w:horzAnchor="margin" w:tblpY="-73"/>
        <w:tblW w:w="0" w:type="auto"/>
        <w:tblCellMar>
          <w:top w:w="198" w:type="dxa"/>
          <w:left w:w="170" w:type="dxa"/>
          <w:bottom w:w="198" w:type="dxa"/>
          <w:right w:w="170" w:type="dxa"/>
        </w:tblCellMar>
        <w:tblLook w:val="06A0" w:firstRow="1" w:lastRow="0" w:firstColumn="1" w:lastColumn="0" w:noHBand="1" w:noVBand="1"/>
      </w:tblPr>
      <w:tblGrid>
        <w:gridCol w:w="9060"/>
      </w:tblGrid>
      <w:tr w:rsidR="00CB5CCE" w14:paraId="12D148EF" w14:textId="77777777" w:rsidTr="00CB5CCE">
        <w:trPr>
          <w:trHeight w:val="300"/>
        </w:trPr>
        <w:tc>
          <w:tcPr>
            <w:tcW w:w="9060" w:type="dxa"/>
            <w:tcBorders>
              <w:top w:val="nil"/>
              <w:left w:val="nil"/>
              <w:bottom w:val="nil"/>
              <w:right w:val="nil"/>
            </w:tcBorders>
            <w:shd w:val="clear" w:color="auto" w:fill="D5E4E6" w:themeFill="accent1" w:themeFillTint="33"/>
          </w:tcPr>
          <w:p w14:paraId="0AA7C2C4" w14:textId="77777777" w:rsidR="00CB5CCE" w:rsidRDefault="00CB5CCE" w:rsidP="00CB5CCE">
            <w:pPr>
              <w:pStyle w:val="Heading4"/>
              <w:spacing w:before="0"/>
            </w:pPr>
            <w:r>
              <w:t>For discussion:</w:t>
            </w:r>
          </w:p>
          <w:p w14:paraId="60E7912C" w14:textId="77777777" w:rsidR="00CB5CCE" w:rsidRDefault="00CB5CCE" w:rsidP="00CB5CCE">
            <w:pPr>
              <w:pStyle w:val="USBullet1"/>
              <w:spacing w:before="120" w:after="120"/>
            </w:pPr>
            <w:r>
              <w:t>Are there any opportunities that should be prioritised ahead of others? Why?</w:t>
            </w:r>
          </w:p>
          <w:p w14:paraId="2EB93920" w14:textId="77777777" w:rsidR="00CB5CCE" w:rsidRDefault="00CB5CCE" w:rsidP="00CB5CCE">
            <w:pPr>
              <w:pStyle w:val="USBullet1"/>
              <w:spacing w:before="120" w:after="120"/>
            </w:pPr>
            <w:r>
              <w:t>Are there other changes to the ITE Programme Requirements that should be considered?</w:t>
            </w:r>
          </w:p>
        </w:tc>
      </w:tr>
    </w:tbl>
    <w:p w14:paraId="1DD8CED7" w14:textId="77777777" w:rsidR="00CB5CCE" w:rsidRPr="00CB5CCE" w:rsidRDefault="00CB5CCE" w:rsidP="00CB5CCE">
      <w:pPr>
        <w:pStyle w:val="Heading1"/>
        <w:rPr>
          <w:lang w:val="en-AU"/>
        </w:rPr>
      </w:pPr>
      <w:bookmarkStart w:id="213" w:name="_Toc241658053"/>
      <w:r w:rsidRPr="00CB5CCE">
        <w:rPr>
          <w:lang w:val="en-AU"/>
        </w:rPr>
        <w:lastRenderedPageBreak/>
        <w:t>How can I provide feedback?</w:t>
      </w:r>
      <w:bookmarkEnd w:id="213"/>
      <w:r w:rsidRPr="00CB5CCE">
        <w:rPr>
          <w:lang w:val="en-AU"/>
        </w:rPr>
        <w:t> </w:t>
      </w:r>
    </w:p>
    <w:p w14:paraId="07CCDC47" w14:textId="77777777" w:rsidR="00CB5CCE" w:rsidRDefault="00CB5CCE" w:rsidP="00407EA4">
      <w:pPr>
        <w:pStyle w:val="USBodyText"/>
        <w:rPr>
          <w:lang w:val="en-AU"/>
        </w:rPr>
      </w:pPr>
      <w:r w:rsidRPr="00CB5CCE">
        <w:rPr>
          <w:lang w:val="en-AU"/>
        </w:rPr>
        <w:t>We encourage anyone with an interest in Initial Teacher Education, teaching and learning, or the future teacher workforce to share their views.</w:t>
      </w:r>
      <w:r w:rsidRPr="00CB5CCE">
        <w:rPr>
          <w:lang w:val="en-US"/>
        </w:rPr>
        <w:t> </w:t>
      </w:r>
    </w:p>
    <w:p w14:paraId="0CEDC5F7" w14:textId="77777777" w:rsidR="004053D7" w:rsidRPr="003A3F88" w:rsidRDefault="004053D7" w:rsidP="004053D7">
      <w:pPr>
        <w:pStyle w:val="USBodyText"/>
        <w:rPr>
          <w:lang w:val="en-AU"/>
        </w:rPr>
      </w:pPr>
      <w:r w:rsidRPr="003A3F88">
        <w:rPr>
          <w:lang w:val="en-AU"/>
        </w:rPr>
        <w:t>You can provide feedback by:</w:t>
      </w:r>
      <w:r w:rsidRPr="003A3F88">
        <w:rPr>
          <w:lang w:val="en-US"/>
        </w:rPr>
        <w:t>  </w:t>
      </w:r>
    </w:p>
    <w:p w14:paraId="18D05E50" w14:textId="1920668C" w:rsidR="004053D7" w:rsidRPr="003A3F88" w:rsidRDefault="004053D7" w:rsidP="004053D7">
      <w:pPr>
        <w:pStyle w:val="USBodyText"/>
        <w:numPr>
          <w:ilvl w:val="0"/>
          <w:numId w:val="39"/>
        </w:numPr>
        <w:rPr>
          <w:lang w:val="en-AU"/>
        </w:rPr>
      </w:pPr>
      <w:r w:rsidRPr="003A3F88">
        <w:rPr>
          <w:lang w:val="en-AU"/>
        </w:rPr>
        <w:t>Completing a short online survey (around 15 minutes) under </w:t>
      </w:r>
      <w:r w:rsidRPr="003A3F88">
        <w:rPr>
          <w:i/>
          <w:iCs/>
          <w:lang w:val="en-AU"/>
        </w:rPr>
        <w:t>Have Your Say</w:t>
      </w:r>
      <w:r w:rsidRPr="003A3F88">
        <w:rPr>
          <w:lang w:val="en-AU"/>
        </w:rPr>
        <w:t xml:space="preserve"> on </w:t>
      </w:r>
      <w:r>
        <w:rPr>
          <w:lang w:val="en-AU"/>
        </w:rPr>
        <w:t xml:space="preserve">the </w:t>
      </w:r>
      <w:hyperlink r:id="rId43" w:history="1">
        <w:r w:rsidRPr="00286F04">
          <w:rPr>
            <w:rStyle w:val="Hyperlink"/>
            <w:lang w:val="en-AU"/>
          </w:rPr>
          <w:t>https://www.education.govt.nz/have-your-say/have-your-say-review-initial-teacher-education-programme-requirements/details</w:t>
        </w:r>
      </w:hyperlink>
      <w:r w:rsidR="009673B8">
        <w:rPr>
          <w:lang w:val="en-AU"/>
        </w:rPr>
        <w:t xml:space="preserve"> </w:t>
      </w:r>
      <w:r w:rsidR="00B354D6">
        <w:t xml:space="preserve">or shortened URL: </w:t>
      </w:r>
      <w:hyperlink r:id="rId44" w:history="1">
        <w:r w:rsidR="00B354D6" w:rsidRPr="00286F04">
          <w:rPr>
            <w:rStyle w:val="Hyperlink"/>
            <w:lang w:val="en-AU"/>
          </w:rPr>
          <w:t>https://www.education.govt.nz/ite-review</w:t>
        </w:r>
      </w:hyperlink>
      <w:r w:rsidR="00B354D6" w:rsidRPr="004F34BF">
        <w:rPr>
          <w:lang w:val="en-AU"/>
        </w:rPr>
        <w:t>.</w:t>
      </w:r>
    </w:p>
    <w:p w14:paraId="0CBEE4C7" w14:textId="77777777" w:rsidR="004053D7" w:rsidRPr="003A3F88" w:rsidRDefault="004053D7" w:rsidP="004053D7">
      <w:pPr>
        <w:pStyle w:val="USBodyText"/>
        <w:numPr>
          <w:ilvl w:val="0"/>
          <w:numId w:val="40"/>
        </w:numPr>
        <w:rPr>
          <w:lang w:val="en-AU"/>
        </w:rPr>
      </w:pPr>
      <w:r w:rsidRPr="003A3F88">
        <w:rPr>
          <w:lang w:val="en-AU"/>
        </w:rPr>
        <w:t>Using the same online survey to make a written submission of any length.</w:t>
      </w:r>
      <w:r w:rsidRPr="003A3F88">
        <w:rPr>
          <w:lang w:val="en-US"/>
        </w:rPr>
        <w:t>  </w:t>
      </w:r>
    </w:p>
    <w:p w14:paraId="125B653C" w14:textId="77777777" w:rsidR="004053D7" w:rsidRPr="003A3F88" w:rsidRDefault="004053D7" w:rsidP="004053D7">
      <w:pPr>
        <w:pStyle w:val="USBodyText"/>
        <w:numPr>
          <w:ilvl w:val="0"/>
          <w:numId w:val="41"/>
        </w:numPr>
        <w:rPr>
          <w:lang w:val="en-AU"/>
        </w:rPr>
      </w:pPr>
      <w:r w:rsidRPr="003A3F88">
        <w:rPr>
          <w:lang w:val="en-AU"/>
        </w:rPr>
        <w:t>Emailing your feedback or submission to </w:t>
      </w:r>
      <w:hyperlink r:id="rId45" w:tgtFrame="_blank" w:tooltip="mailto:TeachingStandards@education.govt.nz" w:history="1">
        <w:r w:rsidRPr="003A3F88">
          <w:rPr>
            <w:rStyle w:val="Hyperlink"/>
          </w:rPr>
          <w:t>TeachingStandards@education.govt.nz</w:t>
        </w:r>
      </w:hyperlink>
      <w:r w:rsidRPr="003A3F88">
        <w:rPr>
          <w:lang w:val="en-AU"/>
        </w:rPr>
        <w:t>.</w:t>
      </w:r>
      <w:r w:rsidRPr="003A3F88">
        <w:rPr>
          <w:lang w:val="en-US"/>
        </w:rPr>
        <w:t>  </w:t>
      </w:r>
    </w:p>
    <w:p w14:paraId="57477873" w14:textId="77777777" w:rsidR="004053D7" w:rsidRPr="003A3F88" w:rsidRDefault="004053D7" w:rsidP="004053D7">
      <w:pPr>
        <w:pStyle w:val="USBodyText"/>
        <w:numPr>
          <w:ilvl w:val="0"/>
          <w:numId w:val="42"/>
        </w:numPr>
        <w:rPr>
          <w:lang w:val="en-AU"/>
        </w:rPr>
      </w:pPr>
      <w:r w:rsidRPr="003A3F88">
        <w:rPr>
          <w:lang w:val="en-AU"/>
        </w:rPr>
        <w:t>Providing your feedback in an alternative format, including New Zealand Sign Language (NZSL), audio, video, or another accessible format, by contacting </w:t>
      </w:r>
      <w:hyperlink r:id="rId46" w:tgtFrame="_blank" w:tooltip="mailto:TeachingStandards@education.govt.nz" w:history="1">
        <w:r w:rsidRPr="003A3F88">
          <w:rPr>
            <w:rStyle w:val="Hyperlink"/>
          </w:rPr>
          <w:t>TeachingStandards@education.govt.nz</w:t>
        </w:r>
      </w:hyperlink>
      <w:r w:rsidRPr="003A3F88">
        <w:rPr>
          <w:lang w:val="en-AU"/>
        </w:rPr>
        <w:t>. </w:t>
      </w:r>
      <w:r w:rsidRPr="003A3F88">
        <w:rPr>
          <w:lang w:val="en-US"/>
        </w:rPr>
        <w:t>  </w:t>
      </w:r>
    </w:p>
    <w:p w14:paraId="469BD936" w14:textId="25940035" w:rsidR="00106AB4" w:rsidRPr="00106AB4" w:rsidRDefault="00430096" w:rsidP="008D4EFF">
      <w:pPr>
        <w:pStyle w:val="USBodyText"/>
        <w:spacing w:after="360"/>
      </w:pPr>
      <w:r w:rsidRPr="00430096">
        <w:rPr>
          <w:lang w:val="en-AU"/>
        </w:rPr>
        <w:t>For more information about the review, including supporting documents and accessible formats, visit the ITE Programme Requirements Review webpage: </w:t>
      </w:r>
      <w:hyperlink r:id="rId47" w:tooltip="Original URL: https://www.education.govt.nz/have-your-say/have-your-say-review-initial-teacher-education-programme-requirements/details. Click or tap if you trust this link." w:history="1">
        <w:r w:rsidRPr="00430096">
          <w:rPr>
            <w:rStyle w:val="Hyperlink"/>
          </w:rPr>
          <w:t>https://www.education.govt.nz/have-your-say/have-your-say-review-initial-teacher-education-programme-requirements/details</w:t>
        </w:r>
      </w:hyperlink>
      <w:r w:rsidRPr="00430096">
        <w:t xml:space="preserve"> or: </w:t>
      </w:r>
      <w:hyperlink r:id="rId48" w:tooltip="Original URL: https://www.education.govt.nz/ite-review. Click or tap if you trust this link." w:history="1">
        <w:r w:rsidRPr="00430096">
          <w:rPr>
            <w:rStyle w:val="Hyperlink"/>
            <w:lang w:val="en-AU"/>
          </w:rPr>
          <w:t>https://www.education.govt.nz/ite-review</w:t>
        </w:r>
      </w:hyperlink>
      <w:r w:rsidRPr="00430096">
        <w:rPr>
          <w:lang w:val="en-AU"/>
        </w:rPr>
        <w:t>.</w:t>
      </w:r>
    </w:p>
    <w:p w14:paraId="5B0D02D5" w14:textId="1FD09D20" w:rsidR="008650E1" w:rsidRPr="00B4300F" w:rsidRDefault="1C74E7A6" w:rsidP="00F53C8A">
      <w:pPr>
        <w:pStyle w:val="ApxHeading1"/>
      </w:pPr>
      <w:bookmarkStart w:id="214" w:name="_Ref236899391"/>
      <w:bookmarkStart w:id="215" w:name="_Toc240542062"/>
      <w:r>
        <w:lastRenderedPageBreak/>
        <w:t>: Regulatory considerations</w:t>
      </w:r>
      <w:bookmarkEnd w:id="214"/>
      <w:bookmarkEnd w:id="215"/>
    </w:p>
    <w:p w14:paraId="7F58363A" w14:textId="77777777" w:rsidR="000C7766" w:rsidRPr="00B4300F" w:rsidRDefault="000C7766" w:rsidP="3AB95C49">
      <w:pPr>
        <w:pStyle w:val="USBodyText"/>
      </w:pPr>
      <w:r>
        <w:t>This review is not intended to be a first-principles review of the overall regulatory model for initial teacher education. Rather, it assumes the continuation of a number of core features of the current regulatory framework and focuses on how the ITE Programme Requirements might best support graduate readiness and regulatory objectives within that framework. The key assumptions underpinning this review are outlined below.</w:t>
      </w:r>
    </w:p>
    <w:p w14:paraId="76253C76" w14:textId="526CC46D" w:rsidR="000C7766" w:rsidRPr="00B4300F" w:rsidRDefault="53EBC87F" w:rsidP="045E5A3E">
      <w:pPr>
        <w:pStyle w:val="Heading5"/>
        <w:rPr>
          <w:b w:val="0"/>
          <w:i/>
          <w:iCs/>
        </w:rPr>
      </w:pPr>
      <w:bookmarkStart w:id="216" w:name="_Toc1872085233"/>
      <w:r w:rsidRPr="045E5A3E">
        <w:rPr>
          <w:b w:val="0"/>
          <w:i/>
          <w:iCs/>
        </w:rPr>
        <w:t>Assumption 1: ITE Programme Requirements are the appropriate regulatory mechanism for setting expectations for graduate readiness</w:t>
      </w:r>
      <w:bookmarkEnd w:id="216"/>
    </w:p>
    <w:p w14:paraId="08D6A65B" w14:textId="77777777" w:rsidR="000C7766" w:rsidRPr="00B4300F" w:rsidRDefault="000C7766" w:rsidP="3AB95C49">
      <w:pPr>
        <w:pStyle w:val="USBodyText"/>
      </w:pPr>
      <w:r>
        <w:t>The primary mechanism for establishing and communicating expectations for graduate readiness should be the ITE Programme Requirements. These requirements should specify the minimum expectations that approved ITE providers must meet in preparing graduates for entry to the teaching profession.</w:t>
      </w:r>
    </w:p>
    <w:p w14:paraId="2DB8B4F2" w14:textId="1EBAF9F6" w:rsidR="000C7766" w:rsidRPr="00B4300F" w:rsidRDefault="53EBC87F" w:rsidP="3AB95C49">
      <w:pPr>
        <w:pStyle w:val="Heading6"/>
      </w:pPr>
      <w:bookmarkStart w:id="217" w:name="_Toc1670448172"/>
      <w:r>
        <w:t>Rationale</w:t>
      </w:r>
      <w:bookmarkEnd w:id="217"/>
    </w:p>
    <w:p w14:paraId="2202711F" w14:textId="77777777" w:rsidR="000C7766" w:rsidRPr="00B4300F" w:rsidRDefault="000C7766" w:rsidP="3AB95C49">
      <w:pPr>
        <w:pStyle w:val="USBodyText"/>
      </w:pPr>
      <w:r>
        <w:t>ITE Programme Requirements are the principal regulatory lever through which expectations for approved ITE programmes are communicated and enforced. Using a requirements-based framework provides a clear and transparent mechanism for setting nationally consistent expectations, supporting programme approval and monitoring, and providing assurance that graduates have met agreed entry-level standards for the profession. A requirements document also provides a direct connection between the intended graduate outcomes and the quality assurance processes used to assess provider performance.</w:t>
      </w:r>
    </w:p>
    <w:p w14:paraId="52BA777F" w14:textId="3F72506B" w:rsidR="000C7766" w:rsidRPr="00B4300F" w:rsidRDefault="53EBC87F" w:rsidP="045E5A3E">
      <w:pPr>
        <w:pStyle w:val="Heading5"/>
        <w:rPr>
          <w:b w:val="0"/>
          <w:i/>
          <w:iCs/>
        </w:rPr>
      </w:pPr>
      <w:bookmarkStart w:id="218" w:name="_Toc2011969011"/>
      <w:r w:rsidRPr="045E5A3E">
        <w:rPr>
          <w:b w:val="0"/>
          <w:i/>
          <w:iCs/>
        </w:rPr>
        <w:t>Assumption 2: A single set of English-medium ITE requirements should apply across ECE and school settings</w:t>
      </w:r>
      <w:bookmarkEnd w:id="218"/>
    </w:p>
    <w:p w14:paraId="177DFF5C" w14:textId="77777777" w:rsidR="000C7766" w:rsidRPr="00B4300F" w:rsidRDefault="000C7766" w:rsidP="3AB95C49">
      <w:pPr>
        <w:pStyle w:val="USBodyText"/>
      </w:pPr>
      <w:r>
        <w:t>A single set of English-medium ITE requirements should apply across early childhood, primary and secondary settings, while recognising that programmes may deliver and assess those requirements in contextually appropriate ways.</w:t>
      </w:r>
    </w:p>
    <w:p w14:paraId="57BA2059" w14:textId="2100B56B" w:rsidR="000C7766" w:rsidRPr="00B4300F" w:rsidRDefault="53EBC87F" w:rsidP="3AB95C49">
      <w:pPr>
        <w:pStyle w:val="Heading6"/>
      </w:pPr>
      <w:bookmarkStart w:id="219" w:name="_Toc1104326257"/>
      <w:r>
        <w:t>Rationale</w:t>
      </w:r>
      <w:bookmarkEnd w:id="219"/>
    </w:p>
    <w:p w14:paraId="1A77CB74" w14:textId="77777777" w:rsidR="000C7766" w:rsidRPr="00B4300F" w:rsidRDefault="000C7766" w:rsidP="3AB95C49">
      <w:pPr>
        <w:pStyle w:val="USBodyText"/>
      </w:pPr>
      <w:r>
        <w:t>Teaching across English-medium settings is underpinned by a common set of professional expectations, teaching standards and responsibilities. A shared set of requirements supports coherence across the education system, provides a common understanding of graduate readiness, and promotes consistency in the quality assurance of ITE programmes. While educational contexts differ, the foundational capabilities required for safe, ethical and effective teaching are sufficiently common to support a single regulatory framework. Contextual differences can be addressed through programme design, curriculum content and practicum experiences rather than through separate sets of regulatory requirements.</w:t>
      </w:r>
    </w:p>
    <w:p w14:paraId="00C4E1CF" w14:textId="71888D6D" w:rsidR="000C7766" w:rsidRPr="00B4300F" w:rsidRDefault="53EBC87F" w:rsidP="045E5A3E">
      <w:pPr>
        <w:pStyle w:val="Heading5"/>
        <w:rPr>
          <w:b w:val="0"/>
          <w:i/>
          <w:iCs/>
        </w:rPr>
      </w:pPr>
      <w:bookmarkStart w:id="220" w:name="_Toc1530286673"/>
      <w:r w:rsidRPr="045E5A3E">
        <w:rPr>
          <w:b w:val="0"/>
          <w:i/>
          <w:iCs/>
        </w:rPr>
        <w:lastRenderedPageBreak/>
        <w:t>Assumption 3: ITE requirements should address both competence and fitness to teach</w:t>
      </w:r>
      <w:bookmarkEnd w:id="220"/>
    </w:p>
    <w:p w14:paraId="49A2EFB0" w14:textId="77777777" w:rsidR="000C7766" w:rsidRPr="00B4300F" w:rsidRDefault="000C7766" w:rsidP="3AB95C49">
      <w:pPr>
        <w:pStyle w:val="USBodyText"/>
      </w:pPr>
      <w:r>
        <w:t>The ITE Programme Requirements should provide a comprehensive framework that addresses both competence to teach and fitness to teach as conditions for successful completion of an approved programme.</w:t>
      </w:r>
    </w:p>
    <w:p w14:paraId="0AD201E1" w14:textId="78F4B2F2" w:rsidR="000C7766" w:rsidRPr="00B4300F" w:rsidRDefault="53EBC87F" w:rsidP="3AB95C49">
      <w:pPr>
        <w:pStyle w:val="Heading6"/>
      </w:pPr>
      <w:bookmarkStart w:id="221" w:name="_Toc233614554"/>
      <w:r>
        <w:t>Rationale</w:t>
      </w:r>
      <w:bookmarkEnd w:id="221"/>
    </w:p>
    <w:p w14:paraId="359EC2D2" w14:textId="77777777" w:rsidR="000C7766" w:rsidRPr="00B4300F" w:rsidRDefault="000C7766" w:rsidP="3AB95C49">
      <w:pPr>
        <w:pStyle w:val="USBodyText"/>
      </w:pPr>
      <w:r>
        <w:t>Graduate readiness encompasses more than knowledge and teaching capability. It also includes the personal, ethical and professional attributes required to work safely and appropriately with children and young people. Bringing competence and fitness-to-teach expectations together within a single framework supports a holistic view of readiness for entry into the profession and reinforces the public interest purpose of teacher regulation. It also provides greater clarity for providers regarding the full set of expectations that must be demonstrated before a graduate is recommended for teacher registration.</w:t>
      </w:r>
    </w:p>
    <w:p w14:paraId="26A4C0F7" w14:textId="36A05A34" w:rsidR="000C7766" w:rsidRPr="00B4300F" w:rsidRDefault="53EBC87F" w:rsidP="045E5A3E">
      <w:pPr>
        <w:pStyle w:val="Heading5"/>
        <w:rPr>
          <w:b w:val="0"/>
          <w:i/>
          <w:iCs/>
        </w:rPr>
      </w:pPr>
      <w:bookmarkStart w:id="222" w:name="_Toc528803763"/>
      <w:r w:rsidRPr="045E5A3E">
        <w:rPr>
          <w:b w:val="0"/>
          <w:i/>
          <w:iCs/>
        </w:rPr>
        <w:t>Assumption 4: Regulatory requirements should be consolidated into a single, coherent framework</w:t>
      </w:r>
      <w:bookmarkEnd w:id="222"/>
    </w:p>
    <w:p w14:paraId="1A908E14" w14:textId="77777777" w:rsidR="000C7766" w:rsidRPr="00B4300F" w:rsidRDefault="000C7766" w:rsidP="3AB95C49">
      <w:pPr>
        <w:pStyle w:val="USBodyText"/>
      </w:pPr>
      <w:r>
        <w:t>ITE Programme Requirements should be consolidated into a single, accessible framework rather than being distributed across multiple documents containing requirements, guidance and operational material.</w:t>
      </w:r>
    </w:p>
    <w:p w14:paraId="36A75209" w14:textId="1BFF9A99" w:rsidR="000C7766" w:rsidRPr="00B4300F" w:rsidRDefault="53EBC87F" w:rsidP="3AB95C49">
      <w:pPr>
        <w:pStyle w:val="Heading6"/>
      </w:pPr>
      <w:bookmarkStart w:id="223" w:name="_Toc4975025"/>
      <w:r>
        <w:t>Rationale</w:t>
      </w:r>
      <w:bookmarkEnd w:id="223"/>
    </w:p>
    <w:p w14:paraId="3CC934C8" w14:textId="4C02E2A9" w:rsidR="008650E1" w:rsidRPr="008650E1" w:rsidRDefault="000C7766" w:rsidP="00B4300F">
      <w:pPr>
        <w:pStyle w:val="USBodyText"/>
      </w:pPr>
      <w:r>
        <w:t>A clear and accessible regulatory framework supports consistency of interpretation and implementation across providers. Consolidation reduces complexity, makes requirements easier to locate and understand, and supports transparency for providers, student teachers and other stakeholders. It also strengthens regulatory stewardship by ensuring that mandatory requirements can be clearly distinguished from supporting guidance and operational processes. A more coherent framework would support both compliance and quality assurance activities while reducing administrative burden associated with navigating multiple sources of regulatory information.</w:t>
      </w:r>
    </w:p>
    <w:p w14:paraId="34EE3D07" w14:textId="77777777" w:rsidR="008650E1" w:rsidRPr="002466B3" w:rsidRDefault="008650E1" w:rsidP="002466B3">
      <w:pPr>
        <w:pStyle w:val="USBodyText"/>
      </w:pPr>
      <w:r w:rsidRPr="002466B3">
        <w:br w:type="page"/>
      </w:r>
    </w:p>
    <w:p w14:paraId="0BE0E014" w14:textId="63A70EC9" w:rsidR="00B5279E" w:rsidRDefault="00F53C8A" w:rsidP="00F53C8A">
      <w:pPr>
        <w:pStyle w:val="ApxHeading1"/>
      </w:pPr>
      <w:bookmarkStart w:id="224" w:name="_Ref236899406"/>
      <w:bookmarkStart w:id="225" w:name="_Toc240542063"/>
      <w:r>
        <w:lastRenderedPageBreak/>
        <w:t>:</w:t>
      </w:r>
      <w:r w:rsidR="603A0F27">
        <w:t xml:space="preserve"> Expert advisory panel members</w:t>
      </w:r>
      <w:bookmarkEnd w:id="211"/>
      <w:bookmarkEnd w:id="212"/>
      <w:bookmarkEnd w:id="224"/>
      <w:bookmarkEnd w:id="225"/>
      <w:r w:rsidR="00B5279E">
        <w:t xml:space="preserve"> </w:t>
      </w:r>
    </w:p>
    <w:p w14:paraId="4D0112BE" w14:textId="4AE21332" w:rsidR="00B5279E" w:rsidRPr="00711A67" w:rsidRDefault="603A0F27" w:rsidP="00354639">
      <w:pPr>
        <w:pStyle w:val="ApxHeading4"/>
      </w:pPr>
      <w:bookmarkStart w:id="226" w:name="_Toc194311187"/>
      <w:r>
        <w:t>Dr Tony Scott</w:t>
      </w:r>
      <w:bookmarkEnd w:id="226"/>
      <w:r w:rsidR="00F65692">
        <w:t xml:space="preserve"> </w:t>
      </w:r>
    </w:p>
    <w:p w14:paraId="3D38D4B2" w14:textId="6D3E82B6" w:rsidR="00B5279E" w:rsidRDefault="00B5279E" w:rsidP="00B5279E">
      <w:r>
        <w:t>Dr Tony Scott is a highly experienced senior public</w:t>
      </w:r>
      <w:r>
        <w:rPr>
          <w:rFonts w:ascii="Cambria Math" w:hAnsi="Cambria Math" w:cs="Cambria Math"/>
        </w:rPr>
        <w:t>‑</w:t>
      </w:r>
      <w:r>
        <w:t>sector leader with 20 years’ experience advising Ministers and leading policy, strategy, and operations.</w:t>
      </w:r>
      <w:r w:rsidR="00F65692">
        <w:t xml:space="preserve"> </w:t>
      </w:r>
      <w:r>
        <w:t xml:space="preserve"> </w:t>
      </w:r>
    </w:p>
    <w:p w14:paraId="48448A0E" w14:textId="5BF62980" w:rsidR="00B5279E" w:rsidRDefault="00B5279E" w:rsidP="00B5279E">
      <w:r>
        <w:t>Upon joining the Tertiary Education Commission (TEC) in 2012, he has built strong expertise in how the tertiary education system operates in Aotearoa New Zealand and has played a central role in work to lift system performance and learner outcomes.</w:t>
      </w:r>
      <w:r w:rsidR="00F65692">
        <w:t xml:space="preserve"> </w:t>
      </w:r>
    </w:p>
    <w:p w14:paraId="08710951" w14:textId="445FA7A4" w:rsidR="00B5279E" w:rsidRDefault="603A0F27" w:rsidP="00B5279E">
      <w:r>
        <w:t>He has been a key leader in the TEC’s Learner Success programme, which takes a learner</w:t>
      </w:r>
      <w:r w:rsidR="00B31607">
        <w:rPr>
          <w:rFonts w:ascii="Cambria Math" w:hAnsi="Cambria Math" w:cs="Cambria Math"/>
        </w:rPr>
        <w:t>-</w:t>
      </w:r>
      <w:r>
        <w:t>centred, system</w:t>
      </w:r>
      <w:r w:rsidR="00B31607">
        <w:rPr>
          <w:rFonts w:ascii="Cambria Math" w:hAnsi="Cambria Math" w:cs="Cambria Math"/>
        </w:rPr>
        <w:t>-</w:t>
      </w:r>
      <w:r>
        <w:t>wide approach to improving outcomes for Māori, Pa</w:t>
      </w:r>
      <w:r w:rsidR="340223A3">
        <w:t xml:space="preserve">sifika </w:t>
      </w:r>
      <w:r>
        <w:t>learners, and learners with disabilities. His work shows a strong commitment to cultural capability, equity, and understanding learners’ lived experiences, identities, and aspirations.</w:t>
      </w:r>
      <w:r w:rsidR="3143B598">
        <w:t xml:space="preserve"> </w:t>
      </w:r>
    </w:p>
    <w:p w14:paraId="737F0DD0" w14:textId="2D3C9665" w:rsidR="00B5279E" w:rsidRDefault="00B5279E" w:rsidP="00B5279E">
      <w:r>
        <w:t>Tony brings deep experience in evidence</w:t>
      </w:r>
      <w:r>
        <w:rPr>
          <w:rFonts w:ascii="Cambria Math" w:hAnsi="Cambria Math" w:cs="Cambria Math"/>
        </w:rPr>
        <w:t>‑</w:t>
      </w:r>
      <w:r>
        <w:t>informed design, leading change, and system</w:t>
      </w:r>
      <w:r>
        <w:rPr>
          <w:rFonts w:ascii="Cambria Math" w:hAnsi="Cambria Math" w:cs="Cambria Math"/>
        </w:rPr>
        <w:t>‑</w:t>
      </w:r>
      <w:r>
        <w:t>level approaches to student success. This experience is highly relevant to the design and refinement of initial teacher education standards, particularly to ensure new teachers are well prepared to support diverse learners. He holds a PhD in Philosophy and an undergraduate degree in Chemistry.</w:t>
      </w:r>
      <w:r w:rsidR="00F65692">
        <w:t xml:space="preserve"> </w:t>
      </w:r>
    </w:p>
    <w:p w14:paraId="6C41D6E7" w14:textId="3458BF96" w:rsidR="00B5279E" w:rsidRPr="00711A67" w:rsidRDefault="603A0F27" w:rsidP="00354639">
      <w:pPr>
        <w:pStyle w:val="ApxHeading4"/>
      </w:pPr>
      <w:bookmarkStart w:id="227" w:name="_Toc1702294606"/>
      <w:r>
        <w:t>Dr Nina Hood ONZM</w:t>
      </w:r>
      <w:bookmarkEnd w:id="227"/>
      <w:r w:rsidR="00F65692">
        <w:t xml:space="preserve"> </w:t>
      </w:r>
    </w:p>
    <w:p w14:paraId="34DE3CF3" w14:textId="2B3B4F2C" w:rsidR="00B5279E" w:rsidRDefault="00B5279E" w:rsidP="00B5279E">
      <w:r>
        <w:t>Nina is a New Zealand educator, academic, social entrepreneur, and policy adviser with specific expertise in initial teacher education, teacher training, educational research and teaching.</w:t>
      </w:r>
      <w:r w:rsidR="00F65692">
        <w:t xml:space="preserve"> </w:t>
      </w:r>
    </w:p>
    <w:p w14:paraId="4CD518CF" w14:textId="7ABC3FD0" w:rsidR="00B5279E" w:rsidRDefault="00B5279E" w:rsidP="00B5279E">
      <w:r>
        <w:t>She is the founder of The Education Hub, an independent non-profit organisation that supports research-informed education practice. She is also co-founder and Academic Director of The Teachers’ Institute, a charitable trust offering school-based teacher education and learning in Aotearoa New Zealand. The Teachers’ Institute provides the tools, knowledge, and professional support needed for new teachers to thrive in the classroom.</w:t>
      </w:r>
      <w:r w:rsidR="00F65692">
        <w:t xml:space="preserve"> </w:t>
      </w:r>
      <w:r>
        <w:t xml:space="preserve"> </w:t>
      </w:r>
    </w:p>
    <w:p w14:paraId="26259192" w14:textId="4492B7C5" w:rsidR="00B5279E" w:rsidRPr="00711A67" w:rsidRDefault="603A0F27" w:rsidP="00354639">
      <w:pPr>
        <w:pStyle w:val="ApxHeading4"/>
      </w:pPr>
      <w:bookmarkStart w:id="228" w:name="_Toc1931471024"/>
      <w:r>
        <w:t>Helena McAlister</w:t>
      </w:r>
      <w:bookmarkEnd w:id="228"/>
      <w:r w:rsidR="00F65692">
        <w:t xml:space="preserve"> </w:t>
      </w:r>
    </w:p>
    <w:p w14:paraId="0A4E55C0" w14:textId="70DE3145" w:rsidR="00B5279E" w:rsidRDefault="00B5279E" w:rsidP="00B5279E">
      <w:r>
        <w:t>Helena (Ngāti Tūwharetoa, Ngāti Awa, Ngāi Tai, Ngāti Hāmoa) is a researcher, trained primary school teacher and an experienced educator in initial teacher education with over 15 years’ experience teaching in schools and higher education. Helena provides valuable expertise in First Nations peoples, cultures from a te ao Māori perspective.</w:t>
      </w:r>
      <w:r w:rsidR="00F65692">
        <w:t xml:space="preserve"> </w:t>
      </w:r>
      <w:r>
        <w:t xml:space="preserve"> </w:t>
      </w:r>
    </w:p>
    <w:p w14:paraId="7A3C53B4" w14:textId="1F936E9C" w:rsidR="00B5279E" w:rsidRDefault="00B5279E" w:rsidP="00B5279E">
      <w:r>
        <w:t>Helena’s background in teaching spans across English-medium and Māori-medium school settings. Her research focusses on acquisition and use of te reo Māori in Primary Māori-medium and English-medium classrooms and exploring the potential impact that teachers’ personal narratives have on teaching of te reo Māori in the classroom.</w:t>
      </w:r>
      <w:r w:rsidR="00F65692">
        <w:t xml:space="preserve"> </w:t>
      </w:r>
      <w:r>
        <w:t xml:space="preserve"> </w:t>
      </w:r>
    </w:p>
    <w:p w14:paraId="77641FFE" w14:textId="6981FA0C" w:rsidR="00B5279E" w:rsidRPr="00711A67" w:rsidRDefault="603A0F27" w:rsidP="00354639">
      <w:pPr>
        <w:pStyle w:val="ApxHeading4"/>
      </w:pPr>
      <w:bookmarkStart w:id="229" w:name="_Toc1469646824"/>
      <w:r>
        <w:lastRenderedPageBreak/>
        <w:t>Iva Ropati</w:t>
      </w:r>
      <w:bookmarkEnd w:id="229"/>
      <w:r w:rsidR="00F65692">
        <w:t xml:space="preserve"> </w:t>
      </w:r>
    </w:p>
    <w:p w14:paraId="56B9ED09" w14:textId="400B1C4F" w:rsidR="00B5279E" w:rsidRDefault="00B5279E" w:rsidP="00B5279E">
      <w:r>
        <w:t>Iva Ropati has been a secondary school principal for more than 24 years and is currently Principal of Pāpāmoa College in the Bay of Plenty, New Zealand. Throughout his career, he has led significant school improvement and transformation initiatives and has been actively involved in national education leadership, policy and governance.</w:t>
      </w:r>
    </w:p>
    <w:p w14:paraId="35C766B6" w14:textId="77777777" w:rsidR="00B5279E" w:rsidRDefault="00B5279E" w:rsidP="00B5279E">
      <w:r>
        <w:t>Iva has contributed to a range of educational change initiatives, including ministerial cross-sector education forums, governance roles with the Teaching Council of Aotearoa New Zealand, and as a judge for the Prime Minister's Education Excellence Awards. He has also served on the Board of New Zealand Rugby League, reflecting his commitment to leadership beyond the education sector. In 2009, he was recognised by the Sir Peter Blake Trust as a BLAKE Leader for his outstanding leadership in education.</w:t>
      </w:r>
    </w:p>
    <w:p w14:paraId="3DBC11EF" w14:textId="77777777" w:rsidR="00B5279E" w:rsidRDefault="00B5279E" w:rsidP="00B5279E">
      <w:r>
        <w:t>Before becoming principal at Pāpāmoa College, Iva led both Howick College and One Tree Hill College, where he gained national recognition for leading successful school transformation and community engagement initiatives. Prior to his career in education, he represented New Zealand in rugby league and played professionally in both Australia and the United Kingdom.</w:t>
      </w:r>
    </w:p>
    <w:p w14:paraId="7308D20A" w14:textId="77777777" w:rsidR="00B5279E" w:rsidRDefault="00B5279E" w:rsidP="00B5279E">
      <w:r>
        <w:t>Iva is a passionate advocate for equitable, future-focused education and collaborative leadership that enables young people, educators and communities to thrive.</w:t>
      </w:r>
    </w:p>
    <w:p w14:paraId="346ED021" w14:textId="013F2334" w:rsidR="00B5279E" w:rsidRPr="00F03A41" w:rsidRDefault="603A0F27" w:rsidP="00354639">
      <w:pPr>
        <w:pStyle w:val="ApxHeading4"/>
      </w:pPr>
      <w:bookmarkStart w:id="230" w:name="_Toc1319521591"/>
      <w:r>
        <w:t>Lisa Rodgers PSM</w:t>
      </w:r>
      <w:bookmarkEnd w:id="230"/>
      <w:r w:rsidR="00F65692">
        <w:t xml:space="preserve"> </w:t>
      </w:r>
    </w:p>
    <w:p w14:paraId="1A335DA1" w14:textId="426FB81D" w:rsidR="00B5279E" w:rsidRDefault="00B5279E" w:rsidP="00B5279E">
      <w:r>
        <w:t>Lisa joined the Australian Council for Educational Research (ACER) in 2024 and is a powerful voice and respected advisor in education. She is an experienced executive, having provided exemplary service to the education profession and governments in various jurisdictions including the UK, New Zealand and Australia.</w:t>
      </w:r>
      <w:r w:rsidR="00F65692">
        <w:t xml:space="preserve"> </w:t>
      </w:r>
      <w:r>
        <w:t xml:space="preserve"> </w:t>
      </w:r>
    </w:p>
    <w:p w14:paraId="3F9BA296" w14:textId="6930A3BC" w:rsidR="00B5279E" w:rsidRDefault="00B5279E" w:rsidP="00B5279E">
      <w:r>
        <w:t>Prior to joining ACER, Lisa was the Director General of the Department of Education in Western Australia, and CEO of the School Curriculum and Standards Authority. She led significant reforms that resulted in improved student outcomes.</w:t>
      </w:r>
      <w:r w:rsidR="00F65692">
        <w:t xml:space="preserve"> </w:t>
      </w:r>
      <w:r>
        <w:t xml:space="preserve"> </w:t>
      </w:r>
    </w:p>
    <w:p w14:paraId="50B917B4" w14:textId="31D37ACB" w:rsidR="00B5279E" w:rsidRDefault="00B5279E" w:rsidP="00B5279E">
      <w:r>
        <w:t>Lisa worked as the CEO for the Australian Institute for Teaching and School Leadership (AITSL) after 17 years of service in New Zealand. Working as a Deputy Secretary in the Ministry of Education, across ECE and schooling, her focus was on assessment, curriculum and the use of evidence for impact at the classroom and national level.</w:t>
      </w:r>
      <w:r w:rsidR="00F65692">
        <w:t xml:space="preserve"> </w:t>
      </w:r>
      <w:r>
        <w:t xml:space="preserve"> </w:t>
      </w:r>
    </w:p>
    <w:p w14:paraId="67CF2B9B" w14:textId="2C30676D" w:rsidR="00B5279E" w:rsidRDefault="00B5279E" w:rsidP="00B5279E">
      <w:r>
        <w:t>Lisa has a First-Class Honours degree in Psychology. Awarded the ACEL Pre-Eminent Educational Leader Award in Western Australia in 2021 and the Australian Council for Education Leaders Fellow in 2023, Lisa is passionate about the impact of education for all and is dedicated to improving educational outcomes for young people. In 2024, she was awarded a Public Service Medal and selected for the COVID-19 Honour Roll.</w:t>
      </w:r>
      <w:r w:rsidR="00F65692">
        <w:t xml:space="preserve"> </w:t>
      </w:r>
    </w:p>
    <w:p w14:paraId="11C8C3A3" w14:textId="02DAF0F6" w:rsidR="00B5279E" w:rsidRPr="00711A67" w:rsidRDefault="603A0F27" w:rsidP="00354639">
      <w:pPr>
        <w:pStyle w:val="ApxHeading4"/>
      </w:pPr>
      <w:bookmarkStart w:id="231" w:name="_Toc2038802954"/>
      <w:r>
        <w:lastRenderedPageBreak/>
        <w:t>Dr Zid Mancenido</w:t>
      </w:r>
      <w:bookmarkEnd w:id="231"/>
      <w:r w:rsidR="00F65692">
        <w:t xml:space="preserve"> </w:t>
      </w:r>
    </w:p>
    <w:p w14:paraId="5E05EE06" w14:textId="2F73ED0F" w:rsidR="00B5279E" w:rsidRDefault="00B5279E" w:rsidP="00B5279E">
      <w:r>
        <w:t>Zid is a classroom teacher, teacher educator, and education researcher with experience working across research, practice, and policy in Australia, Singapore, the Philippines, and the US. Zid was previously the head of research and evaluation at the Australian Education Research Organisation. In this role he led the development of Australian Education Research Organisation’s (AERO) Learning and Teaching Model, which has now become the basis of teaching policy reform in NSW, Victoria, NT, Tasmania, and a range of Catholic Dioceses.</w:t>
      </w:r>
      <w:r w:rsidR="00F65692">
        <w:t xml:space="preserve"> </w:t>
      </w:r>
      <w:r>
        <w:t xml:space="preserve"> </w:t>
      </w:r>
    </w:p>
    <w:p w14:paraId="248943A8" w14:textId="43E59195" w:rsidR="00B5279E" w:rsidRDefault="603A0F27" w:rsidP="00B5279E">
      <w:r>
        <w:t>Zid is an internationally recognised expert on effective teacher education content. He led AERO’s advice to the Quality ITE Review (2022) and helped develop AERO’s advice on ITE core content for the Teacher Education Expert Panel (2024).</w:t>
      </w:r>
      <w:r w:rsidR="3143B598">
        <w:t xml:space="preserve"> </w:t>
      </w:r>
      <w:r>
        <w:t xml:space="preserve"> </w:t>
      </w:r>
    </w:p>
    <w:p w14:paraId="40F557F4" w14:textId="77777777" w:rsidR="00B5279E" w:rsidRDefault="00B5279E" w:rsidP="00B5279E">
      <w:r>
        <w:br w:type="page"/>
      </w:r>
    </w:p>
    <w:p w14:paraId="07B7E70F" w14:textId="7A6A4556" w:rsidR="00D46682" w:rsidRPr="00F10735" w:rsidRDefault="27E59938" w:rsidP="00F53C8A">
      <w:pPr>
        <w:pStyle w:val="ApxHeading1"/>
      </w:pPr>
      <w:bookmarkStart w:id="232" w:name="_Toc234512890"/>
      <w:bookmarkStart w:id="233" w:name="_Ref234589438"/>
      <w:bookmarkStart w:id="234" w:name="_Ref236899516"/>
      <w:bookmarkStart w:id="235" w:name="_Toc240542064"/>
      <w:r w:rsidRPr="00F10735">
        <w:lastRenderedPageBreak/>
        <w:t>: ITE providers and approved programmes</w:t>
      </w:r>
      <w:bookmarkEnd w:id="232"/>
      <w:bookmarkEnd w:id="233"/>
      <w:bookmarkEnd w:id="234"/>
      <w:r w:rsidR="00EE640D" w:rsidRPr="00F10735">
        <w:t xml:space="preserve"> as at September 2026</w:t>
      </w:r>
      <w:bookmarkEnd w:id="235"/>
    </w:p>
    <w:tbl>
      <w:tblPr>
        <w:tblStyle w:val="TableDefault"/>
        <w:tblW w:w="5000" w:type="pct"/>
        <w:tblLook w:val="04A0" w:firstRow="1" w:lastRow="0" w:firstColumn="1" w:lastColumn="0" w:noHBand="0" w:noVBand="1"/>
      </w:tblPr>
      <w:tblGrid>
        <w:gridCol w:w="1371"/>
        <w:gridCol w:w="1651"/>
        <w:gridCol w:w="6048"/>
      </w:tblGrid>
      <w:tr w:rsidR="00CA6713" w:rsidRPr="00CA6713" w14:paraId="3B97E561" w14:textId="77777777" w:rsidTr="006612C3">
        <w:trPr>
          <w:cnfStyle w:val="100000000000" w:firstRow="1" w:lastRow="0" w:firstColumn="0" w:lastColumn="0" w:oddVBand="0" w:evenVBand="0" w:oddHBand="0" w:evenHBand="0" w:firstRowFirstColumn="0" w:firstRowLastColumn="0" w:lastRowFirstColumn="0" w:lastRowLastColumn="0"/>
        </w:trPr>
        <w:tc>
          <w:tcPr>
            <w:tcW w:w="756" w:type="pct"/>
          </w:tcPr>
          <w:p w14:paraId="00CC72AF" w14:textId="77777777" w:rsidR="00CA6713" w:rsidRPr="00CA6713" w:rsidRDefault="00CA6713" w:rsidP="00CA6713">
            <w:pPr>
              <w:pStyle w:val="TSTableHeading"/>
              <w:rPr>
                <w:lang w:val="en-AU"/>
              </w:rPr>
            </w:pPr>
            <w:r w:rsidRPr="00CA6713">
              <w:rPr>
                <w:lang w:val="en-AU"/>
              </w:rPr>
              <w:t>Provider type</w:t>
            </w:r>
          </w:p>
        </w:tc>
        <w:tc>
          <w:tcPr>
            <w:tcW w:w="910" w:type="pct"/>
          </w:tcPr>
          <w:p w14:paraId="3E5841EC" w14:textId="77777777" w:rsidR="00CA6713" w:rsidRPr="00CA6713" w:rsidRDefault="00CA6713" w:rsidP="00CA6713">
            <w:pPr>
              <w:pStyle w:val="TSTableHeading"/>
              <w:rPr>
                <w:lang w:val="en-AU"/>
              </w:rPr>
            </w:pPr>
            <w:r w:rsidRPr="00CA6713">
              <w:rPr>
                <w:lang w:val="en-AU"/>
              </w:rPr>
              <w:t xml:space="preserve">Provider </w:t>
            </w:r>
          </w:p>
        </w:tc>
        <w:tc>
          <w:tcPr>
            <w:tcW w:w="3335" w:type="pct"/>
          </w:tcPr>
          <w:p w14:paraId="5AE5C3DD" w14:textId="77777777" w:rsidR="00CA6713" w:rsidRPr="00CA6713" w:rsidRDefault="00CA6713" w:rsidP="00CA6713">
            <w:pPr>
              <w:pStyle w:val="TSTableHeading"/>
              <w:rPr>
                <w:lang w:val="en-AU"/>
              </w:rPr>
            </w:pPr>
            <w:r w:rsidRPr="00CA6713">
              <w:rPr>
                <w:lang w:val="en-AU"/>
              </w:rPr>
              <w:t xml:space="preserve">Approved programmes </w:t>
            </w:r>
          </w:p>
        </w:tc>
      </w:tr>
      <w:tr w:rsidR="00CA6713" w:rsidRPr="00CA6713" w14:paraId="1C24DDED" w14:textId="77777777" w:rsidTr="006612C3">
        <w:tc>
          <w:tcPr>
            <w:tcW w:w="756" w:type="pct"/>
            <w:vMerge w:val="restart"/>
          </w:tcPr>
          <w:p w14:paraId="4D4789E3" w14:textId="77777777" w:rsidR="00CA6713" w:rsidRPr="00CA6713" w:rsidRDefault="00CA6713" w:rsidP="00EB2C69">
            <w:pPr>
              <w:pStyle w:val="TSBodyHeading"/>
              <w:rPr>
                <w:lang w:val="en-AU"/>
              </w:rPr>
            </w:pPr>
            <w:r w:rsidRPr="00CA6713">
              <w:rPr>
                <w:lang w:val="en-AU"/>
              </w:rPr>
              <w:t>Universities</w:t>
            </w:r>
          </w:p>
        </w:tc>
        <w:tc>
          <w:tcPr>
            <w:tcW w:w="910" w:type="pct"/>
          </w:tcPr>
          <w:p w14:paraId="4C81A686" w14:textId="77777777" w:rsidR="00CA6713" w:rsidRPr="00CA6713" w:rsidRDefault="00CA6713" w:rsidP="00CA6713">
            <w:pPr>
              <w:pStyle w:val="TSOtherBodyText"/>
              <w:rPr>
                <w:lang w:val="en-AU"/>
              </w:rPr>
            </w:pPr>
            <w:r w:rsidRPr="00CA6713">
              <w:rPr>
                <w:lang w:val="en-AU"/>
              </w:rPr>
              <w:t>Auckland University of Technology</w:t>
            </w:r>
          </w:p>
          <w:p w14:paraId="24DE5373" w14:textId="77777777" w:rsidR="00CA6713" w:rsidRPr="00CA6713" w:rsidRDefault="00CA6713" w:rsidP="00CA6713">
            <w:pPr>
              <w:pStyle w:val="TSOtherBodyText"/>
              <w:rPr>
                <w:lang w:val="en-AU"/>
              </w:rPr>
            </w:pPr>
          </w:p>
        </w:tc>
        <w:tc>
          <w:tcPr>
            <w:tcW w:w="3335" w:type="pct"/>
          </w:tcPr>
          <w:p w14:paraId="0034246B" w14:textId="77777777" w:rsidR="00CA6713" w:rsidRPr="00CA6713" w:rsidRDefault="00CA6713" w:rsidP="00CA6713">
            <w:pPr>
              <w:pStyle w:val="TSOtherBodyText"/>
              <w:rPr>
                <w:lang w:val="en-AU"/>
              </w:rPr>
            </w:pPr>
            <w:r w:rsidRPr="00CA6713">
              <w:rPr>
                <w:lang w:val="en-AU"/>
              </w:rPr>
              <w:t>Bachelor of Education (Primary Teaching)</w:t>
            </w:r>
          </w:p>
          <w:p w14:paraId="6B65D4D7" w14:textId="77777777" w:rsidR="00CA6713" w:rsidRPr="00CA6713" w:rsidRDefault="00CA6713" w:rsidP="00CA6713">
            <w:pPr>
              <w:pStyle w:val="TSOtherBodyText"/>
              <w:rPr>
                <w:lang w:val="en-AU"/>
              </w:rPr>
            </w:pPr>
            <w:r w:rsidRPr="00CA6713">
              <w:rPr>
                <w:lang w:val="en-AU"/>
              </w:rPr>
              <w:t>Bachelor of Education (Early Childhood Teaching)</w:t>
            </w:r>
          </w:p>
          <w:p w14:paraId="3CA3303F" w14:textId="77777777" w:rsidR="00CA6713" w:rsidRPr="00CA6713" w:rsidRDefault="00CA6713" w:rsidP="00CA6713">
            <w:pPr>
              <w:pStyle w:val="TSOtherBodyText"/>
              <w:rPr>
                <w:lang w:val="en-AU"/>
              </w:rPr>
            </w:pPr>
            <w:r w:rsidRPr="00CA6713">
              <w:rPr>
                <w:lang w:val="en-AU"/>
              </w:rPr>
              <w:t>Bachelor of Education (Pacific Primary Teaching)</w:t>
            </w:r>
          </w:p>
          <w:p w14:paraId="5B7EB794" w14:textId="77777777" w:rsidR="00CA6713" w:rsidRPr="00CA6713" w:rsidRDefault="00CA6713" w:rsidP="00CA6713">
            <w:pPr>
              <w:pStyle w:val="TSOtherBodyText"/>
              <w:rPr>
                <w:lang w:val="en-AU"/>
              </w:rPr>
            </w:pPr>
            <w:r w:rsidRPr="00CA6713">
              <w:rPr>
                <w:lang w:val="en-AU"/>
              </w:rPr>
              <w:t>Bachelor of Education (Pacific Early Childhood Teaching)</w:t>
            </w:r>
          </w:p>
          <w:p w14:paraId="275588AD" w14:textId="77777777" w:rsidR="00CA6713" w:rsidRPr="00CA6713" w:rsidRDefault="00CA6713" w:rsidP="00CA6713">
            <w:pPr>
              <w:pStyle w:val="TSOtherBodyText"/>
              <w:rPr>
                <w:lang w:val="en-AU"/>
              </w:rPr>
            </w:pPr>
            <w:r w:rsidRPr="00CA6713">
              <w:rPr>
                <w:lang w:val="en-AU"/>
              </w:rPr>
              <w:t>Graduate Diploma in Secondary Teaching</w:t>
            </w:r>
          </w:p>
          <w:p w14:paraId="17691B82" w14:textId="77777777" w:rsidR="00CA6713" w:rsidRPr="00CA6713" w:rsidRDefault="00CA6713" w:rsidP="00CA6713">
            <w:pPr>
              <w:pStyle w:val="TSOtherBodyText"/>
              <w:rPr>
                <w:lang w:val="en-AU"/>
              </w:rPr>
            </w:pPr>
            <w:r w:rsidRPr="00CA6713">
              <w:rPr>
                <w:lang w:val="en-AU"/>
              </w:rPr>
              <w:t>Master of Teaching and Learning Primary</w:t>
            </w:r>
          </w:p>
          <w:p w14:paraId="365108B8" w14:textId="77777777" w:rsidR="00CA6713" w:rsidRPr="00CA6713" w:rsidRDefault="00CA6713" w:rsidP="00CA6713">
            <w:pPr>
              <w:pStyle w:val="TSOtherBodyText"/>
              <w:rPr>
                <w:lang w:val="en-AU"/>
              </w:rPr>
            </w:pPr>
            <w:r w:rsidRPr="00CA6713">
              <w:rPr>
                <w:lang w:val="en-AU"/>
              </w:rPr>
              <w:t>Master of Teaching and Learning Early Childhood</w:t>
            </w:r>
          </w:p>
          <w:p w14:paraId="5DC8410D" w14:textId="77777777" w:rsidR="00CA6713" w:rsidRPr="00CA6713" w:rsidRDefault="00CA6713" w:rsidP="00CA6713">
            <w:pPr>
              <w:pStyle w:val="TSOtherBodyText"/>
              <w:rPr>
                <w:lang w:val="en-AU"/>
              </w:rPr>
            </w:pPr>
            <w:r w:rsidRPr="00CA6713">
              <w:rPr>
                <w:lang w:val="en-AU"/>
              </w:rPr>
              <w:t>Postgraduate Diploma in Teaching and Learning Primary</w:t>
            </w:r>
          </w:p>
          <w:p w14:paraId="66747121" w14:textId="77777777" w:rsidR="00CA6713" w:rsidRPr="00CA6713" w:rsidRDefault="00CA6713" w:rsidP="00CA6713">
            <w:pPr>
              <w:pStyle w:val="TSOtherBodyText"/>
              <w:rPr>
                <w:lang w:val="en-AU"/>
              </w:rPr>
            </w:pPr>
            <w:r w:rsidRPr="00CA6713">
              <w:rPr>
                <w:lang w:val="en-AU"/>
              </w:rPr>
              <w:t>Postgraduate Diploma in Teaching and Learning Early Childhood</w:t>
            </w:r>
          </w:p>
        </w:tc>
      </w:tr>
      <w:tr w:rsidR="00CA6713" w:rsidRPr="00CA6713" w14:paraId="3E8B0C01" w14:textId="77777777" w:rsidTr="006612C3">
        <w:tc>
          <w:tcPr>
            <w:tcW w:w="756" w:type="pct"/>
            <w:vMerge/>
          </w:tcPr>
          <w:p w14:paraId="4D6285E5" w14:textId="77777777" w:rsidR="00CA6713" w:rsidRPr="00CA6713" w:rsidRDefault="00CA6713" w:rsidP="00CA6713">
            <w:pPr>
              <w:pStyle w:val="USBodyText"/>
              <w:spacing w:after="120" w:line="280" w:lineRule="atLeast"/>
              <w:rPr>
                <w:lang w:val="en-AU"/>
              </w:rPr>
            </w:pPr>
          </w:p>
        </w:tc>
        <w:tc>
          <w:tcPr>
            <w:tcW w:w="910" w:type="pct"/>
          </w:tcPr>
          <w:p w14:paraId="57B76FE4" w14:textId="77777777" w:rsidR="00CA6713" w:rsidRPr="00CA6713" w:rsidRDefault="00CA6713" w:rsidP="00CA6713">
            <w:pPr>
              <w:pStyle w:val="TSOtherBodyText"/>
              <w:rPr>
                <w:lang w:val="en-AU"/>
              </w:rPr>
            </w:pPr>
            <w:r w:rsidRPr="00CA6713">
              <w:rPr>
                <w:lang w:val="en-AU"/>
              </w:rPr>
              <w:t>Massey University</w:t>
            </w:r>
          </w:p>
        </w:tc>
        <w:tc>
          <w:tcPr>
            <w:tcW w:w="3335" w:type="pct"/>
          </w:tcPr>
          <w:p w14:paraId="334C6588" w14:textId="77777777" w:rsidR="00CA6713" w:rsidRPr="00CA6713" w:rsidRDefault="00CA6713" w:rsidP="00CA6713">
            <w:pPr>
              <w:pStyle w:val="TSOtherBodyText"/>
              <w:rPr>
                <w:lang w:val="en-AU"/>
              </w:rPr>
            </w:pPr>
            <w:r w:rsidRPr="00CA6713">
              <w:rPr>
                <w:lang w:val="en-AU"/>
              </w:rPr>
              <w:t>Te Aho Tatairangi Bachelor of Teaching and Learning Kura kaupapa Maori</w:t>
            </w:r>
          </w:p>
          <w:p w14:paraId="14DFD4DF" w14:textId="77777777" w:rsidR="00CA6713" w:rsidRPr="00CA6713" w:rsidRDefault="00CA6713" w:rsidP="00CA6713">
            <w:pPr>
              <w:pStyle w:val="TSOtherBodyText"/>
              <w:rPr>
                <w:lang w:val="en-AU"/>
              </w:rPr>
            </w:pPr>
            <w:r w:rsidRPr="00CA6713">
              <w:rPr>
                <w:lang w:val="en-AU"/>
              </w:rPr>
              <w:t>Te Aho Paerewa Postgraduate Diploma Teaching and Learning in Māori Medium</w:t>
            </w:r>
          </w:p>
          <w:p w14:paraId="69F626E8" w14:textId="77777777" w:rsidR="00CA6713" w:rsidRPr="00CA6713" w:rsidRDefault="00CA6713" w:rsidP="00CA6713">
            <w:pPr>
              <w:pStyle w:val="TSOtherBodyText"/>
              <w:rPr>
                <w:lang w:val="en-AU"/>
              </w:rPr>
            </w:pPr>
            <w:r w:rsidRPr="00CA6713">
              <w:rPr>
                <w:lang w:val="en-AU"/>
              </w:rPr>
              <w:t>Graduate Diploma of Learning and Teaching (ECE)</w:t>
            </w:r>
          </w:p>
          <w:p w14:paraId="233F7F74" w14:textId="77777777" w:rsidR="00CA6713" w:rsidRPr="00CA6713" w:rsidRDefault="00CA6713" w:rsidP="00CA6713">
            <w:pPr>
              <w:pStyle w:val="TSOtherBodyText"/>
              <w:rPr>
                <w:lang w:val="en-AU"/>
              </w:rPr>
            </w:pPr>
            <w:r w:rsidRPr="00CA6713">
              <w:rPr>
                <w:lang w:val="en-AU"/>
              </w:rPr>
              <w:t>Graduate Diploma of Learning and Teaching (Primary)</w:t>
            </w:r>
          </w:p>
          <w:p w14:paraId="56095191" w14:textId="77777777" w:rsidR="00CA6713" w:rsidRPr="00CA6713" w:rsidRDefault="00CA6713" w:rsidP="00CA6713">
            <w:pPr>
              <w:pStyle w:val="TSOtherBodyText"/>
              <w:rPr>
                <w:lang w:val="en-AU"/>
              </w:rPr>
            </w:pPr>
            <w:r w:rsidRPr="00CA6713">
              <w:rPr>
                <w:lang w:val="en-AU"/>
              </w:rPr>
              <w:t>Graduate Diploma of Learning and Teaching (Secondary)</w:t>
            </w:r>
          </w:p>
        </w:tc>
      </w:tr>
      <w:tr w:rsidR="00CA6713" w:rsidRPr="00CA6713" w14:paraId="7A34302A" w14:textId="77777777" w:rsidTr="006612C3">
        <w:tc>
          <w:tcPr>
            <w:tcW w:w="756" w:type="pct"/>
            <w:vMerge/>
          </w:tcPr>
          <w:p w14:paraId="77586484" w14:textId="77777777" w:rsidR="00CA6713" w:rsidRPr="00CA6713" w:rsidRDefault="00CA6713" w:rsidP="00CA6713">
            <w:pPr>
              <w:pStyle w:val="USBodyText"/>
              <w:spacing w:after="120" w:line="280" w:lineRule="atLeast"/>
              <w:rPr>
                <w:lang w:val="en-AU"/>
              </w:rPr>
            </w:pPr>
          </w:p>
        </w:tc>
        <w:tc>
          <w:tcPr>
            <w:tcW w:w="910" w:type="pct"/>
          </w:tcPr>
          <w:p w14:paraId="15151A36" w14:textId="77777777" w:rsidR="00CA6713" w:rsidRPr="00CA6713" w:rsidRDefault="00CA6713" w:rsidP="00CA6713">
            <w:pPr>
              <w:pStyle w:val="TSOtherBodyText"/>
              <w:rPr>
                <w:lang w:val="en-AU"/>
              </w:rPr>
            </w:pPr>
            <w:r w:rsidRPr="00CA6713">
              <w:rPr>
                <w:lang w:val="en-AU"/>
              </w:rPr>
              <w:t>University of Auckland | Waipapa Taumata Rau</w:t>
            </w:r>
          </w:p>
        </w:tc>
        <w:tc>
          <w:tcPr>
            <w:tcW w:w="3335" w:type="pct"/>
          </w:tcPr>
          <w:p w14:paraId="659B3FA3" w14:textId="77777777" w:rsidR="00CA6713" w:rsidRPr="00CA6713" w:rsidRDefault="00CA6713" w:rsidP="00CA6713">
            <w:pPr>
              <w:pStyle w:val="TSOtherBodyText"/>
              <w:rPr>
                <w:lang w:val="en-AU"/>
              </w:rPr>
            </w:pPr>
            <w:r w:rsidRPr="00CA6713">
              <w:rPr>
                <w:lang w:val="en-AU"/>
              </w:rPr>
              <w:t>Bachelor of Education (Teaching)</w:t>
            </w:r>
          </w:p>
          <w:p w14:paraId="0FE54EFF" w14:textId="77777777" w:rsidR="00CA6713" w:rsidRPr="00CA6713" w:rsidRDefault="00CA6713" w:rsidP="00CA6713">
            <w:pPr>
              <w:pStyle w:val="TSOtherBodyText"/>
              <w:rPr>
                <w:lang w:val="en-AU"/>
              </w:rPr>
            </w:pPr>
            <w:r w:rsidRPr="00CA6713">
              <w:rPr>
                <w:lang w:val="en-AU"/>
              </w:rPr>
              <w:t>Bachelor of Education (Teaching) Primary</w:t>
            </w:r>
          </w:p>
          <w:p w14:paraId="6B144CFF" w14:textId="77777777" w:rsidR="00CA6713" w:rsidRPr="00CA6713" w:rsidRDefault="00CA6713" w:rsidP="00CA6713">
            <w:pPr>
              <w:pStyle w:val="TSOtherBodyText"/>
              <w:rPr>
                <w:lang w:val="en-AU"/>
              </w:rPr>
            </w:pPr>
            <w:r w:rsidRPr="00CA6713">
              <w:rPr>
                <w:lang w:val="en-AU"/>
              </w:rPr>
              <w:t>Graduate Diploma in Teaching (Secondary)</w:t>
            </w:r>
          </w:p>
          <w:p w14:paraId="04DAD3F8" w14:textId="77777777" w:rsidR="00CA6713" w:rsidRPr="00CA6713" w:rsidRDefault="00CA6713" w:rsidP="00CA6713">
            <w:pPr>
              <w:pStyle w:val="TSOtherBodyText"/>
              <w:rPr>
                <w:lang w:val="en-AU"/>
              </w:rPr>
            </w:pPr>
            <w:r w:rsidRPr="00CA6713">
              <w:rPr>
                <w:lang w:val="en-AU"/>
              </w:rPr>
              <w:t>Graduate Diploma in Teaching (Early Childhood Education)</w:t>
            </w:r>
          </w:p>
          <w:p w14:paraId="5A0271FC" w14:textId="77777777" w:rsidR="00CA6713" w:rsidRPr="00CA6713" w:rsidRDefault="00CA6713" w:rsidP="00CA6713">
            <w:pPr>
              <w:pStyle w:val="TSOtherBodyText"/>
              <w:rPr>
                <w:lang w:val="en-AU"/>
              </w:rPr>
            </w:pPr>
            <w:r w:rsidRPr="00CA6713">
              <w:rPr>
                <w:lang w:val="en-AU"/>
              </w:rPr>
              <w:t xml:space="preserve">Graduate Diploma in Teaching (Primary) </w:t>
            </w:r>
          </w:p>
          <w:p w14:paraId="2ADBC6C9" w14:textId="77777777" w:rsidR="00CA6713" w:rsidRPr="00CA6713" w:rsidRDefault="00CA6713" w:rsidP="00CA6713">
            <w:pPr>
              <w:pStyle w:val="TSOtherBodyText"/>
              <w:rPr>
                <w:lang w:val="en-AU"/>
              </w:rPr>
            </w:pPr>
            <w:r w:rsidRPr="00CA6713">
              <w:rPr>
                <w:lang w:val="en-AU"/>
              </w:rPr>
              <w:t>Huarahi Māori | Graduate Diploma of Teaching (Primary) (Māori medium)</w:t>
            </w:r>
          </w:p>
          <w:p w14:paraId="4C65D89F" w14:textId="77777777" w:rsidR="00CA6713" w:rsidRPr="00CA6713" w:rsidRDefault="00CA6713" w:rsidP="00CA6713">
            <w:pPr>
              <w:pStyle w:val="TSOtherBodyText"/>
              <w:rPr>
                <w:lang w:val="en-AU"/>
              </w:rPr>
            </w:pPr>
            <w:r w:rsidRPr="00CA6713">
              <w:rPr>
                <w:lang w:val="en-AU"/>
              </w:rPr>
              <w:t>Master of Teaching and Learning (Early Childhood)</w:t>
            </w:r>
          </w:p>
        </w:tc>
      </w:tr>
      <w:tr w:rsidR="00CA6713" w:rsidRPr="00CA6713" w14:paraId="314A669F" w14:textId="77777777" w:rsidTr="006612C3">
        <w:tc>
          <w:tcPr>
            <w:tcW w:w="756" w:type="pct"/>
            <w:vMerge/>
          </w:tcPr>
          <w:p w14:paraId="3F28A462" w14:textId="77777777" w:rsidR="00CA6713" w:rsidRPr="00CA6713" w:rsidRDefault="00CA6713" w:rsidP="00CA6713">
            <w:pPr>
              <w:pStyle w:val="USBodyText"/>
              <w:spacing w:after="120" w:line="280" w:lineRule="atLeast"/>
              <w:rPr>
                <w:lang w:val="en-AU"/>
              </w:rPr>
            </w:pPr>
          </w:p>
        </w:tc>
        <w:tc>
          <w:tcPr>
            <w:tcW w:w="910" w:type="pct"/>
          </w:tcPr>
          <w:p w14:paraId="15371773" w14:textId="77777777" w:rsidR="00CA6713" w:rsidRPr="00CA6713" w:rsidRDefault="00CA6713" w:rsidP="00CA6713">
            <w:pPr>
              <w:pStyle w:val="TSOtherBodyText"/>
              <w:rPr>
                <w:lang w:val="en-AU"/>
              </w:rPr>
            </w:pPr>
            <w:r w:rsidRPr="00CA6713">
              <w:rPr>
                <w:lang w:val="en-AU"/>
              </w:rPr>
              <w:t>University of Canterbury</w:t>
            </w:r>
          </w:p>
        </w:tc>
        <w:tc>
          <w:tcPr>
            <w:tcW w:w="3335" w:type="pct"/>
          </w:tcPr>
          <w:p w14:paraId="7D8B5411" w14:textId="77777777" w:rsidR="00CA6713" w:rsidRPr="00CA6713" w:rsidRDefault="00CA6713" w:rsidP="00CA6713">
            <w:pPr>
              <w:pStyle w:val="TSOtherBodyText"/>
              <w:rPr>
                <w:lang w:val="en-AU"/>
              </w:rPr>
            </w:pPr>
            <w:r w:rsidRPr="00CA6713">
              <w:rPr>
                <w:lang w:val="en-AU"/>
              </w:rPr>
              <w:t>Bachelor of Teaching and Learning (Primary Education)</w:t>
            </w:r>
          </w:p>
          <w:p w14:paraId="65250057" w14:textId="77777777" w:rsidR="00CA6713" w:rsidRPr="00CA6713" w:rsidRDefault="00CA6713" w:rsidP="00CA6713">
            <w:pPr>
              <w:pStyle w:val="TSOtherBodyText"/>
              <w:rPr>
                <w:lang w:val="en-AU"/>
              </w:rPr>
            </w:pPr>
            <w:r w:rsidRPr="00CA6713">
              <w:rPr>
                <w:lang w:val="en-AU"/>
              </w:rPr>
              <w:t>Bachelor of Teaching and Learning (Early Childhood)</w:t>
            </w:r>
          </w:p>
          <w:p w14:paraId="578B06A9" w14:textId="77777777" w:rsidR="00CA6713" w:rsidRPr="00CA6713" w:rsidRDefault="00CA6713" w:rsidP="00CA6713">
            <w:pPr>
              <w:pStyle w:val="TSOtherBodyText"/>
              <w:rPr>
                <w:lang w:val="en-AU"/>
              </w:rPr>
            </w:pPr>
            <w:r w:rsidRPr="00CA6713">
              <w:rPr>
                <w:lang w:val="en-AU"/>
              </w:rPr>
              <w:t>Bachelor of Teaching and Learning (Mātauranga Maori)</w:t>
            </w:r>
          </w:p>
          <w:p w14:paraId="0B8B614E" w14:textId="77777777" w:rsidR="00CA6713" w:rsidRPr="00CA6713" w:rsidRDefault="00CA6713" w:rsidP="00CA6713">
            <w:pPr>
              <w:pStyle w:val="TSOtherBodyText"/>
              <w:rPr>
                <w:lang w:val="en-AU"/>
              </w:rPr>
            </w:pPr>
            <w:r w:rsidRPr="00CA6713">
              <w:rPr>
                <w:lang w:val="en-AU"/>
              </w:rPr>
              <w:t>Graduate Diploma in Teaching and Learning (Early Childhood)</w:t>
            </w:r>
          </w:p>
          <w:p w14:paraId="7D20B3FD" w14:textId="77777777" w:rsidR="00CA6713" w:rsidRPr="00CA6713" w:rsidRDefault="00CA6713" w:rsidP="00CA6713">
            <w:pPr>
              <w:pStyle w:val="TSOtherBodyText"/>
              <w:rPr>
                <w:lang w:val="en-AU"/>
              </w:rPr>
            </w:pPr>
            <w:r w:rsidRPr="00CA6713">
              <w:rPr>
                <w:lang w:val="en-AU"/>
              </w:rPr>
              <w:t>Graduate Diploma in Teaching and Learning (Primary Education)</w:t>
            </w:r>
          </w:p>
          <w:p w14:paraId="6AA5FC20" w14:textId="77777777" w:rsidR="00CA6713" w:rsidRPr="00CA6713" w:rsidRDefault="00CA6713" w:rsidP="00CA6713">
            <w:pPr>
              <w:pStyle w:val="TSOtherBodyText"/>
              <w:rPr>
                <w:lang w:val="en-AU"/>
              </w:rPr>
            </w:pPr>
            <w:r w:rsidRPr="00CA6713">
              <w:rPr>
                <w:lang w:val="en-AU"/>
              </w:rPr>
              <w:t>Graduate Diploma in Teaching and Learning (Secondary Education)</w:t>
            </w:r>
          </w:p>
          <w:p w14:paraId="7CC64458" w14:textId="77777777" w:rsidR="00CA6713" w:rsidRPr="00CA6713" w:rsidRDefault="00CA6713" w:rsidP="00CA6713">
            <w:pPr>
              <w:pStyle w:val="TSOtherBodyText"/>
              <w:rPr>
                <w:lang w:val="en-AU"/>
              </w:rPr>
            </w:pPr>
            <w:r w:rsidRPr="00CA6713">
              <w:rPr>
                <w:lang w:val="en-AU"/>
              </w:rPr>
              <w:t>Postgraduate Diploma in Teaching and Learning (Primary Education)</w:t>
            </w:r>
          </w:p>
          <w:p w14:paraId="5D38D350" w14:textId="77777777" w:rsidR="00CA6713" w:rsidRPr="00CA6713" w:rsidRDefault="00CA6713" w:rsidP="00CA6713">
            <w:pPr>
              <w:pStyle w:val="TSOtherBodyText"/>
              <w:rPr>
                <w:lang w:val="en-AU"/>
              </w:rPr>
            </w:pPr>
            <w:r w:rsidRPr="00CA6713">
              <w:rPr>
                <w:lang w:val="en-AU"/>
              </w:rPr>
              <w:t>Postgraduate Diploma in Teaching and Learning (Secondary Education)</w:t>
            </w:r>
          </w:p>
          <w:p w14:paraId="680F7AE7" w14:textId="77777777" w:rsidR="00CA6713" w:rsidRPr="00CA6713" w:rsidRDefault="00CA6713" w:rsidP="00CA6713">
            <w:pPr>
              <w:pStyle w:val="TSOtherBodyText"/>
              <w:rPr>
                <w:lang w:val="en-AU"/>
              </w:rPr>
            </w:pPr>
            <w:r w:rsidRPr="00CA6713">
              <w:rPr>
                <w:lang w:val="en-AU"/>
              </w:rPr>
              <w:t>Master of Teaching and Learning (Primary Education)</w:t>
            </w:r>
          </w:p>
          <w:p w14:paraId="34EADDC4" w14:textId="77777777" w:rsidR="00CA6713" w:rsidRPr="00CA6713" w:rsidRDefault="00CA6713" w:rsidP="00CA6713">
            <w:pPr>
              <w:pStyle w:val="TSOtherBodyText"/>
              <w:rPr>
                <w:lang w:val="en-AU"/>
              </w:rPr>
            </w:pPr>
            <w:r w:rsidRPr="00CA6713">
              <w:rPr>
                <w:lang w:val="en-AU"/>
              </w:rPr>
              <w:lastRenderedPageBreak/>
              <w:t>Master of Teaching and Learning (Secondary Education)</w:t>
            </w:r>
          </w:p>
        </w:tc>
      </w:tr>
      <w:tr w:rsidR="00CA6713" w:rsidRPr="00CA6713" w14:paraId="02BABDFB" w14:textId="77777777" w:rsidTr="006612C3">
        <w:tc>
          <w:tcPr>
            <w:tcW w:w="756" w:type="pct"/>
            <w:vMerge/>
          </w:tcPr>
          <w:p w14:paraId="0E4FA101" w14:textId="77777777" w:rsidR="00CA6713" w:rsidRPr="00CA6713" w:rsidRDefault="00CA6713" w:rsidP="00CA6713">
            <w:pPr>
              <w:pStyle w:val="USBodyText"/>
              <w:spacing w:after="120" w:line="280" w:lineRule="atLeast"/>
              <w:rPr>
                <w:lang w:val="en-AU"/>
              </w:rPr>
            </w:pPr>
          </w:p>
        </w:tc>
        <w:tc>
          <w:tcPr>
            <w:tcW w:w="910" w:type="pct"/>
          </w:tcPr>
          <w:p w14:paraId="1FE06288" w14:textId="77777777" w:rsidR="00CA6713" w:rsidRPr="00CA6713" w:rsidRDefault="00CA6713" w:rsidP="00CA6713">
            <w:pPr>
              <w:pStyle w:val="TSOtherBodyText"/>
              <w:rPr>
                <w:lang w:val="en-AU"/>
              </w:rPr>
            </w:pPr>
            <w:r w:rsidRPr="00CA6713">
              <w:rPr>
                <w:lang w:val="en-AU"/>
              </w:rPr>
              <w:t>University of Otago</w:t>
            </w:r>
          </w:p>
        </w:tc>
        <w:tc>
          <w:tcPr>
            <w:tcW w:w="3335" w:type="pct"/>
          </w:tcPr>
          <w:p w14:paraId="7E30B399" w14:textId="77777777" w:rsidR="00CA6713" w:rsidRPr="00CA6713" w:rsidRDefault="00CA6713" w:rsidP="00CA6713">
            <w:pPr>
              <w:pStyle w:val="TSOtherBodyText"/>
              <w:rPr>
                <w:lang w:val="en-AU"/>
              </w:rPr>
            </w:pPr>
            <w:r w:rsidRPr="00CA6713">
              <w:rPr>
                <w:lang w:val="en-AU"/>
              </w:rPr>
              <w:t>Bachelor of Teaching (Early Childhood Education); BTchg(ECE)</w:t>
            </w:r>
          </w:p>
          <w:p w14:paraId="2D66FDA1" w14:textId="77777777" w:rsidR="00CA6713" w:rsidRPr="00CA6713" w:rsidRDefault="00CA6713" w:rsidP="00CA6713">
            <w:pPr>
              <w:pStyle w:val="TSOtherBodyText"/>
              <w:rPr>
                <w:lang w:val="en-AU"/>
              </w:rPr>
            </w:pPr>
            <w:r w:rsidRPr="00CA6713">
              <w:rPr>
                <w:lang w:val="en-AU"/>
              </w:rPr>
              <w:t>Bachelor of Teaching (Primary Education); BTchg (Primary)</w:t>
            </w:r>
          </w:p>
          <w:p w14:paraId="631CC581" w14:textId="77777777" w:rsidR="00CA6713" w:rsidRPr="00CA6713" w:rsidRDefault="00CA6713" w:rsidP="00CA6713">
            <w:pPr>
              <w:pStyle w:val="TSOtherBodyText"/>
              <w:rPr>
                <w:lang w:val="en-AU"/>
              </w:rPr>
            </w:pPr>
            <w:r w:rsidRPr="00CA6713">
              <w:rPr>
                <w:lang w:val="en-AU"/>
              </w:rPr>
              <w:t>Bachelor of Teaching Te Pōkai Mātauranga o te Ao Rua (Primary Bicultural Education); BTchg (Primary Bicultural)</w:t>
            </w:r>
          </w:p>
          <w:p w14:paraId="61D1D2A8" w14:textId="77777777" w:rsidR="00CA6713" w:rsidRPr="00CA6713" w:rsidRDefault="00CA6713" w:rsidP="00CA6713">
            <w:pPr>
              <w:pStyle w:val="TSOtherBodyText"/>
              <w:rPr>
                <w:lang w:val="en-AU"/>
              </w:rPr>
            </w:pPr>
            <w:r w:rsidRPr="00CA6713">
              <w:rPr>
                <w:lang w:val="en-AU"/>
              </w:rPr>
              <w:t>Graduate Diploma of Teaching (Primary Education)</w:t>
            </w:r>
          </w:p>
          <w:p w14:paraId="498B6D58" w14:textId="77777777" w:rsidR="00CA6713" w:rsidRPr="00CA6713" w:rsidRDefault="00CA6713" w:rsidP="00CA6713">
            <w:pPr>
              <w:pStyle w:val="TSOtherBodyText"/>
              <w:rPr>
                <w:lang w:val="en-AU"/>
              </w:rPr>
            </w:pPr>
            <w:r w:rsidRPr="00CA6713">
              <w:rPr>
                <w:lang w:val="en-AU"/>
              </w:rPr>
              <w:t>Graduate Diploma of Teaching (Secondary Education)</w:t>
            </w:r>
          </w:p>
          <w:p w14:paraId="04EE9B8B" w14:textId="77777777" w:rsidR="00CA6713" w:rsidRPr="00CA6713" w:rsidRDefault="00CA6713" w:rsidP="00CA6713">
            <w:pPr>
              <w:pStyle w:val="TSOtherBodyText"/>
              <w:rPr>
                <w:lang w:val="en-AU"/>
              </w:rPr>
            </w:pPr>
            <w:r w:rsidRPr="00CA6713">
              <w:rPr>
                <w:lang w:val="en-AU"/>
              </w:rPr>
              <w:t>Master of Teaching and Learning (Early Childhood Education); MTchgLn (ECE)</w:t>
            </w:r>
          </w:p>
          <w:p w14:paraId="50D1DD6A" w14:textId="77777777" w:rsidR="00CA6713" w:rsidRPr="00CA6713" w:rsidRDefault="00CA6713" w:rsidP="00CA6713">
            <w:pPr>
              <w:pStyle w:val="TSOtherBodyText"/>
              <w:rPr>
                <w:lang w:val="en-AU"/>
              </w:rPr>
            </w:pPr>
            <w:r w:rsidRPr="00CA6713">
              <w:rPr>
                <w:lang w:val="en-AU"/>
              </w:rPr>
              <w:t>Master of Teaching and Learning (Primary Education); MTchgLn (Primary)</w:t>
            </w:r>
          </w:p>
          <w:p w14:paraId="1E281502" w14:textId="77777777" w:rsidR="00CA6713" w:rsidRPr="00CA6713" w:rsidRDefault="00CA6713" w:rsidP="00CA6713">
            <w:pPr>
              <w:pStyle w:val="TSOtherBodyText"/>
              <w:rPr>
                <w:lang w:val="en-AU"/>
              </w:rPr>
            </w:pPr>
            <w:r w:rsidRPr="00CA6713">
              <w:rPr>
                <w:lang w:val="en-AU"/>
              </w:rPr>
              <w:t>Master of Teaching and Learning (Secondary Education); MTchgLn (Secondary)</w:t>
            </w:r>
          </w:p>
        </w:tc>
      </w:tr>
      <w:tr w:rsidR="00CA6713" w:rsidRPr="00CA6713" w14:paraId="287A9539" w14:textId="77777777" w:rsidTr="006612C3">
        <w:tc>
          <w:tcPr>
            <w:tcW w:w="756" w:type="pct"/>
            <w:vMerge/>
          </w:tcPr>
          <w:p w14:paraId="5116E7E7" w14:textId="77777777" w:rsidR="00CA6713" w:rsidRPr="00CA6713" w:rsidRDefault="00CA6713" w:rsidP="00CA6713">
            <w:pPr>
              <w:pStyle w:val="USBodyText"/>
              <w:spacing w:after="120" w:line="280" w:lineRule="atLeast"/>
              <w:rPr>
                <w:lang w:val="en-AU"/>
              </w:rPr>
            </w:pPr>
          </w:p>
        </w:tc>
        <w:tc>
          <w:tcPr>
            <w:tcW w:w="910" w:type="pct"/>
          </w:tcPr>
          <w:p w14:paraId="76CB58B7" w14:textId="77777777" w:rsidR="00CA6713" w:rsidRPr="00CA6713" w:rsidRDefault="00CA6713" w:rsidP="00CA6713">
            <w:pPr>
              <w:pStyle w:val="TSOtherBodyText"/>
              <w:rPr>
                <w:lang w:val="en-AU"/>
              </w:rPr>
            </w:pPr>
            <w:r w:rsidRPr="00CA6713">
              <w:rPr>
                <w:lang w:val="en-AU"/>
              </w:rPr>
              <w:t>University of Waikato</w:t>
            </w:r>
          </w:p>
        </w:tc>
        <w:tc>
          <w:tcPr>
            <w:tcW w:w="3335" w:type="pct"/>
          </w:tcPr>
          <w:p w14:paraId="7217667A" w14:textId="77777777" w:rsidR="00CA6713" w:rsidRPr="00CA6713" w:rsidRDefault="00CA6713" w:rsidP="00CA6713">
            <w:pPr>
              <w:pStyle w:val="TSOtherBodyText"/>
              <w:rPr>
                <w:lang w:val="en-AU"/>
              </w:rPr>
            </w:pPr>
            <w:r w:rsidRPr="00CA6713">
              <w:rPr>
                <w:lang w:val="en-AU"/>
              </w:rPr>
              <w:t>Bachelor of Teaching (Primary)</w:t>
            </w:r>
          </w:p>
          <w:p w14:paraId="06C35C39" w14:textId="77777777" w:rsidR="00CA6713" w:rsidRPr="00CA6713" w:rsidRDefault="00CA6713" w:rsidP="00CA6713">
            <w:pPr>
              <w:pStyle w:val="TSOtherBodyText"/>
              <w:rPr>
                <w:lang w:val="en-AU"/>
              </w:rPr>
            </w:pPr>
            <w:r w:rsidRPr="00CA6713">
              <w:rPr>
                <w:lang w:val="en-AU"/>
              </w:rPr>
              <w:t>Bachelor of Teaching (ECE)</w:t>
            </w:r>
          </w:p>
          <w:p w14:paraId="0FB59A9A" w14:textId="77777777" w:rsidR="00CA6713" w:rsidRPr="00CA6713" w:rsidRDefault="00CA6713" w:rsidP="00CA6713">
            <w:pPr>
              <w:pStyle w:val="TSOtherBodyText"/>
              <w:rPr>
                <w:lang w:val="en-AU"/>
              </w:rPr>
            </w:pPr>
            <w:r w:rsidRPr="00CA6713">
              <w:rPr>
                <w:lang w:val="en-AU"/>
              </w:rPr>
              <w:t>Graduate Diploma in Teaching (ECE)</w:t>
            </w:r>
          </w:p>
          <w:p w14:paraId="44F8B9A5" w14:textId="77777777" w:rsidR="00CA6713" w:rsidRPr="00CA6713" w:rsidRDefault="00CA6713" w:rsidP="00CA6713">
            <w:pPr>
              <w:pStyle w:val="TSOtherBodyText"/>
              <w:rPr>
                <w:lang w:val="en-AU"/>
              </w:rPr>
            </w:pPr>
            <w:r w:rsidRPr="00CA6713">
              <w:rPr>
                <w:lang w:val="en-AU"/>
              </w:rPr>
              <w:t>Graduate Diploma in Teaching (Primary)</w:t>
            </w:r>
          </w:p>
          <w:p w14:paraId="14F6D585" w14:textId="77777777" w:rsidR="00CA6713" w:rsidRPr="00CA6713" w:rsidRDefault="00CA6713" w:rsidP="00CA6713">
            <w:pPr>
              <w:pStyle w:val="TSOtherBodyText"/>
              <w:rPr>
                <w:lang w:val="en-AU"/>
              </w:rPr>
            </w:pPr>
            <w:r w:rsidRPr="00CA6713">
              <w:rPr>
                <w:lang w:val="en-AU"/>
              </w:rPr>
              <w:t>Graduate Diploma in Teaching (Secondary)</w:t>
            </w:r>
          </w:p>
          <w:p w14:paraId="5C6A1C57" w14:textId="77777777" w:rsidR="00CA6713" w:rsidRPr="00CA6713" w:rsidRDefault="00CA6713" w:rsidP="00CA6713">
            <w:pPr>
              <w:pStyle w:val="TSOtherBodyText"/>
              <w:rPr>
                <w:lang w:val="en-AU"/>
              </w:rPr>
            </w:pPr>
            <w:r w:rsidRPr="00CA6713">
              <w:rPr>
                <w:lang w:val="en-AU"/>
              </w:rPr>
              <w:t xml:space="preserve">Postgraduate Diploma in Teaching (PGDipTchg) ECE </w:t>
            </w:r>
          </w:p>
          <w:p w14:paraId="6DCE2B51" w14:textId="77777777" w:rsidR="00CA6713" w:rsidRPr="00CA6713" w:rsidRDefault="00CA6713" w:rsidP="00CA6713">
            <w:pPr>
              <w:pStyle w:val="TSOtherBodyText"/>
              <w:rPr>
                <w:lang w:val="en-AU"/>
              </w:rPr>
            </w:pPr>
            <w:r w:rsidRPr="00CA6713">
              <w:rPr>
                <w:lang w:val="en-AU"/>
              </w:rPr>
              <w:t>Postgraduate Diploma in Teaching (Primary)</w:t>
            </w:r>
          </w:p>
          <w:p w14:paraId="1960A9FB" w14:textId="77777777" w:rsidR="00CA6713" w:rsidRPr="00CA6713" w:rsidRDefault="00CA6713" w:rsidP="00CA6713">
            <w:pPr>
              <w:pStyle w:val="TSOtherBodyText"/>
              <w:rPr>
                <w:lang w:val="en-AU"/>
              </w:rPr>
            </w:pPr>
            <w:r w:rsidRPr="00CA6713">
              <w:rPr>
                <w:lang w:val="en-AU"/>
              </w:rPr>
              <w:t>Postgraduate Diploma in Teaching (Secondary)</w:t>
            </w:r>
          </w:p>
          <w:p w14:paraId="2C65B6DC" w14:textId="77777777" w:rsidR="00CA6713" w:rsidRPr="00CA6713" w:rsidRDefault="00CA6713" w:rsidP="00CA6713">
            <w:pPr>
              <w:pStyle w:val="TSOtherBodyText"/>
              <w:rPr>
                <w:lang w:val="en-AU"/>
              </w:rPr>
            </w:pPr>
            <w:r w:rsidRPr="00CA6713">
              <w:rPr>
                <w:lang w:val="en-AU"/>
              </w:rPr>
              <w:t xml:space="preserve">Master of Teaching and Learning (ECE) </w:t>
            </w:r>
          </w:p>
          <w:p w14:paraId="5524E3FF" w14:textId="77777777" w:rsidR="00CA6713" w:rsidRPr="00CA6713" w:rsidRDefault="00CA6713" w:rsidP="00CA6713">
            <w:pPr>
              <w:pStyle w:val="TSOtherBodyText"/>
              <w:rPr>
                <w:lang w:val="en-AU"/>
              </w:rPr>
            </w:pPr>
            <w:r w:rsidRPr="00CA6713">
              <w:rPr>
                <w:lang w:val="en-AU"/>
              </w:rPr>
              <w:t>Master of Teaching and Learning (Primary)</w:t>
            </w:r>
          </w:p>
          <w:p w14:paraId="034B91D2" w14:textId="77777777" w:rsidR="00CA6713" w:rsidRPr="00CA6713" w:rsidRDefault="00CA6713" w:rsidP="00CA6713">
            <w:pPr>
              <w:pStyle w:val="TSOtherBodyText"/>
              <w:rPr>
                <w:lang w:val="en-AU"/>
              </w:rPr>
            </w:pPr>
            <w:r w:rsidRPr="00CA6713">
              <w:rPr>
                <w:lang w:val="en-AU"/>
              </w:rPr>
              <w:t>Master of Teaching and Learning (Secondary)</w:t>
            </w:r>
          </w:p>
          <w:p w14:paraId="0525D326" w14:textId="77777777" w:rsidR="00CA6713" w:rsidRPr="00CA6713" w:rsidRDefault="00CA6713" w:rsidP="00CA6713">
            <w:pPr>
              <w:pStyle w:val="TSOtherBodyText"/>
              <w:rPr>
                <w:lang w:val="en-AU"/>
              </w:rPr>
            </w:pPr>
            <w:r w:rsidRPr="00CA6713">
              <w:rPr>
                <w:lang w:val="en-AU"/>
              </w:rPr>
              <w:t xml:space="preserve">Te Ara Hou Ahikāroa (TA) graduate diploma </w:t>
            </w:r>
          </w:p>
          <w:p w14:paraId="17221294" w14:textId="77777777" w:rsidR="00CA6713" w:rsidRPr="00CA6713" w:rsidRDefault="00CA6713" w:rsidP="00CA6713">
            <w:pPr>
              <w:pStyle w:val="TSOtherBodyText"/>
              <w:rPr>
                <w:lang w:val="en-AU"/>
              </w:rPr>
            </w:pPr>
            <w:r w:rsidRPr="00CA6713">
              <w:rPr>
                <w:lang w:val="en-AU"/>
              </w:rPr>
              <w:t>Te Ara Poutama Toitū Te Reo Kōhungahunga (TTR) undergraduate bachelor degree ECE</w:t>
            </w:r>
          </w:p>
          <w:p w14:paraId="112F83F6" w14:textId="77777777" w:rsidR="00CA6713" w:rsidRPr="00CA6713" w:rsidRDefault="00CA6713" w:rsidP="00CA6713">
            <w:pPr>
              <w:pStyle w:val="TSOtherBodyText"/>
              <w:rPr>
                <w:lang w:val="en-AU"/>
              </w:rPr>
            </w:pPr>
            <w:r w:rsidRPr="00CA6713">
              <w:rPr>
                <w:lang w:val="en-AU"/>
              </w:rPr>
              <w:t>Te Ara Poutama Toitū Te Reo Kura Tuatahi (TTR) undergraduate bachelor degree primary</w:t>
            </w:r>
          </w:p>
          <w:p w14:paraId="66E6348B" w14:textId="77777777" w:rsidR="00CA6713" w:rsidRPr="00CA6713" w:rsidRDefault="00CA6713" w:rsidP="00CA6713">
            <w:pPr>
              <w:pStyle w:val="TSOtherBodyText"/>
              <w:rPr>
                <w:lang w:val="en-AU"/>
              </w:rPr>
            </w:pPr>
            <w:r w:rsidRPr="00CA6713">
              <w:rPr>
                <w:lang w:val="en-AU"/>
              </w:rPr>
              <w:t>Te Ara Poutama Toitū Te Reo Wharekura Kaupapa Motuhake (TTR) undergraduate bachelor degree/specialism subject secondary</w:t>
            </w:r>
          </w:p>
        </w:tc>
      </w:tr>
      <w:tr w:rsidR="00CA6713" w:rsidRPr="00CA6713" w14:paraId="540EE259" w14:textId="77777777" w:rsidTr="006612C3">
        <w:tc>
          <w:tcPr>
            <w:tcW w:w="756" w:type="pct"/>
            <w:vMerge/>
          </w:tcPr>
          <w:p w14:paraId="01BB69E7" w14:textId="77777777" w:rsidR="00CA6713" w:rsidRPr="00CA6713" w:rsidRDefault="00CA6713" w:rsidP="00CA6713">
            <w:pPr>
              <w:pStyle w:val="USBodyText"/>
              <w:spacing w:after="120" w:line="280" w:lineRule="atLeast"/>
              <w:rPr>
                <w:lang w:val="en-AU"/>
              </w:rPr>
            </w:pPr>
          </w:p>
        </w:tc>
        <w:tc>
          <w:tcPr>
            <w:tcW w:w="910" w:type="pct"/>
          </w:tcPr>
          <w:p w14:paraId="0DDA6D41" w14:textId="0C55CFF8" w:rsidR="00CA6713" w:rsidRPr="00CA6713" w:rsidRDefault="00CA6713" w:rsidP="00CA6713">
            <w:pPr>
              <w:pStyle w:val="TSOtherBodyText"/>
              <w:rPr>
                <w:lang w:val="en-AU"/>
              </w:rPr>
            </w:pPr>
            <w:r w:rsidRPr="00CA6713">
              <w:rPr>
                <w:lang w:val="en-AU"/>
              </w:rPr>
              <w:t>Te Herenga Waka | Victoria University of Wellington</w:t>
            </w:r>
            <w:r w:rsidR="00F65692">
              <w:rPr>
                <w:lang w:val="en-AU"/>
              </w:rPr>
              <w:t xml:space="preserve"> </w:t>
            </w:r>
          </w:p>
        </w:tc>
        <w:tc>
          <w:tcPr>
            <w:tcW w:w="3335" w:type="pct"/>
          </w:tcPr>
          <w:p w14:paraId="0F9E2226" w14:textId="77777777" w:rsidR="00CA6713" w:rsidRPr="00CA6713" w:rsidRDefault="00CA6713" w:rsidP="00CA6713">
            <w:pPr>
              <w:pStyle w:val="TSOtherBodyText"/>
              <w:rPr>
                <w:lang w:val="en-AU"/>
              </w:rPr>
            </w:pPr>
            <w:r w:rsidRPr="00CA6713">
              <w:rPr>
                <w:lang w:val="en-AU"/>
              </w:rPr>
              <w:t>Bachelor of Education (Teaching) Early Childhood</w:t>
            </w:r>
          </w:p>
          <w:p w14:paraId="4090B384" w14:textId="77777777" w:rsidR="00CA6713" w:rsidRPr="00CA6713" w:rsidRDefault="00CA6713" w:rsidP="00CA6713">
            <w:pPr>
              <w:pStyle w:val="TSOtherBodyText"/>
              <w:rPr>
                <w:lang w:val="en-AU"/>
              </w:rPr>
            </w:pPr>
            <w:r w:rsidRPr="00CA6713">
              <w:rPr>
                <w:lang w:val="en-AU"/>
              </w:rPr>
              <w:t>Graduate Diploma of Teaching (Early Childhood)</w:t>
            </w:r>
          </w:p>
          <w:p w14:paraId="0A43B323" w14:textId="77777777" w:rsidR="00CA6713" w:rsidRPr="00CA6713" w:rsidRDefault="00CA6713" w:rsidP="00CA6713">
            <w:pPr>
              <w:pStyle w:val="TSOtherBodyText"/>
              <w:rPr>
                <w:lang w:val="en-AU"/>
              </w:rPr>
            </w:pPr>
            <w:r w:rsidRPr="00CA6713">
              <w:rPr>
                <w:lang w:val="en-AU"/>
              </w:rPr>
              <w:t>Graduate Diploma of Teaching (Primary)</w:t>
            </w:r>
          </w:p>
          <w:p w14:paraId="623BF392" w14:textId="77777777" w:rsidR="00CA6713" w:rsidRPr="00CA6713" w:rsidRDefault="00CA6713" w:rsidP="00CA6713">
            <w:pPr>
              <w:pStyle w:val="TSOtherBodyText"/>
              <w:rPr>
                <w:lang w:val="en-AU"/>
              </w:rPr>
            </w:pPr>
            <w:r w:rsidRPr="00CA6713">
              <w:rPr>
                <w:lang w:val="en-AU"/>
              </w:rPr>
              <w:t>Graduate Diploma of Teaching (Secondary)</w:t>
            </w:r>
          </w:p>
          <w:p w14:paraId="30FC082C" w14:textId="77777777" w:rsidR="00CA6713" w:rsidRPr="00CA6713" w:rsidRDefault="00CA6713" w:rsidP="00CA6713">
            <w:pPr>
              <w:pStyle w:val="TSOtherBodyText"/>
              <w:rPr>
                <w:lang w:val="en-AU"/>
              </w:rPr>
            </w:pPr>
            <w:r w:rsidRPr="00CA6713">
              <w:rPr>
                <w:lang w:val="en-AU"/>
              </w:rPr>
              <w:t>Master of Teaching and Learning (Primary)</w:t>
            </w:r>
          </w:p>
          <w:p w14:paraId="4FD25B8C" w14:textId="77777777" w:rsidR="00CA6713" w:rsidRPr="00CA6713" w:rsidRDefault="00CA6713" w:rsidP="00CA6713">
            <w:pPr>
              <w:pStyle w:val="TSOtherBodyText"/>
              <w:rPr>
                <w:lang w:val="en-AU"/>
              </w:rPr>
            </w:pPr>
            <w:r w:rsidRPr="00CA6713">
              <w:rPr>
                <w:lang w:val="en-AU"/>
              </w:rPr>
              <w:t>Master of Teaching and Learning (Secondary)</w:t>
            </w:r>
          </w:p>
        </w:tc>
      </w:tr>
      <w:tr w:rsidR="00CA6713" w:rsidRPr="00CA6713" w14:paraId="3DDB4138" w14:textId="77777777" w:rsidTr="006612C3">
        <w:tc>
          <w:tcPr>
            <w:tcW w:w="756" w:type="pct"/>
            <w:vMerge w:val="restart"/>
          </w:tcPr>
          <w:p w14:paraId="5A0E5E07" w14:textId="77777777" w:rsidR="00CA6713" w:rsidRPr="00CA6713" w:rsidRDefault="00CA6713" w:rsidP="00EB2C69">
            <w:pPr>
              <w:pStyle w:val="TSBodyHeading"/>
              <w:rPr>
                <w:lang w:val="en-AU"/>
              </w:rPr>
            </w:pPr>
            <w:r w:rsidRPr="00CA6713">
              <w:rPr>
                <w:lang w:val="en-AU"/>
              </w:rPr>
              <w:t>Institutes of Technology and Polytechnics (ITPs)</w:t>
            </w:r>
            <w:r w:rsidR="09978DB0" w:rsidRPr="43B75BAF">
              <w:rPr>
                <w:rFonts w:ascii="Cambria Math" w:hAnsi="Cambria Math" w:cs="Cambria Math"/>
                <w:lang w:val="en-AU"/>
              </w:rPr>
              <w:t> </w:t>
            </w:r>
          </w:p>
        </w:tc>
        <w:tc>
          <w:tcPr>
            <w:tcW w:w="910" w:type="pct"/>
          </w:tcPr>
          <w:p w14:paraId="743A0962" w14:textId="77777777" w:rsidR="00CA6713" w:rsidRPr="00CA6713" w:rsidRDefault="00CA6713" w:rsidP="00CA6713">
            <w:pPr>
              <w:pStyle w:val="TSOtherBodyText"/>
              <w:rPr>
                <w:lang w:val="en-AU"/>
              </w:rPr>
            </w:pPr>
            <w:r w:rsidRPr="00CA6713">
              <w:rPr>
                <w:lang w:val="en-AU"/>
              </w:rPr>
              <w:t>Eastern Institute of Technology</w:t>
            </w:r>
          </w:p>
        </w:tc>
        <w:tc>
          <w:tcPr>
            <w:tcW w:w="3335" w:type="pct"/>
          </w:tcPr>
          <w:p w14:paraId="7186E272" w14:textId="77777777" w:rsidR="00CA6713" w:rsidRPr="00CA6713" w:rsidRDefault="00CA6713" w:rsidP="00CA6713">
            <w:pPr>
              <w:pStyle w:val="TSOtherBodyText"/>
              <w:rPr>
                <w:lang w:val="en-AU"/>
              </w:rPr>
            </w:pPr>
            <w:r w:rsidRPr="00CA6713">
              <w:rPr>
                <w:lang w:val="en-AU"/>
              </w:rPr>
              <w:t>Bachelor of Teaching (Early Childhood Education)</w:t>
            </w:r>
          </w:p>
          <w:p w14:paraId="5EAA1457" w14:textId="77777777" w:rsidR="00CA6713" w:rsidRPr="00CA6713" w:rsidRDefault="00CA6713" w:rsidP="00CA6713">
            <w:pPr>
              <w:pStyle w:val="TSOtherBodyText"/>
              <w:rPr>
                <w:lang w:val="en-AU"/>
              </w:rPr>
            </w:pPr>
            <w:r w:rsidRPr="00CA6713">
              <w:rPr>
                <w:lang w:val="en-AU"/>
              </w:rPr>
              <w:t>Bachelor of Teaching (Primary)</w:t>
            </w:r>
          </w:p>
        </w:tc>
      </w:tr>
      <w:tr w:rsidR="00CA6713" w:rsidRPr="00CA6713" w14:paraId="1D1D195D" w14:textId="77777777" w:rsidTr="006612C3">
        <w:tc>
          <w:tcPr>
            <w:tcW w:w="756" w:type="pct"/>
            <w:vMerge/>
          </w:tcPr>
          <w:p w14:paraId="1F61E59A" w14:textId="77777777" w:rsidR="00CA6713" w:rsidRPr="00CA6713" w:rsidRDefault="00CA6713" w:rsidP="00CA6713">
            <w:pPr>
              <w:pStyle w:val="USBodyText"/>
              <w:spacing w:after="120" w:line="280" w:lineRule="atLeast"/>
              <w:rPr>
                <w:lang w:val="en-AU"/>
              </w:rPr>
            </w:pPr>
          </w:p>
        </w:tc>
        <w:tc>
          <w:tcPr>
            <w:tcW w:w="910" w:type="pct"/>
          </w:tcPr>
          <w:p w14:paraId="09B1F9C6" w14:textId="77777777" w:rsidR="00CA6713" w:rsidRPr="00CA6713" w:rsidRDefault="00CA6713" w:rsidP="00CA6713">
            <w:pPr>
              <w:pStyle w:val="TSOtherBodyText"/>
              <w:rPr>
                <w:lang w:val="en-AU"/>
              </w:rPr>
            </w:pPr>
            <w:r w:rsidRPr="00CA6713">
              <w:rPr>
                <w:lang w:val="en-AU"/>
              </w:rPr>
              <w:t xml:space="preserve">Manukau Institute of Technology </w:t>
            </w:r>
          </w:p>
        </w:tc>
        <w:tc>
          <w:tcPr>
            <w:tcW w:w="3335" w:type="pct"/>
          </w:tcPr>
          <w:p w14:paraId="0BC7D695" w14:textId="77777777" w:rsidR="00CA6713" w:rsidRPr="00CA6713" w:rsidRDefault="00CA6713" w:rsidP="00CA6713">
            <w:pPr>
              <w:pStyle w:val="TSOtherBodyText"/>
              <w:rPr>
                <w:lang w:val="en-AU"/>
              </w:rPr>
            </w:pPr>
            <w:r w:rsidRPr="00CA6713">
              <w:rPr>
                <w:lang w:val="en-AU"/>
              </w:rPr>
              <w:t>Bachelor of Education (Early Childhood Teaching)</w:t>
            </w:r>
          </w:p>
          <w:p w14:paraId="0C7FC7B5" w14:textId="77777777" w:rsidR="00CA6713" w:rsidRPr="00CA6713" w:rsidRDefault="00CA6713" w:rsidP="00CA6713">
            <w:pPr>
              <w:pStyle w:val="TSOtherBodyText"/>
              <w:rPr>
                <w:lang w:val="en-AU"/>
              </w:rPr>
            </w:pPr>
            <w:r w:rsidRPr="00CA6713">
              <w:rPr>
                <w:lang w:val="en-AU"/>
              </w:rPr>
              <w:t>Bachelor of Education (Primary, Pasifika)</w:t>
            </w:r>
          </w:p>
        </w:tc>
      </w:tr>
      <w:tr w:rsidR="00CA6713" w:rsidRPr="00CA6713" w14:paraId="0A37115C" w14:textId="77777777" w:rsidTr="006612C3">
        <w:tc>
          <w:tcPr>
            <w:tcW w:w="756" w:type="pct"/>
            <w:vMerge/>
          </w:tcPr>
          <w:p w14:paraId="0062B784" w14:textId="77777777" w:rsidR="00CA6713" w:rsidRPr="00CA6713" w:rsidRDefault="00CA6713" w:rsidP="00CA6713">
            <w:pPr>
              <w:pStyle w:val="USBodyText"/>
              <w:spacing w:after="120" w:line="280" w:lineRule="atLeast"/>
              <w:rPr>
                <w:lang w:val="en-AU"/>
              </w:rPr>
            </w:pPr>
          </w:p>
        </w:tc>
        <w:tc>
          <w:tcPr>
            <w:tcW w:w="910" w:type="pct"/>
          </w:tcPr>
          <w:p w14:paraId="6626F54E" w14:textId="77777777" w:rsidR="00CA6713" w:rsidRPr="00CA6713" w:rsidRDefault="00CA6713" w:rsidP="00CA6713">
            <w:pPr>
              <w:pStyle w:val="TSOtherBodyText"/>
              <w:rPr>
                <w:lang w:val="en-AU"/>
              </w:rPr>
            </w:pPr>
            <w:r w:rsidRPr="00CA6713">
              <w:rPr>
                <w:lang w:val="en-AU"/>
              </w:rPr>
              <w:t>Open Polytechnic</w:t>
            </w:r>
          </w:p>
        </w:tc>
        <w:tc>
          <w:tcPr>
            <w:tcW w:w="3335" w:type="pct"/>
          </w:tcPr>
          <w:p w14:paraId="7F9D8D92" w14:textId="77777777" w:rsidR="00CA6713" w:rsidRPr="00CA6713" w:rsidRDefault="00CA6713" w:rsidP="00CA6713">
            <w:pPr>
              <w:pStyle w:val="TSOtherBodyText"/>
              <w:rPr>
                <w:lang w:val="en-AU"/>
              </w:rPr>
            </w:pPr>
            <w:r w:rsidRPr="00CA6713">
              <w:rPr>
                <w:lang w:val="en-AU"/>
              </w:rPr>
              <w:t>Bachelor of Teaching (ECE) Tohu Paetahi Whakaakoranga (ECE)</w:t>
            </w:r>
          </w:p>
          <w:p w14:paraId="5A4D1944" w14:textId="77777777" w:rsidR="00CA6713" w:rsidRPr="00CA6713" w:rsidRDefault="00CA6713" w:rsidP="00CA6713">
            <w:pPr>
              <w:pStyle w:val="TSOtherBodyText"/>
              <w:rPr>
                <w:lang w:val="en-AU"/>
              </w:rPr>
            </w:pPr>
            <w:r w:rsidRPr="00CA6713">
              <w:rPr>
                <w:lang w:val="en-AU"/>
              </w:rPr>
              <w:lastRenderedPageBreak/>
              <w:t xml:space="preserve">Bachelor of Teaching (Primary) Tohu Paetahi Whakaakoranga (Primary) </w:t>
            </w:r>
          </w:p>
          <w:p w14:paraId="5ACF3006" w14:textId="77777777" w:rsidR="00CA6713" w:rsidRPr="00CA6713" w:rsidRDefault="00CA6713" w:rsidP="00CA6713">
            <w:pPr>
              <w:pStyle w:val="TSOtherBodyText"/>
              <w:rPr>
                <w:lang w:val="en-AU"/>
              </w:rPr>
            </w:pPr>
            <w:r w:rsidRPr="00CA6713">
              <w:rPr>
                <w:lang w:val="en-AU"/>
              </w:rPr>
              <w:t>Graduate Diploma in Teaching (Senior Technology Education)</w:t>
            </w:r>
          </w:p>
          <w:p w14:paraId="59724CB7" w14:textId="77777777" w:rsidR="00CA6713" w:rsidRPr="00CA6713" w:rsidRDefault="00CA6713" w:rsidP="00CA6713">
            <w:pPr>
              <w:pStyle w:val="TSOtherBodyText"/>
              <w:rPr>
                <w:lang w:val="en-AU"/>
              </w:rPr>
            </w:pPr>
            <w:r w:rsidRPr="00CA6713">
              <w:rPr>
                <w:lang w:val="en-AU"/>
              </w:rPr>
              <w:t>Graduate Diploma of Teaching (ECE) Te Poutama ki te Pakaritanga (ECE)</w:t>
            </w:r>
          </w:p>
          <w:p w14:paraId="10F5EFF6" w14:textId="77777777" w:rsidR="00CA6713" w:rsidRPr="00CA6713" w:rsidRDefault="00CA6713" w:rsidP="00CA6713">
            <w:pPr>
              <w:pStyle w:val="TSOtherBodyText"/>
              <w:rPr>
                <w:lang w:val="en-AU"/>
              </w:rPr>
            </w:pPr>
            <w:r w:rsidRPr="00CA6713">
              <w:rPr>
                <w:lang w:val="en-AU"/>
              </w:rPr>
              <w:t>Graduate Diploma of Teaching (Primary) Pōkairua paetahi (Kura tuatahi)</w:t>
            </w:r>
          </w:p>
          <w:p w14:paraId="46035DEC" w14:textId="77777777" w:rsidR="00CA6713" w:rsidRPr="00CA6713" w:rsidRDefault="00CA6713" w:rsidP="00CA6713">
            <w:pPr>
              <w:pStyle w:val="TSOtherBodyText"/>
              <w:rPr>
                <w:lang w:val="en-AU"/>
              </w:rPr>
            </w:pPr>
            <w:r w:rsidRPr="00CA6713">
              <w:rPr>
                <w:lang w:val="en-AU"/>
              </w:rPr>
              <w:t>Graduate Diploma of Teaching (Secondary Education)</w:t>
            </w:r>
          </w:p>
        </w:tc>
      </w:tr>
      <w:tr w:rsidR="00CA6713" w:rsidRPr="00CA6713" w14:paraId="355E6607" w14:textId="77777777" w:rsidTr="006612C3">
        <w:tc>
          <w:tcPr>
            <w:tcW w:w="756" w:type="pct"/>
            <w:vMerge/>
          </w:tcPr>
          <w:p w14:paraId="7DA1BC1A" w14:textId="77777777" w:rsidR="00CA6713" w:rsidRPr="00CA6713" w:rsidRDefault="00CA6713" w:rsidP="00CA6713">
            <w:pPr>
              <w:pStyle w:val="USBodyText"/>
              <w:spacing w:after="120" w:line="280" w:lineRule="atLeast"/>
              <w:rPr>
                <w:lang w:val="en-AU"/>
              </w:rPr>
            </w:pPr>
          </w:p>
        </w:tc>
        <w:tc>
          <w:tcPr>
            <w:tcW w:w="910" w:type="pct"/>
          </w:tcPr>
          <w:p w14:paraId="40BA2ECD" w14:textId="77777777" w:rsidR="00CA6713" w:rsidRPr="00CA6713" w:rsidRDefault="00CA6713" w:rsidP="00CA6713">
            <w:pPr>
              <w:pStyle w:val="TSOtherBodyText"/>
              <w:rPr>
                <w:lang w:val="en-AU"/>
              </w:rPr>
            </w:pPr>
            <w:r w:rsidRPr="00CA6713">
              <w:rPr>
                <w:lang w:val="en-AU"/>
              </w:rPr>
              <w:t>Toi-Ohomai</w:t>
            </w:r>
          </w:p>
        </w:tc>
        <w:tc>
          <w:tcPr>
            <w:tcW w:w="3335" w:type="pct"/>
          </w:tcPr>
          <w:p w14:paraId="41A243F7" w14:textId="77777777" w:rsidR="00CA6713" w:rsidRPr="00CA6713" w:rsidRDefault="00CA6713" w:rsidP="00CA6713">
            <w:pPr>
              <w:pStyle w:val="TSOtherBodyText"/>
              <w:rPr>
                <w:lang w:val="en-AU"/>
              </w:rPr>
            </w:pPr>
            <w:r w:rsidRPr="00CA6713">
              <w:rPr>
                <w:lang w:val="en-AU"/>
              </w:rPr>
              <w:t>Te Tohu Paetahi Whakaako Kohungahunga: Bachelor of Teaching Early Childhood Education</w:t>
            </w:r>
          </w:p>
          <w:p w14:paraId="09163E3D" w14:textId="77777777" w:rsidR="00CA6713" w:rsidRPr="00CA6713" w:rsidRDefault="00CA6713" w:rsidP="00CA6713">
            <w:pPr>
              <w:pStyle w:val="TSOtherBodyText"/>
              <w:rPr>
                <w:lang w:val="en-AU"/>
              </w:rPr>
            </w:pPr>
            <w:r w:rsidRPr="00CA6713">
              <w:rPr>
                <w:lang w:val="en-AU"/>
              </w:rPr>
              <w:t>Tohu Paerua o te Whakaako i te Matauranga Kohungahunga: Master of Teaching Early Childhood Education</w:t>
            </w:r>
          </w:p>
        </w:tc>
      </w:tr>
      <w:tr w:rsidR="00CA6713" w:rsidRPr="00CA6713" w14:paraId="5E499A99" w14:textId="77777777" w:rsidTr="006612C3">
        <w:tc>
          <w:tcPr>
            <w:tcW w:w="756" w:type="pct"/>
            <w:vMerge/>
          </w:tcPr>
          <w:p w14:paraId="017CF968" w14:textId="77777777" w:rsidR="00CA6713" w:rsidRPr="00CA6713" w:rsidRDefault="00CA6713" w:rsidP="00CA6713">
            <w:pPr>
              <w:pStyle w:val="USBodyText"/>
              <w:spacing w:after="120" w:line="280" w:lineRule="atLeast"/>
              <w:rPr>
                <w:lang w:val="en-AU"/>
              </w:rPr>
            </w:pPr>
          </w:p>
        </w:tc>
        <w:tc>
          <w:tcPr>
            <w:tcW w:w="910" w:type="pct"/>
          </w:tcPr>
          <w:p w14:paraId="3278BC9C" w14:textId="77777777" w:rsidR="00CA6713" w:rsidRPr="00CA6713" w:rsidRDefault="00CA6713" w:rsidP="00CA6713">
            <w:pPr>
              <w:pStyle w:val="TSOtherBodyText"/>
              <w:rPr>
                <w:lang w:val="en-AU"/>
              </w:rPr>
            </w:pPr>
            <w:r w:rsidRPr="00CA6713">
              <w:rPr>
                <w:lang w:val="en-AU"/>
              </w:rPr>
              <w:t>UCOL</w:t>
            </w:r>
          </w:p>
        </w:tc>
        <w:tc>
          <w:tcPr>
            <w:tcW w:w="3335" w:type="pct"/>
          </w:tcPr>
          <w:p w14:paraId="5CE87E7E" w14:textId="77777777" w:rsidR="00CA6713" w:rsidRPr="00CA6713" w:rsidRDefault="00CA6713" w:rsidP="00CA6713">
            <w:pPr>
              <w:pStyle w:val="TSOtherBodyText"/>
              <w:rPr>
                <w:lang w:val="en-AU"/>
              </w:rPr>
            </w:pPr>
            <w:r w:rsidRPr="00CA6713">
              <w:rPr>
                <w:lang w:val="en-AU"/>
              </w:rPr>
              <w:t>Te Tohu Paetahi Akoranga: Bachelor of Teaching (Early Childhood Education)</w:t>
            </w:r>
          </w:p>
        </w:tc>
      </w:tr>
      <w:tr w:rsidR="00CA6713" w:rsidRPr="00CA6713" w14:paraId="4BCC0489" w14:textId="77777777" w:rsidTr="006612C3">
        <w:tc>
          <w:tcPr>
            <w:tcW w:w="756" w:type="pct"/>
            <w:vMerge/>
          </w:tcPr>
          <w:p w14:paraId="48BCDA9D" w14:textId="77777777" w:rsidR="00CA6713" w:rsidRPr="00CA6713" w:rsidRDefault="00CA6713" w:rsidP="00CA6713">
            <w:pPr>
              <w:pStyle w:val="USBodyText"/>
              <w:spacing w:after="120" w:line="280" w:lineRule="atLeast"/>
              <w:rPr>
                <w:lang w:val="en-AU"/>
              </w:rPr>
            </w:pPr>
          </w:p>
        </w:tc>
        <w:tc>
          <w:tcPr>
            <w:tcW w:w="910" w:type="pct"/>
          </w:tcPr>
          <w:p w14:paraId="101B9C9E" w14:textId="77777777" w:rsidR="00CA6713" w:rsidRPr="00CA6713" w:rsidRDefault="00CA6713" w:rsidP="00CA6713">
            <w:pPr>
              <w:pStyle w:val="TSOtherBodyText"/>
              <w:rPr>
                <w:lang w:val="en-AU"/>
              </w:rPr>
            </w:pPr>
            <w:r w:rsidRPr="00CA6713">
              <w:rPr>
                <w:lang w:val="en-AU"/>
              </w:rPr>
              <w:t xml:space="preserve">UNITEC Institute of Technology </w:t>
            </w:r>
          </w:p>
        </w:tc>
        <w:tc>
          <w:tcPr>
            <w:tcW w:w="3335" w:type="pct"/>
          </w:tcPr>
          <w:p w14:paraId="0E541C3D" w14:textId="77777777" w:rsidR="00CA6713" w:rsidRPr="00CA6713" w:rsidRDefault="00CA6713" w:rsidP="00CA6713">
            <w:pPr>
              <w:pStyle w:val="TSOtherBodyText"/>
              <w:rPr>
                <w:lang w:val="en-AU"/>
              </w:rPr>
            </w:pPr>
            <w:r w:rsidRPr="00CA6713">
              <w:rPr>
                <w:lang w:val="en-AU"/>
              </w:rPr>
              <w:t>Bachelor of Teaching (Early Childhood Education)</w:t>
            </w:r>
          </w:p>
        </w:tc>
      </w:tr>
      <w:tr w:rsidR="00CA6713" w:rsidRPr="00CA6713" w14:paraId="74C6D411" w14:textId="77777777" w:rsidTr="006612C3">
        <w:tc>
          <w:tcPr>
            <w:tcW w:w="756" w:type="pct"/>
            <w:vMerge/>
          </w:tcPr>
          <w:p w14:paraId="6CD6D455" w14:textId="77777777" w:rsidR="00CA6713" w:rsidRPr="00CA6713" w:rsidRDefault="00CA6713" w:rsidP="00CA6713">
            <w:pPr>
              <w:pStyle w:val="USBodyText"/>
              <w:spacing w:after="120" w:line="280" w:lineRule="atLeast"/>
              <w:rPr>
                <w:lang w:val="en-AU"/>
              </w:rPr>
            </w:pPr>
          </w:p>
        </w:tc>
        <w:tc>
          <w:tcPr>
            <w:tcW w:w="910" w:type="pct"/>
          </w:tcPr>
          <w:p w14:paraId="089CB58C" w14:textId="77777777" w:rsidR="00CA6713" w:rsidRPr="00CA6713" w:rsidRDefault="00CA6713" w:rsidP="00CA6713">
            <w:pPr>
              <w:pStyle w:val="TSOtherBodyText"/>
              <w:rPr>
                <w:lang w:val="en-AU"/>
              </w:rPr>
            </w:pPr>
            <w:r w:rsidRPr="00CA6713">
              <w:rPr>
                <w:lang w:val="en-AU"/>
              </w:rPr>
              <w:t xml:space="preserve">Waikato Institute of Technology </w:t>
            </w:r>
          </w:p>
        </w:tc>
        <w:tc>
          <w:tcPr>
            <w:tcW w:w="3335" w:type="pct"/>
          </w:tcPr>
          <w:p w14:paraId="7EED684A" w14:textId="77777777" w:rsidR="00CA6713" w:rsidRPr="00CA6713" w:rsidRDefault="00CA6713" w:rsidP="00CA6713">
            <w:pPr>
              <w:pStyle w:val="TSOtherBodyText"/>
              <w:rPr>
                <w:lang w:val="en-AU"/>
              </w:rPr>
            </w:pPr>
            <w:r w:rsidRPr="00CA6713">
              <w:rPr>
                <w:lang w:val="en-AU"/>
              </w:rPr>
              <w:t>Te Paetahi Akoranga Bachelor of Teaching (ECE)</w:t>
            </w:r>
          </w:p>
        </w:tc>
      </w:tr>
      <w:tr w:rsidR="00CA6713" w:rsidRPr="00CA6713" w14:paraId="181D084F" w14:textId="77777777" w:rsidTr="006612C3">
        <w:tc>
          <w:tcPr>
            <w:tcW w:w="756" w:type="pct"/>
            <w:vMerge w:val="restart"/>
          </w:tcPr>
          <w:p w14:paraId="0AC293AE" w14:textId="77777777" w:rsidR="00CA6713" w:rsidRPr="00CA6713" w:rsidRDefault="09978DB0" w:rsidP="00EB2C69">
            <w:pPr>
              <w:pStyle w:val="TSBodyHeading"/>
              <w:rPr>
                <w:lang w:val="en-AU"/>
              </w:rPr>
            </w:pPr>
            <w:r w:rsidRPr="43B75BAF">
              <w:rPr>
                <w:lang w:val="en-AU"/>
              </w:rPr>
              <w:t>Wānanga</w:t>
            </w:r>
            <w:r w:rsidRPr="43B75BAF">
              <w:rPr>
                <w:rFonts w:ascii="Cambria Math" w:hAnsi="Cambria Math" w:cs="Cambria Math"/>
                <w:lang w:val="en-AU"/>
              </w:rPr>
              <w:t> </w:t>
            </w:r>
          </w:p>
        </w:tc>
        <w:tc>
          <w:tcPr>
            <w:tcW w:w="910" w:type="pct"/>
          </w:tcPr>
          <w:p w14:paraId="65A8254B" w14:textId="77777777" w:rsidR="00CA6713" w:rsidRPr="00CA6713" w:rsidRDefault="09978DB0" w:rsidP="00CA6713">
            <w:pPr>
              <w:pStyle w:val="TSOtherBodyText"/>
              <w:rPr>
                <w:lang w:val="en-AU"/>
              </w:rPr>
            </w:pPr>
            <w:r w:rsidRPr="43B75BAF">
              <w:rPr>
                <w:lang w:val="en-AU"/>
              </w:rPr>
              <w:t>Te</w:t>
            </w:r>
            <w:r w:rsidRPr="43B75BAF">
              <w:rPr>
                <w:rFonts w:ascii="Cambria Math" w:hAnsi="Cambria Math" w:cs="Cambria Math"/>
                <w:lang w:val="en-AU"/>
              </w:rPr>
              <w:t> </w:t>
            </w:r>
            <w:r w:rsidRPr="43B75BAF">
              <w:rPr>
                <w:lang w:val="en-AU"/>
              </w:rPr>
              <w:t>W</w:t>
            </w:r>
            <w:r w:rsidRPr="43B75BAF">
              <w:rPr>
                <w:rFonts w:cs="Cera Pro"/>
                <w:lang w:val="en-AU"/>
              </w:rPr>
              <w:t>ā</w:t>
            </w:r>
            <w:r w:rsidRPr="43B75BAF">
              <w:rPr>
                <w:lang w:val="en-AU"/>
              </w:rPr>
              <w:t>nanga</w:t>
            </w:r>
            <w:r w:rsidR="00CA6713" w:rsidRPr="00CA6713">
              <w:rPr>
                <w:lang w:val="en-AU"/>
              </w:rPr>
              <w:t xml:space="preserve"> o Aotearoa </w:t>
            </w:r>
          </w:p>
        </w:tc>
        <w:tc>
          <w:tcPr>
            <w:tcW w:w="3335" w:type="pct"/>
          </w:tcPr>
          <w:p w14:paraId="7EAB9917" w14:textId="77777777" w:rsidR="00CA6713" w:rsidRPr="00CA6713" w:rsidRDefault="00CA6713" w:rsidP="00CA6713">
            <w:pPr>
              <w:pStyle w:val="TSOtherBodyText"/>
              <w:rPr>
                <w:lang w:val="en-AU"/>
              </w:rPr>
            </w:pPr>
            <w:r w:rsidRPr="00CA6713">
              <w:rPr>
                <w:lang w:val="en-AU"/>
              </w:rPr>
              <w:t>He Korowai Ākonga: Bachelor of Education (Primary Teaching)</w:t>
            </w:r>
          </w:p>
        </w:tc>
      </w:tr>
      <w:tr w:rsidR="00CA6713" w:rsidRPr="00CA6713" w14:paraId="5101FBD5" w14:textId="77777777" w:rsidTr="006612C3">
        <w:tc>
          <w:tcPr>
            <w:tcW w:w="756" w:type="pct"/>
            <w:vMerge/>
          </w:tcPr>
          <w:p w14:paraId="2CD48967" w14:textId="77777777" w:rsidR="00CA6713" w:rsidRPr="00CA6713" w:rsidRDefault="00CA6713" w:rsidP="00EB2C69">
            <w:pPr>
              <w:pStyle w:val="TSBodyHeading"/>
              <w:rPr>
                <w:lang w:val="en-AU"/>
              </w:rPr>
            </w:pPr>
          </w:p>
        </w:tc>
        <w:tc>
          <w:tcPr>
            <w:tcW w:w="910" w:type="pct"/>
          </w:tcPr>
          <w:p w14:paraId="70A811ED" w14:textId="77777777" w:rsidR="00CA6713" w:rsidRPr="00CA6713" w:rsidRDefault="09978DB0" w:rsidP="00CA6713">
            <w:pPr>
              <w:pStyle w:val="TSOtherBodyText"/>
              <w:rPr>
                <w:lang w:val="en-AU"/>
              </w:rPr>
            </w:pPr>
            <w:r w:rsidRPr="43B75BAF">
              <w:rPr>
                <w:lang w:val="en-AU"/>
              </w:rPr>
              <w:t>Te</w:t>
            </w:r>
            <w:r w:rsidRPr="43B75BAF">
              <w:rPr>
                <w:rFonts w:ascii="Cambria Math" w:hAnsi="Cambria Math" w:cs="Cambria Math"/>
                <w:lang w:val="en-AU"/>
              </w:rPr>
              <w:t> </w:t>
            </w:r>
            <w:r w:rsidRPr="43B75BAF">
              <w:rPr>
                <w:lang w:val="en-AU"/>
              </w:rPr>
              <w:t>W</w:t>
            </w:r>
            <w:r w:rsidRPr="43B75BAF">
              <w:rPr>
                <w:rFonts w:cs="Cera Pro"/>
                <w:lang w:val="en-AU"/>
              </w:rPr>
              <w:t>ā</w:t>
            </w:r>
            <w:r w:rsidRPr="43B75BAF">
              <w:rPr>
                <w:lang w:val="en-AU"/>
              </w:rPr>
              <w:t>nanga</w:t>
            </w:r>
            <w:r w:rsidR="00CA6713" w:rsidRPr="00CA6713">
              <w:rPr>
                <w:lang w:val="en-AU"/>
              </w:rPr>
              <w:t xml:space="preserve"> o Raukawa </w:t>
            </w:r>
          </w:p>
        </w:tc>
        <w:tc>
          <w:tcPr>
            <w:tcW w:w="3335" w:type="pct"/>
          </w:tcPr>
          <w:p w14:paraId="7AC4A54F" w14:textId="77777777" w:rsidR="00CA6713" w:rsidRPr="00CA6713" w:rsidRDefault="00CA6713" w:rsidP="00CA6713">
            <w:pPr>
              <w:pStyle w:val="TSOtherBodyText"/>
              <w:rPr>
                <w:lang w:val="en-AU"/>
              </w:rPr>
            </w:pPr>
            <w:r w:rsidRPr="00CA6713">
              <w:rPr>
                <w:lang w:val="en-AU"/>
              </w:rPr>
              <w:t>Poutuarongo Whakaakoranga (PW) Bachelor of Teaching (Māori Medium) Bachelors Degree</w:t>
            </w:r>
          </w:p>
          <w:p w14:paraId="6506BD69" w14:textId="77777777" w:rsidR="00CA6713" w:rsidRPr="00CA6713" w:rsidRDefault="00CA6713" w:rsidP="00CA6713">
            <w:pPr>
              <w:pStyle w:val="TSOtherBodyText"/>
              <w:rPr>
                <w:lang w:val="en-AU"/>
              </w:rPr>
            </w:pPr>
            <w:r w:rsidRPr="00CA6713">
              <w:rPr>
                <w:lang w:val="en-AU"/>
              </w:rPr>
              <w:t>Poutuarongo Te Rangakura Kaiwhakaako (PTRK) Bachelor of Teaching (Bilingual)</w:t>
            </w:r>
          </w:p>
          <w:p w14:paraId="4E9D4CC5" w14:textId="77777777" w:rsidR="00CA6713" w:rsidRPr="00CA6713" w:rsidRDefault="00CA6713" w:rsidP="00CA6713">
            <w:pPr>
              <w:pStyle w:val="TSOtherBodyText"/>
              <w:rPr>
                <w:lang w:val="en-AU"/>
              </w:rPr>
            </w:pPr>
            <w:r w:rsidRPr="00CA6713">
              <w:rPr>
                <w:lang w:val="en-AU"/>
              </w:rPr>
              <w:t>Poutāhu Whakaakoranga Akorau (PtWA) Postgraduate Diploma of Blended Teaching &amp; Learning Level 8 Primary (Māori Medium)</w:t>
            </w:r>
          </w:p>
          <w:p w14:paraId="0397036D" w14:textId="77777777" w:rsidR="00CA6713" w:rsidRPr="00CA6713" w:rsidRDefault="00CA6713" w:rsidP="00CA6713">
            <w:pPr>
              <w:pStyle w:val="TSOtherBodyText"/>
              <w:rPr>
                <w:lang w:val="en-AU"/>
              </w:rPr>
            </w:pPr>
            <w:r w:rsidRPr="00CA6713">
              <w:rPr>
                <w:lang w:val="en-AU"/>
              </w:rPr>
              <w:t>Poutuarongo Whakaakoranga Wharekura (PWW) (Taumata 7 Rumaki Māori EBITE) Bachelors Degree in Secondary School Teaching</w:t>
            </w:r>
          </w:p>
          <w:p w14:paraId="536B289D" w14:textId="77777777" w:rsidR="00CA6713" w:rsidRPr="00CA6713" w:rsidRDefault="00CA6713" w:rsidP="00CA6713">
            <w:pPr>
              <w:pStyle w:val="TSOtherBodyText"/>
              <w:rPr>
                <w:lang w:val="en-AU"/>
              </w:rPr>
            </w:pPr>
            <w:r w:rsidRPr="00CA6713">
              <w:rPr>
                <w:lang w:val="en-AU"/>
              </w:rPr>
              <w:t>Poutuarongo Whakaakoranga Kōhungahunga (PWK) (Taumata 7 Rumaki Māori Early Childhood) Bachelor of Teaching Early Childhood</w:t>
            </w:r>
          </w:p>
        </w:tc>
      </w:tr>
      <w:tr w:rsidR="00CA6713" w:rsidRPr="00CA6713" w14:paraId="78780B94" w14:textId="77777777" w:rsidTr="006612C3">
        <w:tc>
          <w:tcPr>
            <w:tcW w:w="756" w:type="pct"/>
            <w:vMerge/>
          </w:tcPr>
          <w:p w14:paraId="5426EA54" w14:textId="77777777" w:rsidR="00CA6713" w:rsidRPr="00CA6713" w:rsidRDefault="00CA6713" w:rsidP="00EB2C69">
            <w:pPr>
              <w:pStyle w:val="TSBodyHeading"/>
              <w:rPr>
                <w:lang w:val="en-AU"/>
              </w:rPr>
            </w:pPr>
          </w:p>
        </w:tc>
        <w:tc>
          <w:tcPr>
            <w:tcW w:w="910" w:type="pct"/>
          </w:tcPr>
          <w:p w14:paraId="73F86B15" w14:textId="77777777" w:rsidR="00CA6713" w:rsidRPr="00CA6713" w:rsidRDefault="00CA6713" w:rsidP="00CA6713">
            <w:pPr>
              <w:pStyle w:val="TSOtherBodyText"/>
              <w:rPr>
                <w:lang w:val="it-IT"/>
              </w:rPr>
            </w:pPr>
            <w:r w:rsidRPr="00CA6713">
              <w:rPr>
                <w:lang w:val="it-IT"/>
              </w:rPr>
              <w:t>Te Wānanga Takiura o Ngā Kura Kaupapa Māori o Aotearoa</w:t>
            </w:r>
          </w:p>
        </w:tc>
        <w:tc>
          <w:tcPr>
            <w:tcW w:w="3335" w:type="pct"/>
          </w:tcPr>
          <w:p w14:paraId="1C310B47" w14:textId="77777777" w:rsidR="00CA6713" w:rsidRPr="00CA6713" w:rsidRDefault="00CA6713" w:rsidP="00CA6713">
            <w:pPr>
              <w:pStyle w:val="TSOtherBodyText"/>
              <w:rPr>
                <w:lang w:val="en-AU"/>
              </w:rPr>
            </w:pPr>
            <w:r w:rsidRPr="00CA6713">
              <w:rPr>
                <w:lang w:val="en-AU"/>
              </w:rPr>
              <w:t>Bachelor of Teaching Kura Kaupapa Māori</w:t>
            </w:r>
          </w:p>
          <w:p w14:paraId="208A6602" w14:textId="77777777" w:rsidR="00CA6713" w:rsidRPr="00CA6713" w:rsidRDefault="00CA6713" w:rsidP="00CA6713">
            <w:pPr>
              <w:pStyle w:val="TSOtherBodyText"/>
              <w:rPr>
                <w:lang w:val="en-AU"/>
              </w:rPr>
            </w:pPr>
            <w:r w:rsidRPr="00CA6713">
              <w:rPr>
                <w:lang w:val="en-AU"/>
              </w:rPr>
              <w:t>Te Tohu Paetahi Ako Manukura ā Iwi</w:t>
            </w:r>
          </w:p>
        </w:tc>
      </w:tr>
      <w:tr w:rsidR="00CA6713" w:rsidRPr="00CA6713" w14:paraId="0ED7CB21" w14:textId="77777777" w:rsidTr="006612C3">
        <w:tc>
          <w:tcPr>
            <w:tcW w:w="756" w:type="pct"/>
            <w:vMerge/>
          </w:tcPr>
          <w:p w14:paraId="30611717" w14:textId="77777777" w:rsidR="00CA6713" w:rsidRPr="00CA6713" w:rsidRDefault="00CA6713" w:rsidP="00EB2C69">
            <w:pPr>
              <w:pStyle w:val="TSBodyHeading"/>
              <w:rPr>
                <w:lang w:val="en-AU"/>
              </w:rPr>
            </w:pPr>
          </w:p>
        </w:tc>
        <w:tc>
          <w:tcPr>
            <w:tcW w:w="910" w:type="pct"/>
          </w:tcPr>
          <w:p w14:paraId="17BF9D9B" w14:textId="77777777" w:rsidR="00CA6713" w:rsidRPr="00CA6713" w:rsidRDefault="09978DB0" w:rsidP="00CA6713">
            <w:pPr>
              <w:pStyle w:val="TSOtherBodyText"/>
              <w:rPr>
                <w:lang w:val="en-AU"/>
              </w:rPr>
            </w:pPr>
            <w:r w:rsidRPr="43B75BAF">
              <w:rPr>
                <w:lang w:val="en-AU"/>
              </w:rPr>
              <w:t>Te</w:t>
            </w:r>
            <w:r w:rsidRPr="43B75BAF">
              <w:rPr>
                <w:rFonts w:ascii="Cambria Math" w:hAnsi="Cambria Math" w:cs="Cambria Math"/>
                <w:lang w:val="en-AU"/>
              </w:rPr>
              <w:t> </w:t>
            </w:r>
            <w:r w:rsidRPr="43B75BAF">
              <w:rPr>
                <w:lang w:val="en-AU"/>
              </w:rPr>
              <w:t>Whare W</w:t>
            </w:r>
            <w:r w:rsidRPr="43B75BAF">
              <w:rPr>
                <w:rFonts w:cs="Cera Pro"/>
                <w:lang w:val="en-AU"/>
              </w:rPr>
              <w:t>ā</w:t>
            </w:r>
            <w:r w:rsidRPr="43B75BAF">
              <w:rPr>
                <w:lang w:val="en-AU"/>
              </w:rPr>
              <w:t>nanga o</w:t>
            </w:r>
            <w:r w:rsidRPr="43B75BAF">
              <w:rPr>
                <w:rFonts w:ascii="Cambria Math" w:hAnsi="Cambria Math" w:cs="Cambria Math"/>
                <w:lang w:val="en-AU"/>
              </w:rPr>
              <w:t> </w:t>
            </w:r>
            <w:r w:rsidRPr="43B75BAF">
              <w:rPr>
                <w:lang w:val="en-AU"/>
              </w:rPr>
              <w:t>Awanui</w:t>
            </w:r>
            <w:r w:rsidRPr="43B75BAF">
              <w:rPr>
                <w:rFonts w:cs="Cera Pro"/>
                <w:lang w:val="en-AU"/>
              </w:rPr>
              <w:t>ā</w:t>
            </w:r>
            <w:r w:rsidRPr="43B75BAF">
              <w:rPr>
                <w:lang w:val="en-AU"/>
              </w:rPr>
              <w:t>rangi</w:t>
            </w:r>
            <w:r w:rsidRPr="43B75BAF">
              <w:rPr>
                <w:rFonts w:ascii="Cambria Math" w:hAnsi="Cambria Math" w:cs="Cambria Math"/>
                <w:lang w:val="en-AU"/>
              </w:rPr>
              <w:t> </w:t>
            </w:r>
          </w:p>
        </w:tc>
        <w:tc>
          <w:tcPr>
            <w:tcW w:w="3335" w:type="pct"/>
          </w:tcPr>
          <w:p w14:paraId="2D0E0B64" w14:textId="77777777" w:rsidR="00CA6713" w:rsidRPr="00CA6713" w:rsidRDefault="00CA6713" w:rsidP="00CA6713">
            <w:pPr>
              <w:pStyle w:val="TSOtherBodyText"/>
              <w:rPr>
                <w:lang w:val="en-AU"/>
              </w:rPr>
            </w:pPr>
            <w:r w:rsidRPr="00CA6713">
              <w:rPr>
                <w:lang w:val="en-AU"/>
              </w:rPr>
              <w:t>Te Tohu Paetahi Ako – Bachelor of Education (Teaching)</w:t>
            </w:r>
          </w:p>
        </w:tc>
      </w:tr>
      <w:tr w:rsidR="00CA6713" w:rsidRPr="00CA6713" w14:paraId="61510BA4" w14:textId="77777777" w:rsidTr="006612C3">
        <w:tc>
          <w:tcPr>
            <w:tcW w:w="756" w:type="pct"/>
            <w:vMerge w:val="restart"/>
          </w:tcPr>
          <w:p w14:paraId="079875A0" w14:textId="77777777" w:rsidR="00CA6713" w:rsidRPr="00CA6713" w:rsidRDefault="00CA6713" w:rsidP="00EB2C69">
            <w:pPr>
              <w:pStyle w:val="TSBodyHeading"/>
              <w:rPr>
                <w:lang w:val="en-AU"/>
              </w:rPr>
            </w:pPr>
            <w:r w:rsidRPr="00CA6713">
              <w:rPr>
                <w:lang w:val="en-AU"/>
              </w:rPr>
              <w:t>Private Training Establishments (PTEs)</w:t>
            </w:r>
          </w:p>
        </w:tc>
        <w:tc>
          <w:tcPr>
            <w:tcW w:w="910" w:type="pct"/>
          </w:tcPr>
          <w:p w14:paraId="7EE53D48" w14:textId="77777777" w:rsidR="00CA6713" w:rsidRPr="00CA6713" w:rsidRDefault="00CA6713" w:rsidP="00CA6713">
            <w:pPr>
              <w:pStyle w:val="TSOtherBodyText"/>
              <w:rPr>
                <w:lang w:val="en-AU"/>
              </w:rPr>
            </w:pPr>
            <w:r w:rsidRPr="00CA6713">
              <w:rPr>
                <w:lang w:val="en-AU"/>
              </w:rPr>
              <w:t>Bethlehem Tertiary Institute</w:t>
            </w:r>
          </w:p>
        </w:tc>
        <w:tc>
          <w:tcPr>
            <w:tcW w:w="3335" w:type="pct"/>
          </w:tcPr>
          <w:p w14:paraId="3B6D0245" w14:textId="77777777" w:rsidR="00CA6713" w:rsidRPr="00CA6713" w:rsidRDefault="00CA6713" w:rsidP="00CA6713">
            <w:pPr>
              <w:pStyle w:val="TSOtherBodyText"/>
              <w:rPr>
                <w:lang w:val="en-AU"/>
              </w:rPr>
            </w:pPr>
            <w:r w:rsidRPr="00CA6713">
              <w:rPr>
                <w:lang w:val="en-AU"/>
              </w:rPr>
              <w:t>Bachelor of Education (Teaching) Primary</w:t>
            </w:r>
          </w:p>
          <w:p w14:paraId="5FFCE882" w14:textId="77777777" w:rsidR="00CA6713" w:rsidRPr="00CA6713" w:rsidRDefault="00CA6713" w:rsidP="00CA6713">
            <w:pPr>
              <w:pStyle w:val="TSOtherBodyText"/>
              <w:rPr>
                <w:lang w:val="en-AU"/>
              </w:rPr>
            </w:pPr>
            <w:r w:rsidRPr="00CA6713">
              <w:rPr>
                <w:lang w:val="en-AU"/>
              </w:rPr>
              <w:t>Bachelor of Education (Teaching) Early Childhood Education</w:t>
            </w:r>
          </w:p>
          <w:p w14:paraId="04709C18" w14:textId="77777777" w:rsidR="00CA6713" w:rsidRPr="00CA6713" w:rsidRDefault="00CA6713" w:rsidP="00CA6713">
            <w:pPr>
              <w:pStyle w:val="TSOtherBodyText"/>
              <w:rPr>
                <w:lang w:val="en-AU"/>
              </w:rPr>
            </w:pPr>
            <w:r w:rsidRPr="00CA6713">
              <w:rPr>
                <w:lang w:val="en-AU"/>
              </w:rPr>
              <w:t>Graduate Diploma of Teaching (Early Childhood Education)</w:t>
            </w:r>
          </w:p>
          <w:p w14:paraId="6F210887" w14:textId="77777777" w:rsidR="00CA6713" w:rsidRPr="00CA6713" w:rsidRDefault="00CA6713" w:rsidP="00CA6713">
            <w:pPr>
              <w:pStyle w:val="TSOtherBodyText"/>
              <w:rPr>
                <w:lang w:val="en-AU"/>
              </w:rPr>
            </w:pPr>
            <w:r w:rsidRPr="00CA6713">
              <w:rPr>
                <w:lang w:val="en-AU"/>
              </w:rPr>
              <w:t>Graduate Diploma of Teaching (Secondary)</w:t>
            </w:r>
          </w:p>
        </w:tc>
      </w:tr>
      <w:tr w:rsidR="00CA6713" w:rsidRPr="00CA6713" w14:paraId="003D2CB8" w14:textId="77777777" w:rsidTr="006612C3">
        <w:tc>
          <w:tcPr>
            <w:tcW w:w="756" w:type="pct"/>
            <w:vMerge/>
          </w:tcPr>
          <w:p w14:paraId="7D38824B" w14:textId="77777777" w:rsidR="00CA6713" w:rsidRPr="00CA6713" w:rsidRDefault="00CA6713" w:rsidP="00CA6713">
            <w:pPr>
              <w:pStyle w:val="USBodyText"/>
              <w:spacing w:after="120" w:line="280" w:lineRule="atLeast"/>
              <w:rPr>
                <w:lang w:val="en-AU"/>
              </w:rPr>
            </w:pPr>
          </w:p>
        </w:tc>
        <w:tc>
          <w:tcPr>
            <w:tcW w:w="910" w:type="pct"/>
          </w:tcPr>
          <w:p w14:paraId="7BEB70C7" w14:textId="77777777" w:rsidR="00CA6713" w:rsidRPr="00CA6713" w:rsidRDefault="00CA6713" w:rsidP="00CA6713">
            <w:pPr>
              <w:pStyle w:val="TSOtherBodyText"/>
              <w:rPr>
                <w:lang w:val="en-AU"/>
              </w:rPr>
            </w:pPr>
            <w:r w:rsidRPr="00CA6713">
              <w:rPr>
                <w:lang w:val="en-AU"/>
              </w:rPr>
              <w:t>Bodhi Institute</w:t>
            </w:r>
          </w:p>
        </w:tc>
        <w:tc>
          <w:tcPr>
            <w:tcW w:w="3335" w:type="pct"/>
          </w:tcPr>
          <w:p w14:paraId="1252741D" w14:textId="77777777" w:rsidR="00CA6713" w:rsidRPr="00CA6713" w:rsidRDefault="00CA6713" w:rsidP="00CA6713">
            <w:pPr>
              <w:pStyle w:val="TSOtherBodyText"/>
              <w:rPr>
                <w:lang w:val="en-AU"/>
              </w:rPr>
            </w:pPr>
            <w:r w:rsidRPr="00CA6713">
              <w:rPr>
                <w:lang w:val="en-AU"/>
              </w:rPr>
              <w:t>Bachelor of Teaching (ECE)</w:t>
            </w:r>
          </w:p>
        </w:tc>
      </w:tr>
      <w:tr w:rsidR="00CA6713" w:rsidRPr="00CA6713" w14:paraId="2D8986E8" w14:textId="77777777" w:rsidTr="006612C3">
        <w:tc>
          <w:tcPr>
            <w:tcW w:w="756" w:type="pct"/>
            <w:vMerge/>
          </w:tcPr>
          <w:p w14:paraId="45E93A74" w14:textId="77777777" w:rsidR="00CA6713" w:rsidRPr="00CA6713" w:rsidRDefault="00CA6713" w:rsidP="00CA6713">
            <w:pPr>
              <w:pStyle w:val="USBodyText"/>
              <w:spacing w:after="120" w:line="280" w:lineRule="atLeast"/>
              <w:rPr>
                <w:lang w:val="en-AU"/>
              </w:rPr>
            </w:pPr>
          </w:p>
        </w:tc>
        <w:tc>
          <w:tcPr>
            <w:tcW w:w="910" w:type="pct"/>
          </w:tcPr>
          <w:p w14:paraId="1F74430B" w14:textId="77777777" w:rsidR="00CA6713" w:rsidRPr="00CA6713" w:rsidRDefault="00CA6713" w:rsidP="00CA6713">
            <w:pPr>
              <w:pStyle w:val="TSOtherBodyText"/>
              <w:rPr>
                <w:lang w:val="en-AU"/>
              </w:rPr>
            </w:pPr>
            <w:r w:rsidRPr="00CA6713">
              <w:rPr>
                <w:lang w:val="en-AU"/>
              </w:rPr>
              <w:t>Cavalli College</w:t>
            </w:r>
          </w:p>
        </w:tc>
        <w:tc>
          <w:tcPr>
            <w:tcW w:w="3335" w:type="pct"/>
          </w:tcPr>
          <w:p w14:paraId="4A3CC91F" w14:textId="77777777" w:rsidR="00CA6713" w:rsidRPr="00CA6713" w:rsidRDefault="00CA6713" w:rsidP="00CA6713">
            <w:pPr>
              <w:pStyle w:val="TSOtherBodyText"/>
              <w:rPr>
                <w:lang w:val="en-AU"/>
              </w:rPr>
            </w:pPr>
            <w:r w:rsidRPr="00CA6713">
              <w:rPr>
                <w:lang w:val="en-AU"/>
              </w:rPr>
              <w:t>Bachelor of Teaching (Early Childhood Education)</w:t>
            </w:r>
          </w:p>
          <w:p w14:paraId="18FC9915" w14:textId="77777777" w:rsidR="00CA6713" w:rsidRPr="00CA6713" w:rsidRDefault="00CA6713" w:rsidP="00CA6713">
            <w:pPr>
              <w:pStyle w:val="TSOtherBodyText"/>
              <w:rPr>
                <w:lang w:val="en-AU"/>
              </w:rPr>
            </w:pPr>
            <w:r w:rsidRPr="00CA6713">
              <w:rPr>
                <w:lang w:val="en-AU"/>
              </w:rPr>
              <w:t>Graduate Diploma in Teaching (Early Childhood Education)</w:t>
            </w:r>
          </w:p>
        </w:tc>
      </w:tr>
      <w:tr w:rsidR="00CA6713" w:rsidRPr="00CA6713" w14:paraId="03AA86E2" w14:textId="77777777" w:rsidTr="006612C3">
        <w:tc>
          <w:tcPr>
            <w:tcW w:w="756" w:type="pct"/>
            <w:vMerge/>
          </w:tcPr>
          <w:p w14:paraId="100948AD" w14:textId="77777777" w:rsidR="00CA6713" w:rsidRPr="00CA6713" w:rsidRDefault="00CA6713" w:rsidP="00CA6713">
            <w:pPr>
              <w:pStyle w:val="USBodyText"/>
              <w:spacing w:after="120" w:line="280" w:lineRule="atLeast"/>
              <w:rPr>
                <w:lang w:val="en-AU"/>
              </w:rPr>
            </w:pPr>
          </w:p>
        </w:tc>
        <w:tc>
          <w:tcPr>
            <w:tcW w:w="910" w:type="pct"/>
          </w:tcPr>
          <w:p w14:paraId="4F35D8E2" w14:textId="77777777" w:rsidR="00CA6713" w:rsidRPr="00CA6713" w:rsidRDefault="00CA6713" w:rsidP="00CA6713">
            <w:pPr>
              <w:pStyle w:val="TSOtherBodyText"/>
              <w:rPr>
                <w:lang w:val="en-AU"/>
              </w:rPr>
            </w:pPr>
            <w:r w:rsidRPr="00CA6713">
              <w:rPr>
                <w:lang w:val="en-AU"/>
              </w:rPr>
              <w:t>ICL Graduate Business School</w:t>
            </w:r>
          </w:p>
        </w:tc>
        <w:tc>
          <w:tcPr>
            <w:tcW w:w="3335" w:type="pct"/>
          </w:tcPr>
          <w:p w14:paraId="5FCE2D3E" w14:textId="77777777" w:rsidR="00CA6713" w:rsidRPr="00CA6713" w:rsidRDefault="00CA6713" w:rsidP="00CA6713">
            <w:pPr>
              <w:pStyle w:val="TSOtherBodyText"/>
              <w:rPr>
                <w:lang w:val="en-AU"/>
              </w:rPr>
            </w:pPr>
            <w:r w:rsidRPr="00CA6713">
              <w:rPr>
                <w:lang w:val="en-AU"/>
              </w:rPr>
              <w:t>Graduate Diploma in Teaching (Early Childhood Education)</w:t>
            </w:r>
          </w:p>
        </w:tc>
      </w:tr>
      <w:tr w:rsidR="00CA6713" w:rsidRPr="00CA6713" w14:paraId="3333815F" w14:textId="77777777" w:rsidTr="006612C3">
        <w:tc>
          <w:tcPr>
            <w:tcW w:w="756" w:type="pct"/>
            <w:vMerge/>
          </w:tcPr>
          <w:p w14:paraId="40053A08" w14:textId="77777777" w:rsidR="00CA6713" w:rsidRPr="00CA6713" w:rsidRDefault="00CA6713" w:rsidP="00CA6713">
            <w:pPr>
              <w:pStyle w:val="USBodyText"/>
              <w:spacing w:after="120" w:line="280" w:lineRule="atLeast"/>
              <w:rPr>
                <w:lang w:val="en-AU"/>
              </w:rPr>
            </w:pPr>
          </w:p>
        </w:tc>
        <w:tc>
          <w:tcPr>
            <w:tcW w:w="910" w:type="pct"/>
          </w:tcPr>
          <w:p w14:paraId="23902C02" w14:textId="77777777" w:rsidR="00CA6713" w:rsidRPr="00CA6713" w:rsidRDefault="00CA6713" w:rsidP="00CA6713">
            <w:pPr>
              <w:pStyle w:val="TSOtherBodyText"/>
              <w:rPr>
                <w:lang w:val="en-AU"/>
              </w:rPr>
            </w:pPr>
            <w:r w:rsidRPr="00CA6713">
              <w:rPr>
                <w:lang w:val="en-AU"/>
              </w:rPr>
              <w:t>Laidlaw College</w:t>
            </w:r>
          </w:p>
        </w:tc>
        <w:tc>
          <w:tcPr>
            <w:tcW w:w="3335" w:type="pct"/>
          </w:tcPr>
          <w:p w14:paraId="6CF5202A" w14:textId="77777777" w:rsidR="00CA6713" w:rsidRPr="00CA6713" w:rsidRDefault="00CA6713" w:rsidP="00CA6713">
            <w:pPr>
              <w:pStyle w:val="TSOtherBodyText"/>
              <w:rPr>
                <w:lang w:val="en-AU"/>
              </w:rPr>
            </w:pPr>
            <w:r w:rsidRPr="00CA6713">
              <w:rPr>
                <w:lang w:val="en-AU"/>
              </w:rPr>
              <w:t>Bachelor of Education (Primary)</w:t>
            </w:r>
          </w:p>
          <w:p w14:paraId="12DFEA7D" w14:textId="77777777" w:rsidR="00CA6713" w:rsidRPr="00CA6713" w:rsidRDefault="00CA6713" w:rsidP="00CA6713">
            <w:pPr>
              <w:pStyle w:val="TSOtherBodyText"/>
              <w:rPr>
                <w:lang w:val="en-AU"/>
              </w:rPr>
            </w:pPr>
            <w:r w:rsidRPr="00CA6713">
              <w:rPr>
                <w:lang w:val="en-AU"/>
              </w:rPr>
              <w:t>Graduate Diploma of Education (Secondary)</w:t>
            </w:r>
          </w:p>
        </w:tc>
      </w:tr>
      <w:tr w:rsidR="00CA6713" w:rsidRPr="00CA6713" w14:paraId="200DAA94" w14:textId="77777777" w:rsidTr="006612C3">
        <w:tc>
          <w:tcPr>
            <w:tcW w:w="756" w:type="pct"/>
            <w:vMerge/>
          </w:tcPr>
          <w:p w14:paraId="59F6E9AF" w14:textId="77777777" w:rsidR="00CA6713" w:rsidRPr="00CA6713" w:rsidRDefault="00CA6713" w:rsidP="00CA6713">
            <w:pPr>
              <w:pStyle w:val="USBodyText"/>
              <w:spacing w:after="120" w:line="280" w:lineRule="atLeast"/>
              <w:rPr>
                <w:lang w:val="en-AU"/>
              </w:rPr>
            </w:pPr>
          </w:p>
        </w:tc>
        <w:tc>
          <w:tcPr>
            <w:tcW w:w="910" w:type="pct"/>
          </w:tcPr>
          <w:p w14:paraId="706FC60C" w14:textId="77777777" w:rsidR="00CA6713" w:rsidRPr="00CA6713" w:rsidRDefault="00CA6713" w:rsidP="00CA6713">
            <w:pPr>
              <w:pStyle w:val="TSOtherBodyText"/>
              <w:rPr>
                <w:lang w:val="en-AU"/>
              </w:rPr>
            </w:pPr>
            <w:r w:rsidRPr="00CA6713">
              <w:rPr>
                <w:lang w:val="en-AU"/>
              </w:rPr>
              <w:t>New Zealand Graduate School of Education</w:t>
            </w:r>
          </w:p>
        </w:tc>
        <w:tc>
          <w:tcPr>
            <w:tcW w:w="3335" w:type="pct"/>
          </w:tcPr>
          <w:p w14:paraId="0B0DB4A5" w14:textId="77777777" w:rsidR="00CA6713" w:rsidRPr="00CA6713" w:rsidRDefault="00CA6713" w:rsidP="00CA6713">
            <w:pPr>
              <w:pStyle w:val="TSOtherBodyText"/>
              <w:rPr>
                <w:lang w:val="en-AU"/>
              </w:rPr>
            </w:pPr>
            <w:r w:rsidRPr="00CA6713">
              <w:rPr>
                <w:lang w:val="en-AU"/>
              </w:rPr>
              <w:t>Postgraduate Diploma in Teaching (Primary)</w:t>
            </w:r>
          </w:p>
          <w:p w14:paraId="27D7E234" w14:textId="77777777" w:rsidR="00CA6713" w:rsidRPr="00CA6713" w:rsidRDefault="00CA6713" w:rsidP="00CA6713">
            <w:pPr>
              <w:pStyle w:val="TSOtherBodyText"/>
              <w:rPr>
                <w:lang w:val="en-AU"/>
              </w:rPr>
            </w:pPr>
            <w:r w:rsidRPr="00CA6713">
              <w:rPr>
                <w:lang w:val="en-AU"/>
              </w:rPr>
              <w:t>Postgraduate Diploma in Teaching (Secondary)</w:t>
            </w:r>
          </w:p>
        </w:tc>
      </w:tr>
      <w:tr w:rsidR="00CA6713" w:rsidRPr="00CA6713" w14:paraId="2CCC8E4B" w14:textId="77777777" w:rsidTr="006612C3">
        <w:tc>
          <w:tcPr>
            <w:tcW w:w="756" w:type="pct"/>
            <w:vMerge/>
          </w:tcPr>
          <w:p w14:paraId="4755A065" w14:textId="77777777" w:rsidR="00CA6713" w:rsidRPr="00CA6713" w:rsidRDefault="00CA6713" w:rsidP="00CA6713">
            <w:pPr>
              <w:pStyle w:val="USBodyText"/>
              <w:spacing w:after="120" w:line="280" w:lineRule="atLeast"/>
              <w:rPr>
                <w:lang w:val="en-AU"/>
              </w:rPr>
            </w:pPr>
          </w:p>
        </w:tc>
        <w:tc>
          <w:tcPr>
            <w:tcW w:w="910" w:type="pct"/>
          </w:tcPr>
          <w:p w14:paraId="3AF7181C" w14:textId="60AA5B65" w:rsidR="00CA6713" w:rsidRPr="00CA6713" w:rsidRDefault="00CA6713" w:rsidP="00CA6713">
            <w:pPr>
              <w:pStyle w:val="TSOtherBodyText"/>
              <w:rPr>
                <w:lang w:val="en-AU"/>
              </w:rPr>
            </w:pPr>
            <w:r w:rsidRPr="00CA6713">
              <w:rPr>
                <w:lang w:val="en-AU"/>
              </w:rPr>
              <w:t>New Zealand Skills and Education Group</w:t>
            </w:r>
            <w:r w:rsidR="00F65692">
              <w:rPr>
                <w:lang w:val="en-AU"/>
              </w:rPr>
              <w:t xml:space="preserve"> </w:t>
            </w:r>
          </w:p>
        </w:tc>
        <w:tc>
          <w:tcPr>
            <w:tcW w:w="3335" w:type="pct"/>
          </w:tcPr>
          <w:p w14:paraId="3464C6B6" w14:textId="77777777" w:rsidR="00CA6713" w:rsidRPr="00CA6713" w:rsidRDefault="00CA6713" w:rsidP="00CA6713">
            <w:pPr>
              <w:pStyle w:val="TSOtherBodyText"/>
              <w:rPr>
                <w:lang w:val="en-AU"/>
              </w:rPr>
            </w:pPr>
            <w:r w:rsidRPr="00CA6713">
              <w:rPr>
                <w:lang w:val="en-AU"/>
              </w:rPr>
              <w:t>Graduate Diploma in Teaching (Primary)</w:t>
            </w:r>
          </w:p>
          <w:p w14:paraId="1927F41C" w14:textId="77777777" w:rsidR="00CA6713" w:rsidRPr="00CA6713" w:rsidRDefault="00CA6713" w:rsidP="00CA6713">
            <w:pPr>
              <w:pStyle w:val="TSOtherBodyText"/>
              <w:rPr>
                <w:lang w:val="en-AU"/>
              </w:rPr>
            </w:pPr>
            <w:r w:rsidRPr="00CA6713">
              <w:rPr>
                <w:lang w:val="en-AU"/>
              </w:rPr>
              <w:t>Graduate Diploma in Teaching (Secondary)</w:t>
            </w:r>
          </w:p>
        </w:tc>
      </w:tr>
      <w:tr w:rsidR="00CA6713" w:rsidRPr="00CA6713" w14:paraId="3BFD9342" w14:textId="77777777" w:rsidTr="006612C3">
        <w:tc>
          <w:tcPr>
            <w:tcW w:w="756" w:type="pct"/>
            <w:vMerge/>
          </w:tcPr>
          <w:p w14:paraId="3E7BAEF5" w14:textId="77777777" w:rsidR="00CA6713" w:rsidRPr="00CA6713" w:rsidRDefault="00CA6713" w:rsidP="00CA6713">
            <w:pPr>
              <w:pStyle w:val="USBodyText"/>
              <w:spacing w:after="120" w:line="280" w:lineRule="atLeast"/>
              <w:rPr>
                <w:lang w:val="en-AU"/>
              </w:rPr>
            </w:pPr>
          </w:p>
        </w:tc>
        <w:tc>
          <w:tcPr>
            <w:tcW w:w="910" w:type="pct"/>
          </w:tcPr>
          <w:p w14:paraId="29F3D36F" w14:textId="77777777" w:rsidR="00CA6713" w:rsidRPr="00CA6713" w:rsidRDefault="00CA6713" w:rsidP="00CA6713">
            <w:pPr>
              <w:pStyle w:val="TSOtherBodyText"/>
              <w:rPr>
                <w:lang w:val="en-AU"/>
              </w:rPr>
            </w:pPr>
            <w:r w:rsidRPr="00CA6713">
              <w:rPr>
                <w:lang w:val="en-AU"/>
              </w:rPr>
              <w:t>New Zealand Tertiary College</w:t>
            </w:r>
          </w:p>
        </w:tc>
        <w:tc>
          <w:tcPr>
            <w:tcW w:w="3335" w:type="pct"/>
          </w:tcPr>
          <w:p w14:paraId="0A03086B" w14:textId="77777777" w:rsidR="00CA6713" w:rsidRPr="00CA6713" w:rsidRDefault="00CA6713" w:rsidP="00CA6713">
            <w:pPr>
              <w:pStyle w:val="TSOtherBodyText"/>
              <w:rPr>
                <w:lang w:val="en-AU"/>
              </w:rPr>
            </w:pPr>
            <w:r w:rsidRPr="00CA6713">
              <w:rPr>
                <w:lang w:val="en-AU"/>
              </w:rPr>
              <w:t>Bachelor of Teaching (Early Childhood Education)</w:t>
            </w:r>
          </w:p>
          <w:p w14:paraId="3166A21A" w14:textId="77777777" w:rsidR="00CA6713" w:rsidRPr="00CA6713" w:rsidRDefault="00CA6713" w:rsidP="00CA6713">
            <w:pPr>
              <w:pStyle w:val="TSOtherBodyText"/>
              <w:rPr>
                <w:lang w:val="en-AU"/>
              </w:rPr>
            </w:pPr>
            <w:r w:rsidRPr="00CA6713">
              <w:rPr>
                <w:lang w:val="en-AU"/>
              </w:rPr>
              <w:t>Graduate Diploma in Teaching (Early Childhood Education)</w:t>
            </w:r>
          </w:p>
          <w:p w14:paraId="49657FE2" w14:textId="77777777" w:rsidR="00CA6713" w:rsidRPr="00CA6713" w:rsidRDefault="00CA6713" w:rsidP="00CA6713">
            <w:pPr>
              <w:pStyle w:val="TSOtherBodyText"/>
              <w:rPr>
                <w:lang w:val="en-AU"/>
              </w:rPr>
            </w:pPr>
            <w:r w:rsidRPr="00CA6713">
              <w:rPr>
                <w:lang w:val="en-AU"/>
              </w:rPr>
              <w:t>Master of Teaching and Learning (ECE)</w:t>
            </w:r>
          </w:p>
          <w:p w14:paraId="55E7E308" w14:textId="77777777" w:rsidR="00CA6713" w:rsidRPr="00CA6713" w:rsidRDefault="00CA6713" w:rsidP="00CA6713">
            <w:pPr>
              <w:pStyle w:val="TSOtherBodyText"/>
              <w:rPr>
                <w:lang w:val="en-AU"/>
              </w:rPr>
            </w:pPr>
            <w:r w:rsidRPr="00CA6713">
              <w:rPr>
                <w:lang w:val="en-AU"/>
              </w:rPr>
              <w:t>Postgraduate Diploma in Teaching (Secondary)</w:t>
            </w:r>
          </w:p>
        </w:tc>
      </w:tr>
      <w:tr w:rsidR="00CA6713" w:rsidRPr="00CA6713" w14:paraId="2990C028" w14:textId="77777777" w:rsidTr="006612C3">
        <w:tc>
          <w:tcPr>
            <w:tcW w:w="756" w:type="pct"/>
            <w:vMerge/>
          </w:tcPr>
          <w:p w14:paraId="0A070D4B" w14:textId="77777777" w:rsidR="00CA6713" w:rsidRPr="00CA6713" w:rsidRDefault="00CA6713" w:rsidP="00CA6713">
            <w:pPr>
              <w:pStyle w:val="USBodyText"/>
              <w:spacing w:after="120" w:line="280" w:lineRule="atLeast"/>
              <w:rPr>
                <w:lang w:val="en-AU"/>
              </w:rPr>
            </w:pPr>
          </w:p>
        </w:tc>
        <w:tc>
          <w:tcPr>
            <w:tcW w:w="910" w:type="pct"/>
          </w:tcPr>
          <w:p w14:paraId="4B95A035" w14:textId="77777777" w:rsidR="00CA6713" w:rsidRPr="00CA6713" w:rsidRDefault="00CA6713" w:rsidP="00CA6713">
            <w:pPr>
              <w:pStyle w:val="TSOtherBodyText"/>
              <w:rPr>
                <w:lang w:val="en-AU"/>
              </w:rPr>
            </w:pPr>
            <w:r w:rsidRPr="00CA6713">
              <w:rPr>
                <w:lang w:val="en-AU"/>
              </w:rPr>
              <w:t>Te Rito Maioha</w:t>
            </w:r>
          </w:p>
        </w:tc>
        <w:tc>
          <w:tcPr>
            <w:tcW w:w="3335" w:type="pct"/>
          </w:tcPr>
          <w:p w14:paraId="462FE04E" w14:textId="77777777" w:rsidR="00CA6713" w:rsidRPr="00CA6713" w:rsidRDefault="00CA6713" w:rsidP="00CA6713">
            <w:pPr>
              <w:pStyle w:val="TSOtherBodyText"/>
              <w:rPr>
                <w:lang w:val="en-AU"/>
              </w:rPr>
            </w:pPr>
            <w:r w:rsidRPr="00CA6713">
              <w:rPr>
                <w:lang w:val="en-AU"/>
              </w:rPr>
              <w:t>Bachelor of Teaching (ECE)</w:t>
            </w:r>
          </w:p>
          <w:p w14:paraId="35BCDC04" w14:textId="77777777" w:rsidR="00CA6713" w:rsidRPr="00CA6713" w:rsidRDefault="00CA6713" w:rsidP="00CA6713">
            <w:pPr>
              <w:pStyle w:val="TSOtherBodyText"/>
              <w:rPr>
                <w:lang w:val="en-AU"/>
              </w:rPr>
            </w:pPr>
            <w:r w:rsidRPr="00CA6713">
              <w:rPr>
                <w:lang w:val="en-AU"/>
              </w:rPr>
              <w:t>Graduate Diploma of Teaching (ECE)</w:t>
            </w:r>
          </w:p>
          <w:p w14:paraId="29514A77" w14:textId="77777777" w:rsidR="00CA6713" w:rsidRPr="00CA6713" w:rsidRDefault="00CA6713" w:rsidP="00CA6713">
            <w:pPr>
              <w:pStyle w:val="TSOtherBodyText"/>
              <w:rPr>
                <w:lang w:val="en-AU"/>
              </w:rPr>
            </w:pPr>
            <w:r w:rsidRPr="00CA6713">
              <w:rPr>
                <w:lang w:val="en-AU"/>
              </w:rPr>
              <w:t>Bachelor of Teaching (Primary)</w:t>
            </w:r>
          </w:p>
          <w:p w14:paraId="2EA275DF" w14:textId="77777777" w:rsidR="00CA6713" w:rsidRPr="00CA6713" w:rsidRDefault="00CA6713" w:rsidP="00CA6713">
            <w:pPr>
              <w:pStyle w:val="TSOtherBodyText"/>
              <w:rPr>
                <w:lang w:val="en-AU"/>
              </w:rPr>
            </w:pPr>
            <w:r w:rsidRPr="00CA6713">
              <w:rPr>
                <w:lang w:val="en-AU"/>
              </w:rPr>
              <w:t>Graduate Diploma of Teaching (Primary) Pōkairua Paetahi Ako (Kura Tuatahi)</w:t>
            </w:r>
          </w:p>
        </w:tc>
      </w:tr>
      <w:tr w:rsidR="00CA6713" w:rsidRPr="00CA6713" w14:paraId="7F7F5AEF" w14:textId="77777777" w:rsidTr="006612C3">
        <w:tc>
          <w:tcPr>
            <w:tcW w:w="756" w:type="pct"/>
            <w:vMerge/>
          </w:tcPr>
          <w:p w14:paraId="312897B2" w14:textId="77777777" w:rsidR="00CA6713" w:rsidRPr="00CA6713" w:rsidRDefault="00CA6713" w:rsidP="00CA6713">
            <w:pPr>
              <w:pStyle w:val="USBodyText"/>
              <w:spacing w:after="120" w:line="280" w:lineRule="atLeast"/>
              <w:rPr>
                <w:lang w:val="en-AU"/>
              </w:rPr>
            </w:pPr>
          </w:p>
        </w:tc>
        <w:tc>
          <w:tcPr>
            <w:tcW w:w="910" w:type="pct"/>
          </w:tcPr>
          <w:p w14:paraId="7D506758" w14:textId="77777777" w:rsidR="00CA6713" w:rsidRPr="00CA6713" w:rsidRDefault="00CA6713" w:rsidP="00CA6713">
            <w:pPr>
              <w:pStyle w:val="TSOtherBodyText"/>
              <w:rPr>
                <w:lang w:val="en-AU"/>
              </w:rPr>
            </w:pPr>
            <w:r w:rsidRPr="00CA6713">
              <w:rPr>
                <w:lang w:val="en-AU"/>
              </w:rPr>
              <w:t xml:space="preserve">The Teachers’ </w:t>
            </w:r>
            <w:r w:rsidR="09978DB0" w:rsidRPr="43B75BAF">
              <w:rPr>
                <w:lang w:val="en-AU"/>
              </w:rPr>
              <w:t>Institute</w:t>
            </w:r>
            <w:r w:rsidR="09978DB0" w:rsidRPr="43B75BAF">
              <w:rPr>
                <w:rFonts w:ascii="Cambria Math" w:hAnsi="Cambria Math" w:cs="Cambria Math"/>
                <w:lang w:val="en-AU"/>
              </w:rPr>
              <w:t> </w:t>
            </w:r>
          </w:p>
        </w:tc>
        <w:tc>
          <w:tcPr>
            <w:tcW w:w="3335" w:type="pct"/>
          </w:tcPr>
          <w:p w14:paraId="10999973" w14:textId="77777777" w:rsidR="00CA6713" w:rsidRPr="00CA6713" w:rsidRDefault="00CA6713" w:rsidP="00CA6713">
            <w:pPr>
              <w:pStyle w:val="TSOtherBodyText"/>
              <w:rPr>
                <w:lang w:val="en-AU"/>
              </w:rPr>
            </w:pPr>
            <w:r w:rsidRPr="00CA6713">
              <w:rPr>
                <w:lang w:val="en-AU"/>
              </w:rPr>
              <w:t>Postgraduate Diploma in Teaching (Secondary, School-based)</w:t>
            </w:r>
          </w:p>
          <w:p w14:paraId="6FA09BA1" w14:textId="77777777" w:rsidR="00CA6713" w:rsidRPr="00CA6713" w:rsidRDefault="00CA6713" w:rsidP="00CA6713">
            <w:pPr>
              <w:pStyle w:val="TSOtherBodyText"/>
              <w:rPr>
                <w:lang w:val="en-AU"/>
              </w:rPr>
            </w:pPr>
            <w:r w:rsidRPr="00CA6713">
              <w:rPr>
                <w:lang w:val="en-AU"/>
              </w:rPr>
              <w:t>Postgraduate Diploma in Teaching (Primary, School-based)</w:t>
            </w:r>
          </w:p>
        </w:tc>
      </w:tr>
      <w:tr w:rsidR="00CA6713" w:rsidRPr="00CA6713" w14:paraId="1197B178" w14:textId="77777777" w:rsidTr="006612C3">
        <w:tc>
          <w:tcPr>
            <w:tcW w:w="756" w:type="pct"/>
            <w:vMerge/>
          </w:tcPr>
          <w:p w14:paraId="53D06EF2" w14:textId="77777777" w:rsidR="00CA6713" w:rsidRPr="00CA6713" w:rsidRDefault="00CA6713" w:rsidP="00CA6713">
            <w:pPr>
              <w:pStyle w:val="USBodyText"/>
              <w:spacing w:after="120" w:line="280" w:lineRule="atLeast"/>
              <w:rPr>
                <w:lang w:val="en-AU"/>
              </w:rPr>
            </w:pPr>
          </w:p>
        </w:tc>
        <w:tc>
          <w:tcPr>
            <w:tcW w:w="910" w:type="pct"/>
          </w:tcPr>
          <w:p w14:paraId="7E3D17F2" w14:textId="77777777" w:rsidR="00CA6713" w:rsidRPr="00CA6713" w:rsidRDefault="00CA6713" w:rsidP="00CA6713">
            <w:pPr>
              <w:pStyle w:val="TSOtherBodyText"/>
              <w:rPr>
                <w:lang w:val="en-AU"/>
              </w:rPr>
            </w:pPr>
            <w:r w:rsidRPr="00CA6713">
              <w:rPr>
                <w:lang w:val="en-AU"/>
              </w:rPr>
              <w:t xml:space="preserve">Ako Mātatupa - Teach First NZ </w:t>
            </w:r>
          </w:p>
        </w:tc>
        <w:tc>
          <w:tcPr>
            <w:tcW w:w="3335" w:type="pct"/>
          </w:tcPr>
          <w:p w14:paraId="08CC9D8C" w14:textId="77777777" w:rsidR="00CA6713" w:rsidRPr="00CA6713" w:rsidRDefault="00CA6713" w:rsidP="00CA6713">
            <w:pPr>
              <w:pStyle w:val="TSOtherBodyText"/>
              <w:rPr>
                <w:lang w:val="en-AU"/>
              </w:rPr>
            </w:pPr>
            <w:r w:rsidRPr="00CA6713">
              <w:rPr>
                <w:lang w:val="en-AU"/>
              </w:rPr>
              <w:t>Postgraduate Diploma in Secondary Teaching</w:t>
            </w:r>
          </w:p>
          <w:p w14:paraId="2CC4B670" w14:textId="77777777" w:rsidR="00CA6713" w:rsidRPr="00CA6713" w:rsidRDefault="00CA6713" w:rsidP="00CA6713">
            <w:pPr>
              <w:pStyle w:val="TSOtherBodyText"/>
              <w:rPr>
                <w:lang w:val="en-AU"/>
              </w:rPr>
            </w:pPr>
            <w:r w:rsidRPr="00CA6713">
              <w:rPr>
                <w:lang w:val="en-AU"/>
              </w:rPr>
              <w:t>Graduate Diploma in Teaching (Primary)</w:t>
            </w:r>
          </w:p>
        </w:tc>
      </w:tr>
    </w:tbl>
    <w:p w14:paraId="1ABA6929" w14:textId="77777777" w:rsidR="00897CA0" w:rsidRPr="00495801" w:rsidRDefault="00897CA0" w:rsidP="00495801">
      <w:pPr>
        <w:pStyle w:val="USBodyText"/>
      </w:pPr>
    </w:p>
    <w:p w14:paraId="6109C666" w14:textId="34172BAA" w:rsidR="007B7366" w:rsidRDefault="0F374FAA" w:rsidP="00542CE7">
      <w:pPr>
        <w:pStyle w:val="ApxHeading1"/>
        <w:spacing w:after="320"/>
      </w:pPr>
      <w:bookmarkStart w:id="236" w:name="_Toc234512891"/>
      <w:bookmarkStart w:id="237" w:name="_Ref234589453"/>
      <w:bookmarkStart w:id="238" w:name="_Ref236899527"/>
      <w:bookmarkStart w:id="239" w:name="_Toc240542065"/>
      <w:r>
        <w:lastRenderedPageBreak/>
        <w:t xml:space="preserve">: </w:t>
      </w:r>
      <w:r w:rsidR="3DF477C3">
        <w:t>Education bodies involved in ITE regulation</w:t>
      </w:r>
      <w:bookmarkEnd w:id="236"/>
      <w:bookmarkEnd w:id="237"/>
      <w:bookmarkEnd w:id="238"/>
      <w:bookmarkEnd w:id="239"/>
    </w:p>
    <w:tbl>
      <w:tblPr>
        <w:tblStyle w:val="TableDefault"/>
        <w:tblW w:w="0" w:type="auto"/>
        <w:tblLook w:val="04A0" w:firstRow="1" w:lastRow="0" w:firstColumn="1" w:lastColumn="0" w:noHBand="0" w:noVBand="1"/>
      </w:tblPr>
      <w:tblGrid>
        <w:gridCol w:w="1560"/>
        <w:gridCol w:w="7510"/>
      </w:tblGrid>
      <w:tr w:rsidR="00B16F24" w:rsidRPr="00B16F24" w14:paraId="440B3990" w14:textId="77777777" w:rsidTr="66849E4A">
        <w:trPr>
          <w:cnfStyle w:val="100000000000" w:firstRow="1" w:lastRow="0" w:firstColumn="0" w:lastColumn="0" w:oddVBand="0" w:evenVBand="0" w:oddHBand="0" w:evenHBand="0" w:firstRowFirstColumn="0" w:firstRowLastColumn="0" w:lastRowFirstColumn="0" w:lastRowLastColumn="0"/>
        </w:trPr>
        <w:tc>
          <w:tcPr>
            <w:tcW w:w="1560" w:type="dxa"/>
          </w:tcPr>
          <w:p w14:paraId="7A5A89EB" w14:textId="77777777" w:rsidR="00B16F24" w:rsidRPr="00B16F24" w:rsidRDefault="00B16F24" w:rsidP="00B16F24">
            <w:pPr>
              <w:pStyle w:val="TSTableHeading"/>
              <w:rPr>
                <w:lang w:val="en-AU"/>
              </w:rPr>
            </w:pPr>
            <w:r w:rsidRPr="00B16F24">
              <w:rPr>
                <w:lang w:val="en-AU"/>
              </w:rPr>
              <w:t>Education body</w:t>
            </w:r>
          </w:p>
        </w:tc>
        <w:tc>
          <w:tcPr>
            <w:tcW w:w="7510" w:type="dxa"/>
          </w:tcPr>
          <w:p w14:paraId="7E6A033D" w14:textId="77777777" w:rsidR="00B16F24" w:rsidRPr="00B16F24" w:rsidRDefault="00B16F24" w:rsidP="00B16F24">
            <w:pPr>
              <w:pStyle w:val="TSTableHeading"/>
              <w:rPr>
                <w:lang w:val="en-AU"/>
              </w:rPr>
            </w:pPr>
            <w:r w:rsidRPr="00B16F24">
              <w:rPr>
                <w:lang w:val="en-AU"/>
              </w:rPr>
              <w:t>Role</w:t>
            </w:r>
          </w:p>
        </w:tc>
      </w:tr>
      <w:tr w:rsidR="00B16F24" w:rsidRPr="00B16F24" w14:paraId="598BF197" w14:textId="77777777" w:rsidTr="66849E4A">
        <w:tc>
          <w:tcPr>
            <w:tcW w:w="1560" w:type="dxa"/>
          </w:tcPr>
          <w:p w14:paraId="7DAC33A2" w14:textId="39D50E2C" w:rsidR="00B16F24" w:rsidRPr="00B16F24" w:rsidRDefault="00B16F24" w:rsidP="00B16F24">
            <w:pPr>
              <w:pStyle w:val="TSOtherBodyText"/>
              <w:rPr>
                <w:lang w:val="en-AU"/>
              </w:rPr>
            </w:pPr>
            <w:r w:rsidRPr="00B16F24">
              <w:rPr>
                <w:lang w:val="en-AU"/>
              </w:rPr>
              <w:t xml:space="preserve">The Teaching Council </w:t>
            </w:r>
            <w:r w:rsidR="00BC3C3C">
              <w:rPr>
                <w:lang w:val="en-AU"/>
              </w:rPr>
              <w:t>of Aotearoa New Zealand</w:t>
            </w:r>
          </w:p>
        </w:tc>
        <w:tc>
          <w:tcPr>
            <w:tcW w:w="7510" w:type="dxa"/>
          </w:tcPr>
          <w:p w14:paraId="5245C463" w14:textId="5E17A26D" w:rsidR="00C94C21" w:rsidRPr="00F10735" w:rsidRDefault="009A6FFC" w:rsidP="009A6FFC">
            <w:pPr>
              <w:pStyle w:val="TSOtherBodyText"/>
              <w:rPr>
                <w:lang w:val="en-AU"/>
              </w:rPr>
            </w:pPr>
            <w:r w:rsidRPr="00F10735">
              <w:rPr>
                <w:lang w:val="en-AU"/>
              </w:rPr>
              <w:t xml:space="preserve">The Teaching Council </w:t>
            </w:r>
            <w:r w:rsidR="00BC3C3C">
              <w:rPr>
                <w:lang w:val="en-AU"/>
              </w:rPr>
              <w:t>of Aotearoa New Zealand</w:t>
            </w:r>
            <w:r w:rsidR="00BC3C3C" w:rsidRPr="00F10735">
              <w:rPr>
                <w:lang w:val="en-AU"/>
              </w:rPr>
              <w:t xml:space="preserve"> </w:t>
            </w:r>
            <w:r w:rsidRPr="00F10735">
              <w:rPr>
                <w:lang w:val="en-AU"/>
              </w:rPr>
              <w:t>is the independent professional and regulatory body for teachers and initial teacher education providers.</w:t>
            </w:r>
            <w:r w:rsidR="00FE5E36" w:rsidRPr="00F10735">
              <w:rPr>
                <w:lang w:val="en-AU"/>
              </w:rPr>
              <w:t xml:space="preserve"> </w:t>
            </w:r>
            <w:r w:rsidR="49882CA4" w:rsidRPr="00F10735">
              <w:rPr>
                <w:lang w:val="en-AU"/>
              </w:rPr>
              <w:t>In ITE its primary role</w:t>
            </w:r>
            <w:r w:rsidR="00CC0121" w:rsidRPr="00F10735">
              <w:rPr>
                <w:lang w:val="en-AU"/>
              </w:rPr>
              <w:t>s are</w:t>
            </w:r>
            <w:r w:rsidR="49882CA4" w:rsidRPr="00F10735">
              <w:rPr>
                <w:lang w:val="en-AU"/>
              </w:rPr>
              <w:t xml:space="preserve"> programme approval</w:t>
            </w:r>
            <w:r w:rsidR="00D911FC" w:rsidRPr="00F10735">
              <w:rPr>
                <w:lang w:val="en-AU"/>
              </w:rPr>
              <w:t xml:space="preserve"> (</w:t>
            </w:r>
            <w:r w:rsidR="49882CA4" w:rsidRPr="00F10735">
              <w:rPr>
                <w:lang w:val="en-AU"/>
              </w:rPr>
              <w:t>assessing whether ITE programmes meet required standards before they can operate</w:t>
            </w:r>
            <w:r w:rsidR="00D911FC" w:rsidRPr="00F10735">
              <w:rPr>
                <w:lang w:val="en-AU"/>
              </w:rPr>
              <w:t>)</w:t>
            </w:r>
            <w:r w:rsidR="49882CA4" w:rsidRPr="00F10735">
              <w:rPr>
                <w:lang w:val="en-AU"/>
              </w:rPr>
              <w:t xml:space="preserve"> monitoring and reviewing </w:t>
            </w:r>
            <w:r w:rsidR="00D911FC" w:rsidRPr="00F10735">
              <w:rPr>
                <w:lang w:val="en-AU"/>
              </w:rPr>
              <w:t>ITE programmes</w:t>
            </w:r>
            <w:r w:rsidR="49882CA4" w:rsidRPr="00F10735">
              <w:rPr>
                <w:lang w:val="en-AU"/>
              </w:rPr>
              <w:t xml:space="preserve"> on an ongoing basis</w:t>
            </w:r>
            <w:r w:rsidR="00C94C21" w:rsidRPr="00F10735">
              <w:rPr>
                <w:lang w:val="en-AU"/>
              </w:rPr>
              <w:t xml:space="preserve">, and overseeing </w:t>
            </w:r>
            <w:r w:rsidR="00C94C21" w:rsidRPr="00F10735">
              <w:rPr>
                <w:lang w:val="en-US"/>
              </w:rPr>
              <w:t>graduate readiness in relation to professional standards.</w:t>
            </w:r>
          </w:p>
        </w:tc>
      </w:tr>
      <w:tr w:rsidR="00B16F24" w:rsidRPr="00B16F24" w14:paraId="298543EF" w14:textId="77777777" w:rsidTr="66849E4A">
        <w:tc>
          <w:tcPr>
            <w:tcW w:w="1560" w:type="dxa"/>
          </w:tcPr>
          <w:p w14:paraId="68C00FB6" w14:textId="77777777" w:rsidR="00B16F24" w:rsidRPr="00B16F24" w:rsidRDefault="00B16F24" w:rsidP="00B16F24">
            <w:pPr>
              <w:pStyle w:val="TSOtherBodyText"/>
              <w:rPr>
                <w:lang w:val="en-AU"/>
              </w:rPr>
            </w:pPr>
            <w:r w:rsidRPr="00B16F24">
              <w:rPr>
                <w:lang w:val="en-AU"/>
              </w:rPr>
              <w:t>The Ministry of Education (the Ministry)</w:t>
            </w:r>
          </w:p>
        </w:tc>
        <w:tc>
          <w:tcPr>
            <w:tcW w:w="7510" w:type="dxa"/>
          </w:tcPr>
          <w:p w14:paraId="2B279B80" w14:textId="15900BA7" w:rsidR="00B16F24" w:rsidRPr="00F10735" w:rsidRDefault="00CF6A32" w:rsidP="00B16F24">
            <w:pPr>
              <w:pStyle w:val="TSOtherBodyText"/>
              <w:rPr>
                <w:lang w:val="en-AU"/>
              </w:rPr>
            </w:pPr>
            <w:r w:rsidRPr="00F10735">
              <w:rPr>
                <w:lang w:val="en-AU"/>
              </w:rPr>
              <w:t>The Ministry of Education is the steward of the education system. It sets the policy and regulatory foundations for the teaching profession by setting, maintaining and reviewing the standards that apply to teachers and initial teacher education (ITE) providers. These include the Initial Teacher Education Programme Requirements, teacher registration and practising certificate criteria, the Standards for the Teaching Profession, and the Code of Professional Responsibility. As system steward, the Ministry also monitors and evaluates how these standards and wider policy settings are working across the education system.</w:t>
            </w:r>
          </w:p>
        </w:tc>
      </w:tr>
      <w:tr w:rsidR="00B16F24" w:rsidRPr="00B16F24" w14:paraId="0C83C3F0" w14:textId="77777777" w:rsidTr="66849E4A">
        <w:tc>
          <w:tcPr>
            <w:tcW w:w="1560" w:type="dxa"/>
          </w:tcPr>
          <w:p w14:paraId="788BF7C5" w14:textId="77777777" w:rsidR="00B16F24" w:rsidRPr="00B16F24" w:rsidRDefault="00B16F24" w:rsidP="00B16F24">
            <w:pPr>
              <w:pStyle w:val="TSOtherBodyText"/>
              <w:rPr>
                <w:lang w:val="en-AU"/>
              </w:rPr>
            </w:pPr>
            <w:r w:rsidRPr="00B16F24">
              <w:rPr>
                <w:lang w:val="en-AU"/>
              </w:rPr>
              <w:t>The Tertiary Education Commission (TEC)</w:t>
            </w:r>
          </w:p>
        </w:tc>
        <w:tc>
          <w:tcPr>
            <w:tcW w:w="7510" w:type="dxa"/>
          </w:tcPr>
          <w:p w14:paraId="2CAD3981" w14:textId="77777777" w:rsidR="00B16F24" w:rsidRPr="00B16F24" w:rsidRDefault="00B16F24" w:rsidP="00B16F24">
            <w:pPr>
              <w:pStyle w:val="TSOtherBodyText"/>
              <w:rPr>
                <w:lang w:val="en-AU"/>
              </w:rPr>
            </w:pPr>
            <w:r w:rsidRPr="00B16F24">
              <w:rPr>
                <w:lang w:val="en-AU"/>
              </w:rPr>
              <w:t>The TEC is the primary funding body for ITE providers. It funds these providers through the New Zealand Qualifications and Credentials Framework Fund, a bulk grant rather than a per-programme allocation, meaning TEC does not fund specific ITE programmes directly. TEC also negotiates Investment Plans with providers, which signal the providers commitment to system priorities (e.g. Māori- or Pacific-medium ITE) and what provision is intended to be delivered, and it monitors performance against those plans. Its primary lever over ITE is financial rather than regulatory, with influence exercised through funding settings and investment priorities rather than programme approval or professional standards.</w:t>
            </w:r>
          </w:p>
        </w:tc>
      </w:tr>
      <w:tr w:rsidR="00B16F24" w:rsidRPr="00B16F24" w14:paraId="459C7825" w14:textId="77777777" w:rsidTr="66849E4A">
        <w:tc>
          <w:tcPr>
            <w:tcW w:w="1560" w:type="dxa"/>
          </w:tcPr>
          <w:p w14:paraId="360078E6" w14:textId="77777777" w:rsidR="00B16F24" w:rsidRPr="00B16F24" w:rsidRDefault="082F6489" w:rsidP="00B16F24">
            <w:pPr>
              <w:pStyle w:val="TSOtherBodyText"/>
              <w:rPr>
                <w:lang w:val="en-AU"/>
              </w:rPr>
            </w:pPr>
            <w:r w:rsidRPr="00B16F24">
              <w:rPr>
                <w:lang w:val="en-AU"/>
              </w:rPr>
              <w:t>Committee on University Academic Programmes (CUAP)</w:t>
            </w:r>
            <w:r w:rsidR="00B16F24" w:rsidRPr="00B16F24">
              <w:rPr>
                <w:vertAlign w:val="superscript"/>
                <w:lang w:val="en-AU"/>
              </w:rPr>
              <w:footnoteReference w:id="65"/>
            </w:r>
          </w:p>
        </w:tc>
        <w:tc>
          <w:tcPr>
            <w:tcW w:w="7510" w:type="dxa"/>
          </w:tcPr>
          <w:p w14:paraId="4B2AD78F" w14:textId="7E94A2B1" w:rsidR="00B16F24" w:rsidRPr="00B16F24" w:rsidRDefault="70936F5A" w:rsidP="00B16F24">
            <w:pPr>
              <w:pStyle w:val="TSOtherBodyText"/>
              <w:rPr>
                <w:lang w:val="en-AU"/>
              </w:rPr>
            </w:pPr>
            <w:r w:rsidRPr="00A213CC">
              <w:rPr>
                <w:lang w:val="en-AU"/>
              </w:rPr>
              <w:t>CUAP oversees academic quality across the university sector, particularly through programme approval, accreditation, and moderation processes. Acting under delegated authority from Universities New Zealand, CUAP ensures university programmes meet national criteria, supports consistency across institutions, and works with NZQA to maintain alignment across the wider tertiary system. These processes operate alongside the Teaching Council</w:t>
            </w:r>
            <w:r w:rsidR="00BC3C3C">
              <w:rPr>
                <w:lang w:val="en-AU"/>
              </w:rPr>
              <w:t xml:space="preserve"> of Aotearoa New Zealand</w:t>
            </w:r>
            <w:r w:rsidRPr="00A213CC">
              <w:rPr>
                <w:lang w:val="en-AU"/>
              </w:rPr>
              <w:t xml:space="preserve"> application of the </w:t>
            </w:r>
            <w:r w:rsidR="242530F1" w:rsidRPr="00A213CC">
              <w:rPr>
                <w:lang w:val="en-AU"/>
              </w:rPr>
              <w:t xml:space="preserve">ITE Programme </w:t>
            </w:r>
            <w:r w:rsidRPr="00A213CC">
              <w:rPr>
                <w:lang w:val="en-AU"/>
              </w:rPr>
              <w:t>Requirements, meaning ITE programmes delivered by university providers are subject to dual regulatory oversight from CUAP and the Teaching Council</w:t>
            </w:r>
            <w:r w:rsidR="00BC3C3C">
              <w:rPr>
                <w:lang w:val="en-AU"/>
              </w:rPr>
              <w:t xml:space="preserve"> of Aotearoa New Zealand</w:t>
            </w:r>
            <w:r w:rsidRPr="00A213CC">
              <w:rPr>
                <w:lang w:val="en-AU"/>
              </w:rPr>
              <w:t>.</w:t>
            </w:r>
          </w:p>
        </w:tc>
      </w:tr>
      <w:tr w:rsidR="00B16F24" w:rsidRPr="00B16F24" w14:paraId="6FDC4355" w14:textId="77777777" w:rsidTr="66849E4A">
        <w:tc>
          <w:tcPr>
            <w:tcW w:w="1560" w:type="dxa"/>
          </w:tcPr>
          <w:p w14:paraId="1EB9EC33" w14:textId="77777777" w:rsidR="00B16F24" w:rsidRPr="00B16F24" w:rsidRDefault="00B16F24" w:rsidP="00B16F24">
            <w:pPr>
              <w:pStyle w:val="TSOtherBodyText"/>
              <w:rPr>
                <w:lang w:val="en-AU"/>
              </w:rPr>
            </w:pPr>
            <w:r w:rsidRPr="00B16F24">
              <w:rPr>
                <w:lang w:val="en-AU"/>
              </w:rPr>
              <w:t>The New Zealand Qualifications Authority (NZQA)</w:t>
            </w:r>
          </w:p>
        </w:tc>
        <w:tc>
          <w:tcPr>
            <w:tcW w:w="7510" w:type="dxa"/>
          </w:tcPr>
          <w:p w14:paraId="5DA72250" w14:textId="671391CA" w:rsidR="00B16F24" w:rsidRPr="00B16F24" w:rsidRDefault="00B16F24" w:rsidP="00B16F24">
            <w:pPr>
              <w:pStyle w:val="TSOtherBodyText"/>
              <w:rPr>
                <w:lang w:val="en-AU"/>
              </w:rPr>
            </w:pPr>
            <w:r w:rsidRPr="00B16F24">
              <w:rPr>
                <w:lang w:val="en-AU"/>
              </w:rPr>
              <w:t xml:space="preserve">NZQA is the national regulator for non-university tertiary qualifications. Its core role is to ensure that all qualifications are credible, nationally consistent, and meet standard quality assurance criteria. </w:t>
            </w:r>
            <w:r w:rsidR="2276BE99" w:rsidRPr="35C216F2">
              <w:rPr>
                <w:lang w:val="en-AU"/>
              </w:rPr>
              <w:t>In the</w:t>
            </w:r>
            <w:r w:rsidR="2276BE99" w:rsidRPr="35C216F2">
              <w:rPr>
                <w:rFonts w:ascii="Cambria Math" w:hAnsi="Cambria Math" w:cs="Cambria Math"/>
                <w:lang w:val="en-AU"/>
              </w:rPr>
              <w:t> </w:t>
            </w:r>
            <w:r w:rsidR="2276BE99" w:rsidRPr="35C216F2">
              <w:rPr>
                <w:lang w:val="en-AU"/>
              </w:rPr>
              <w:t>ITE</w:t>
            </w:r>
            <w:r w:rsidRPr="00B16F24">
              <w:rPr>
                <w:lang w:val="en-AU"/>
              </w:rPr>
              <w:t xml:space="preserve"> context, NZQA is responsible for approving and quality-assuring the qualification itself, ensuring it sits at the appropriate level on the New Zealand Qualifications Framework and meets general academic standards. These processes operate alongside the Teaching Council</w:t>
            </w:r>
            <w:r w:rsidR="00BC3C3C">
              <w:rPr>
                <w:lang w:val="en-AU"/>
              </w:rPr>
              <w:t xml:space="preserve"> of Aotearoa New Zealand</w:t>
            </w:r>
            <w:r w:rsidRPr="00B16F24">
              <w:rPr>
                <w:lang w:val="en-AU"/>
              </w:rPr>
              <w:t xml:space="preserve"> application of the </w:t>
            </w:r>
            <w:r w:rsidR="242530F1" w:rsidRPr="35C216F2">
              <w:rPr>
                <w:lang w:val="en-AU"/>
              </w:rPr>
              <w:t xml:space="preserve">ITE Programme </w:t>
            </w:r>
            <w:r w:rsidRPr="00B16F24">
              <w:rPr>
                <w:lang w:val="en-AU"/>
              </w:rPr>
              <w:t>Requirements, meaning ITE programmes delivered by non-university providers are subject to dual regulatory oversight from NZQA and the Teaching Council</w:t>
            </w:r>
            <w:r w:rsidR="00BC3C3C">
              <w:rPr>
                <w:lang w:val="en-AU"/>
              </w:rPr>
              <w:t xml:space="preserve"> of Aotearoa New Zealand</w:t>
            </w:r>
            <w:r w:rsidRPr="00B16F24">
              <w:rPr>
                <w:lang w:val="en-AU"/>
              </w:rPr>
              <w:t>.</w:t>
            </w:r>
            <w:r w:rsidR="00F65692">
              <w:rPr>
                <w:lang w:val="en-AU"/>
              </w:rPr>
              <w:t xml:space="preserve"> </w:t>
            </w:r>
          </w:p>
        </w:tc>
      </w:tr>
    </w:tbl>
    <w:p w14:paraId="53932876" w14:textId="77777777" w:rsidR="001D468C" w:rsidRDefault="001D468C" w:rsidP="00061B70">
      <w:pPr>
        <w:pStyle w:val="USWhiteSpace"/>
      </w:pPr>
    </w:p>
    <w:p w14:paraId="70A5E439" w14:textId="4E797FB5" w:rsidR="00824467" w:rsidRPr="00061B70" w:rsidRDefault="00824467" w:rsidP="00542CE7">
      <w:pPr>
        <w:pStyle w:val="USWhiteSpace"/>
        <w:spacing w:line="280" w:lineRule="atLeast"/>
        <w:sectPr w:rsidR="00824467" w:rsidRPr="00061B70" w:rsidSect="008A6239">
          <w:headerReference w:type="even" r:id="rId49"/>
          <w:headerReference w:type="default" r:id="rId50"/>
          <w:footerReference w:type="even" r:id="rId51"/>
          <w:footerReference w:type="default" r:id="rId52"/>
          <w:headerReference w:type="first" r:id="rId53"/>
          <w:footerReference w:type="first" r:id="rId54"/>
          <w:pgSz w:w="11906" w:h="16838" w:code="9"/>
          <w:pgMar w:top="2835" w:right="1418" w:bottom="2268" w:left="1418" w:header="851" w:footer="567" w:gutter="0"/>
          <w:pgNumType w:start="1"/>
          <w:cols w:space="708"/>
          <w:docGrid w:linePitch="360"/>
        </w:sectPr>
      </w:pPr>
    </w:p>
    <w:sdt>
      <w:sdtPr>
        <w:rPr>
          <w:noProof/>
        </w:rPr>
        <w:alias w:val="textElement"/>
        <w:tag w:val="{&quot;templafy&quot;:{&quot;id&quot;:&quot;6ddd0762-bde4-4349-8dbc-82f9cac3a21a&quot;}}"/>
        <w:id w:val="1738901725"/>
        <w:placeholder>
          <w:docPart w:val="A2A3A97163934989B6037909F78EBE39"/>
        </w:placeholder>
      </w:sdtPr>
      <w:sdtEndPr/>
      <w:sdtContent>
        <w:p w14:paraId="4CFE50AB" w14:textId="54A5A918" w:rsidR="001705A3" w:rsidRPr="006D0D4C" w:rsidRDefault="00A171D7">
          <w:r>
            <w:rPr>
              <w:noProof/>
            </w:rPr>
            <w:drawing>
              <wp:anchor distT="0" distB="0" distL="114300" distR="114300" simplePos="0" relativeHeight="251658245" behindDoc="1" locked="1" layoutInCell="1" allowOverlap="1" wp14:anchorId="2D60768A" wp14:editId="68B05124">
                <wp:simplePos x="0" y="0"/>
                <wp:positionH relativeFrom="page">
                  <wp:align>center</wp:align>
                </wp:positionH>
                <wp:positionV relativeFrom="page">
                  <wp:align>center</wp:align>
                </wp:positionV>
                <wp:extent cx="7560000" cy="10694986"/>
                <wp:effectExtent l="0" t="0" r="3175" b="0"/>
                <wp:wrapNone/>
                <wp:docPr id="2066749301" name="Picture 2066749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5"/>
                        <a:stretch>
                          <a:fillRect/>
                        </a:stretch>
                      </pic:blipFill>
                      <pic:spPr>
                        <a:xfrm>
                          <a:off x="0" y="0"/>
                          <a:ext cx="7560000" cy="10694986"/>
                        </a:xfrm>
                        <a:prstGeom prst="rect">
                          <a:avLst/>
                        </a:prstGeom>
                      </pic:spPr>
                    </pic:pic>
                  </a:graphicData>
                </a:graphic>
                <wp14:sizeRelH relativeFrom="margin">
                  <wp14:pctWidth>0</wp14:pctWidth>
                </wp14:sizeRelH>
                <wp14:sizeRelV relativeFrom="margin">
                  <wp14:pctHeight>0</wp14:pctHeight>
                </wp14:sizeRelV>
              </wp:anchor>
            </w:drawing>
          </w:r>
        </w:p>
      </w:sdtContent>
    </w:sdt>
    <w:sectPr w:rsidR="001705A3" w:rsidRPr="006D0D4C" w:rsidSect="008A6239">
      <w:headerReference w:type="even" r:id="rId56"/>
      <w:headerReference w:type="default" r:id="rId57"/>
      <w:footerReference w:type="even" r:id="rId58"/>
      <w:footerReference w:type="default" r:id="rId59"/>
      <w:headerReference w:type="first" r:id="rId60"/>
      <w:footerReference w:type="first" r:id="rId61"/>
      <w:pgSz w:w="11906" w:h="16838" w:code="9"/>
      <w:pgMar w:top="2835" w:right="1418" w:bottom="2268" w:left="1418"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601F5" w14:textId="77777777" w:rsidR="00990680" w:rsidRPr="00774754" w:rsidRDefault="00990680" w:rsidP="00776D39">
      <w:pPr>
        <w:spacing w:after="0" w:line="240" w:lineRule="auto"/>
      </w:pPr>
      <w:r w:rsidRPr="00774754">
        <w:separator/>
      </w:r>
    </w:p>
  </w:endnote>
  <w:endnote w:type="continuationSeparator" w:id="0">
    <w:p w14:paraId="4E05F202" w14:textId="77777777" w:rsidR="00990680" w:rsidRPr="00774754" w:rsidRDefault="00990680" w:rsidP="00776D39">
      <w:pPr>
        <w:spacing w:after="0" w:line="240" w:lineRule="auto"/>
      </w:pPr>
      <w:r w:rsidRPr="00774754">
        <w:continuationSeparator/>
      </w:r>
    </w:p>
  </w:endnote>
  <w:endnote w:type="continuationNotice" w:id="1">
    <w:p w14:paraId="1680A0BF" w14:textId="77777777" w:rsidR="00990680" w:rsidRDefault="009906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ra Pro">
    <w:altName w:val="Calibri"/>
    <w:panose1 w:val="00000500000000000000"/>
    <w:charset w:val="00"/>
    <w:family w:val="modern"/>
    <w:notTrueType/>
    <w:pitch w:val="variable"/>
    <w:sig w:usb0="00000287" w:usb1="00000001" w:usb2="00000000" w:usb3="00000000" w:csb0="0000009F" w:csb1="00000000"/>
  </w:font>
  <w:font w:name="Arial">
    <w:panose1 w:val="020B0604020202020204"/>
    <w:charset w:val="00"/>
    <w:family w:val="swiss"/>
    <w:pitch w:val="variable"/>
    <w:sig w:usb0="E0002EFF" w:usb1="C000785B" w:usb2="00000009" w:usb3="00000000" w:csb0="000001FF" w:csb1="00000000"/>
  </w:font>
  <w:font w:name="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C617" w14:textId="37E1D408" w:rsidR="00266907" w:rsidRPr="00774754" w:rsidRDefault="00AE7A90" w:rsidP="00266907">
    <w:pPr>
      <w:pStyle w:val="FooterPortraitEven"/>
      <w:rPr>
        <w:b/>
      </w:rPr>
    </w:pPr>
    <w:r>
      <w:rPr>
        <w:b/>
        <w:noProof/>
      </w:rPr>
      <mc:AlternateContent>
        <mc:Choice Requires="wps">
          <w:drawing>
            <wp:anchor distT="0" distB="0" distL="0" distR="0" simplePos="0" relativeHeight="251659798" behindDoc="0" locked="0" layoutInCell="1" allowOverlap="1" wp14:anchorId="6D8FF5FE" wp14:editId="74C93CC7">
              <wp:simplePos x="635" y="635"/>
              <wp:positionH relativeFrom="page">
                <wp:align>center</wp:align>
              </wp:positionH>
              <wp:positionV relativeFrom="page">
                <wp:align>bottom</wp:align>
              </wp:positionV>
              <wp:extent cx="2214245" cy="368300"/>
              <wp:effectExtent l="0" t="0" r="14605" b="0"/>
              <wp:wrapNone/>
              <wp:docPr id="1183254630" name="Text Box 23"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2F16CED1" w14:textId="1908E6CB"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8FF5FE" id="_x0000_t202" coordsize="21600,21600" o:spt="202" path="m,l,21600r21600,l21600,xe">
              <v:stroke joinstyle="miter"/>
              <v:path gradientshapeok="t" o:connecttype="rect"/>
            </v:shapetype>
            <v:shape id="Text Box 23" o:spid="_x0000_s1030" type="#_x0000_t202" alt="[IN-CONFIDENCE - RELEASE EXTERNAL]" style="position:absolute;margin-left:0;margin-top:0;width:174.35pt;height:29pt;z-index:25165979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" filled="f" stroked="f">
              <v:textbox style="mso-fit-shape-to-text:t" inset="0,0,0,15pt">
                <w:txbxContent>
                  <w:p w14:paraId="2F16CED1" w14:textId="1908E6CB"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p w14:paraId="3B223A92" w14:textId="77777777" w:rsidR="00266907" w:rsidRPr="00774754" w:rsidRDefault="00266907" w:rsidP="00266907">
    <w:pPr>
      <w:pStyle w:val="FooterPortraitEven"/>
      <w:rPr>
        <w:noProof/>
      </w:rPr>
    </w:pPr>
    <w:r w:rsidRPr="00774754">
      <w:rPr>
        <w:noProof/>
      </w:rPr>
      <w:drawing>
        <wp:anchor distT="0" distB="0" distL="114300" distR="114300" simplePos="0" relativeHeight="251658240" behindDoc="1" locked="0" layoutInCell="1" allowOverlap="1" wp14:anchorId="46020267" wp14:editId="56230474">
          <wp:simplePos x="0" y="0"/>
          <wp:positionH relativeFrom="page">
            <wp:posOffset>0</wp:posOffset>
          </wp:positionH>
          <wp:positionV relativeFrom="page">
            <wp:posOffset>9253220</wp:posOffset>
          </wp:positionV>
          <wp:extent cx="7560000" cy="1440000"/>
          <wp:effectExtent l="0" t="0" r="3175" b="8255"/>
          <wp:wrapNone/>
          <wp:docPr id="81382805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J_Report_portrait_101_255_222_350DPI_7.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440000"/>
                  </a:xfrm>
                  <a:prstGeom prst="rect">
                    <a:avLst/>
                  </a:prstGeom>
                </pic:spPr>
              </pic:pic>
            </a:graphicData>
          </a:graphic>
          <wp14:sizeRelH relativeFrom="page">
            <wp14:pctWidth>0</wp14:pctWidth>
          </wp14:sizeRelH>
          <wp14:sizeRelV relativeFrom="page">
            <wp14:pctHeight>0</wp14:pctHeight>
          </wp14:sizeRelV>
        </wp:anchor>
      </w:drawing>
    </w:r>
  </w:p>
  <w:p w14:paraId="2B2DC131" w14:textId="210CC18D" w:rsidR="00266907" w:rsidRPr="00774754" w:rsidRDefault="00A90BD7" w:rsidP="00266907">
    <w:pPr>
      <w:pStyle w:val="FooterPortraitEven"/>
      <w:rPr>
        <w:noProof/>
      </w:rPr>
    </w:pPr>
    <w:fldSimple w:instr="DOCVARIABLE  rptCommercialInConfidence  \* MERGEFORMAT">
      <w:r>
        <w:t>Commercial In Confidence</w:t>
      </w:r>
    </w:fldSimple>
    <w:r w:rsidR="00266907" w:rsidRPr="00774754">
      <w:tab/>
    </w:r>
    <w:r w:rsidR="00266907" w:rsidRPr="00774754">
      <w:rPr>
        <w:rStyle w:val="FooterDateTime"/>
      </w:rPr>
      <w:fldChar w:fldCharType="begin"/>
    </w:r>
    <w:r w:rsidR="00266907" w:rsidRPr="00774754">
      <w:rPr>
        <w:rStyle w:val="FooterDateTime"/>
      </w:rPr>
      <w:instrText xml:space="preserve"> SAVEDATE \@ "d MMMM yyyy h.mm am/pm" \* MERGEFORMAT </w:instrText>
    </w:r>
    <w:r w:rsidR="00266907" w:rsidRPr="00774754">
      <w:rPr>
        <w:rStyle w:val="FooterDateTime"/>
      </w:rPr>
      <w:fldChar w:fldCharType="separate"/>
    </w:r>
    <w:r w:rsidR="00430096">
      <w:rPr>
        <w:rStyle w:val="FooterDateTime"/>
        <w:noProof/>
      </w:rPr>
      <w:t>30 September 2026 3.15 pm</w:t>
    </w:r>
    <w:r w:rsidR="00266907" w:rsidRPr="00774754">
      <w:rPr>
        <w:rStyle w:val="FooterDateTim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90"/>
      <w:gridCol w:w="3590"/>
      <w:gridCol w:w="3590"/>
    </w:tblGrid>
    <w:tr w:rsidR="3A9F1962" w14:paraId="37D7C349" w14:textId="77777777" w:rsidTr="3A9F1962">
      <w:trPr>
        <w:trHeight w:val="300"/>
      </w:trPr>
      <w:tc>
        <w:tcPr>
          <w:tcW w:w="3590" w:type="dxa"/>
        </w:tcPr>
        <w:p w14:paraId="7DD7E033" w14:textId="433B17D2" w:rsidR="3A9F1962" w:rsidRDefault="3A9F1962" w:rsidP="3A9F1962">
          <w:pPr>
            <w:pStyle w:val="Header"/>
            <w:ind w:left="-115"/>
            <w:jc w:val="left"/>
          </w:pPr>
        </w:p>
      </w:tc>
      <w:tc>
        <w:tcPr>
          <w:tcW w:w="3590" w:type="dxa"/>
        </w:tcPr>
        <w:p w14:paraId="18FEF7BF" w14:textId="29E51058" w:rsidR="3A9F1962" w:rsidRDefault="3A9F1962" w:rsidP="3A9F1962">
          <w:pPr>
            <w:pStyle w:val="Header"/>
            <w:jc w:val="center"/>
          </w:pPr>
        </w:p>
      </w:tc>
      <w:tc>
        <w:tcPr>
          <w:tcW w:w="3590" w:type="dxa"/>
        </w:tcPr>
        <w:p w14:paraId="7A78F512" w14:textId="0F784E46" w:rsidR="3A9F1962" w:rsidRDefault="3A9F1962" w:rsidP="3A9F1962">
          <w:pPr>
            <w:pStyle w:val="Header"/>
            <w:ind w:right="-115"/>
          </w:pPr>
        </w:p>
      </w:tc>
    </w:tr>
  </w:tbl>
  <w:p w14:paraId="3B8310CA" w14:textId="1C588C33" w:rsidR="00E2514A" w:rsidRDefault="00E251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FE49B" w14:textId="21F2B7C4" w:rsidR="00AE7A90" w:rsidRDefault="00AE7A90">
    <w:pPr>
      <w:pStyle w:val="Footer"/>
    </w:pPr>
    <w:r>
      <w:rPr>
        <w:noProof/>
      </w:rPr>
      <mc:AlternateContent>
        <mc:Choice Requires="wps">
          <w:drawing>
            <wp:anchor distT="0" distB="0" distL="0" distR="0" simplePos="0" relativeHeight="251659797" behindDoc="0" locked="0" layoutInCell="1" allowOverlap="1" wp14:anchorId="77809518" wp14:editId="2961E29C">
              <wp:simplePos x="635" y="635"/>
              <wp:positionH relativeFrom="page">
                <wp:align>center</wp:align>
              </wp:positionH>
              <wp:positionV relativeFrom="page">
                <wp:align>bottom</wp:align>
              </wp:positionV>
              <wp:extent cx="2214245" cy="368300"/>
              <wp:effectExtent l="0" t="0" r="14605" b="0"/>
              <wp:wrapNone/>
              <wp:docPr id="957191539" name="Text Box 22"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4F4FD3F1" w14:textId="4482AF2C"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809518" id="_x0000_t202" coordsize="21600,21600" o:spt="202" path="m,l,21600r21600,l21600,xe">
              <v:stroke joinstyle="miter"/>
              <v:path gradientshapeok="t" o:connecttype="rect"/>
            </v:shapetype>
            <v:shape id="Text Box 22" o:spid="_x0000_s1032" type="#_x0000_t202" alt="[IN-CONFIDENCE - RELEASE EXTERNAL]" style="position:absolute;margin-left:0;margin-top:0;width:174.35pt;height:29pt;z-index:25165979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" filled="f" stroked="f">
              <v:textbox style="mso-fit-shape-to-text:t" inset="0,0,0,15pt">
                <w:txbxContent>
                  <w:p w14:paraId="4F4FD3F1" w14:textId="4482AF2C"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29AE7" w14:textId="193D189F" w:rsidR="00266907" w:rsidRPr="00774754" w:rsidRDefault="00AE7A90" w:rsidP="00266907">
    <w:pPr>
      <w:pStyle w:val="FooterPortraitEven"/>
      <w:rPr>
        <w:b/>
      </w:rPr>
    </w:pPr>
    <w:r>
      <w:rPr>
        <w:b/>
        <w:noProof/>
      </w:rPr>
      <mc:AlternateContent>
        <mc:Choice Requires="wps">
          <w:drawing>
            <wp:anchor distT="0" distB="0" distL="0" distR="0" simplePos="0" relativeHeight="251659801" behindDoc="0" locked="0" layoutInCell="1" allowOverlap="1" wp14:anchorId="57E65BDC" wp14:editId="7A7DDCFC">
              <wp:simplePos x="635" y="635"/>
              <wp:positionH relativeFrom="page">
                <wp:align>center</wp:align>
              </wp:positionH>
              <wp:positionV relativeFrom="page">
                <wp:align>bottom</wp:align>
              </wp:positionV>
              <wp:extent cx="2214245" cy="368300"/>
              <wp:effectExtent l="0" t="0" r="14605" b="0"/>
              <wp:wrapNone/>
              <wp:docPr id="1254669630" name="Text Box 26"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563ACD3F" w14:textId="28E0D975"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E65BDC" id="_x0000_t202" coordsize="21600,21600" o:spt="202" path="m,l,21600r21600,l21600,xe">
              <v:stroke joinstyle="miter"/>
              <v:path gradientshapeok="t" o:connecttype="rect"/>
            </v:shapetype>
            <v:shape id="Text Box 26" o:spid="_x0000_s1034" type="#_x0000_t202" alt="[IN-CONFIDENCE - RELEASE EXTERNAL]" style="position:absolute;margin-left:0;margin-top:0;width:174.35pt;height:29pt;z-index:25165980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" filled="f" stroked="f">
              <v:textbox style="mso-fit-shape-to-text:t" inset="0,0,0,15pt">
                <w:txbxContent>
                  <w:p w14:paraId="563ACD3F" w14:textId="28E0D975"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p w14:paraId="229D6065" w14:textId="77777777" w:rsidR="00266907" w:rsidRPr="00774754" w:rsidRDefault="00266907" w:rsidP="00266907">
    <w:pPr>
      <w:pStyle w:val="FooterPortraitEven"/>
      <w:rPr>
        <w:noProof/>
      </w:rPr>
    </w:pPr>
    <w:r w:rsidRPr="00774754">
      <w:rPr>
        <w:noProof/>
      </w:rPr>
      <w:drawing>
        <wp:anchor distT="0" distB="0" distL="114300" distR="114300" simplePos="0" relativeHeight="251658241" behindDoc="1" locked="0" layoutInCell="1" allowOverlap="1" wp14:anchorId="46020267" wp14:editId="56230474">
          <wp:simplePos x="0" y="0"/>
          <wp:positionH relativeFrom="page">
            <wp:posOffset>0</wp:posOffset>
          </wp:positionH>
          <wp:positionV relativeFrom="page">
            <wp:posOffset>9253220</wp:posOffset>
          </wp:positionV>
          <wp:extent cx="7560000" cy="1440000"/>
          <wp:effectExtent l="0" t="0" r="3175" b="8255"/>
          <wp:wrapNone/>
          <wp:docPr id="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J_Report_portrait_101_255_222_350DPI_7.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440000"/>
                  </a:xfrm>
                  <a:prstGeom prst="rect">
                    <a:avLst/>
                  </a:prstGeom>
                </pic:spPr>
              </pic:pic>
            </a:graphicData>
          </a:graphic>
          <wp14:sizeRelH relativeFrom="page">
            <wp14:pctWidth>0</wp14:pctWidth>
          </wp14:sizeRelH>
          <wp14:sizeRelV relativeFrom="page">
            <wp14:pctHeight>0</wp14:pctHeight>
          </wp14:sizeRelV>
        </wp:anchor>
      </w:drawing>
    </w:r>
  </w:p>
  <w:p w14:paraId="0A87B951" w14:textId="082688C6" w:rsidR="00266907" w:rsidRPr="00774754" w:rsidRDefault="00A90BD7" w:rsidP="00266907">
    <w:pPr>
      <w:pStyle w:val="FooterPortraitEven"/>
      <w:rPr>
        <w:noProof/>
      </w:rPr>
    </w:pPr>
    <w:fldSimple w:instr="DOCVARIABLE  rptCommercialInConfidence  \* MERGEFORMAT">
      <w:r>
        <w:t>Commercial In Confidence</w:t>
      </w:r>
    </w:fldSimple>
    <w:r w:rsidR="00266907" w:rsidRPr="00774754">
      <w:tab/>
    </w:r>
    <w:r w:rsidR="00266907" w:rsidRPr="00774754">
      <w:rPr>
        <w:rStyle w:val="FooterDateTime"/>
      </w:rPr>
      <w:fldChar w:fldCharType="begin"/>
    </w:r>
    <w:r w:rsidR="00266907" w:rsidRPr="00774754">
      <w:rPr>
        <w:rStyle w:val="FooterDateTime"/>
      </w:rPr>
      <w:instrText xml:space="preserve"> SAVEDATE \@ "d MMMM yyyy h.mm am/pm" \* MERGEFORMAT </w:instrText>
    </w:r>
    <w:r w:rsidR="00266907" w:rsidRPr="00774754">
      <w:rPr>
        <w:rStyle w:val="FooterDateTime"/>
      </w:rPr>
      <w:fldChar w:fldCharType="separate"/>
    </w:r>
    <w:r w:rsidR="00430096">
      <w:rPr>
        <w:rStyle w:val="FooterDateTime"/>
        <w:noProof/>
      </w:rPr>
      <w:t>30 September 2026 3.15 pm</w:t>
    </w:r>
    <w:r w:rsidR="00266907" w:rsidRPr="00774754">
      <w:rPr>
        <w:rStyle w:val="FooterDateTime"/>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2B30C" w14:textId="58761C41" w:rsidR="003F7B89" w:rsidRDefault="003F7B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548EF" w14:textId="34F8B755" w:rsidR="003F7B89" w:rsidRDefault="00AE7A90">
    <w:pPr>
      <w:pStyle w:val="Footer"/>
    </w:pPr>
    <w:r>
      <w:rPr>
        <w:noProof/>
      </w:rPr>
      <mc:AlternateContent>
        <mc:Choice Requires="wps">
          <w:drawing>
            <wp:anchor distT="0" distB="0" distL="0" distR="0" simplePos="0" relativeHeight="251659800" behindDoc="0" locked="0" layoutInCell="1" allowOverlap="1" wp14:anchorId="449E0CC6" wp14:editId="495CF1D3">
              <wp:simplePos x="635" y="635"/>
              <wp:positionH relativeFrom="page">
                <wp:align>center</wp:align>
              </wp:positionH>
              <wp:positionV relativeFrom="page">
                <wp:align>bottom</wp:align>
              </wp:positionV>
              <wp:extent cx="2214245" cy="368300"/>
              <wp:effectExtent l="0" t="0" r="14605" b="0"/>
              <wp:wrapNone/>
              <wp:docPr id="1360341603" name="Text Box 25"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0C16A6E4" w14:textId="5C0D276F"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9E0CC6" id="_x0000_t202" coordsize="21600,21600" o:spt="202" path="m,l,21600r21600,l21600,xe">
              <v:stroke joinstyle="miter"/>
              <v:path gradientshapeok="t" o:connecttype="rect"/>
            </v:shapetype>
            <v:shape id="Text Box 25" o:spid="_x0000_s1036" type="#_x0000_t202" alt="[IN-CONFIDENCE - RELEASE EXTERNAL]" style="position:absolute;margin-left:0;margin-top:0;width:174.35pt;height:29pt;z-index:251659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" filled="f" stroked="f">
              <v:textbox style="mso-fit-shape-to-text:t" inset="0,0,0,15pt">
                <w:txbxContent>
                  <w:p w14:paraId="0C16A6E4" w14:textId="5C0D276F"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2952" w14:textId="53B9825B" w:rsidR="00266907" w:rsidRPr="00774754" w:rsidRDefault="00AE7A90" w:rsidP="00266907">
    <w:pPr>
      <w:pStyle w:val="FooterPortraitEven"/>
      <w:rPr>
        <w:b/>
      </w:rPr>
    </w:pPr>
    <w:r>
      <w:rPr>
        <w:b/>
        <w:noProof/>
      </w:rPr>
      <mc:AlternateContent>
        <mc:Choice Requires="wps">
          <w:drawing>
            <wp:anchor distT="0" distB="0" distL="0" distR="0" simplePos="0" relativeHeight="251659804" behindDoc="0" locked="0" layoutInCell="1" allowOverlap="1" wp14:anchorId="0ECAB255" wp14:editId="04B86BCD">
              <wp:simplePos x="635" y="635"/>
              <wp:positionH relativeFrom="page">
                <wp:align>center</wp:align>
              </wp:positionH>
              <wp:positionV relativeFrom="page">
                <wp:align>bottom</wp:align>
              </wp:positionV>
              <wp:extent cx="2214245" cy="368300"/>
              <wp:effectExtent l="0" t="0" r="14605" b="0"/>
              <wp:wrapNone/>
              <wp:docPr id="153527579" name="Text Box 29"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3D6961B9" w14:textId="0ED6D8F7"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CAB255" id="_x0000_t202" coordsize="21600,21600" o:spt="202" path="m,l,21600r21600,l21600,xe">
              <v:stroke joinstyle="miter"/>
              <v:path gradientshapeok="t" o:connecttype="rect"/>
            </v:shapetype>
            <v:shape id="Text Box 29" o:spid="_x0000_s1038" type="#_x0000_t202" alt="[IN-CONFIDENCE - RELEASE EXTERNAL]" style="position:absolute;margin-left:0;margin-top:0;width:174.35pt;height:29pt;z-index:2516598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" filled="f" stroked="f">
              <v:textbox style="mso-fit-shape-to-text:t" inset="0,0,0,15pt">
                <w:txbxContent>
                  <w:p w14:paraId="3D6961B9" w14:textId="0ED6D8F7"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p w14:paraId="4B02D9F3" w14:textId="77777777" w:rsidR="00266907" w:rsidRPr="00774754" w:rsidRDefault="00266907" w:rsidP="00266907">
    <w:pPr>
      <w:pStyle w:val="FooterPortraitEven"/>
      <w:rPr>
        <w:noProof/>
      </w:rPr>
    </w:pPr>
    <w:r w:rsidRPr="00774754">
      <w:rPr>
        <w:noProof/>
      </w:rPr>
      <w:drawing>
        <wp:anchor distT="0" distB="0" distL="114300" distR="114300" simplePos="0" relativeHeight="251658242" behindDoc="1" locked="0" layoutInCell="1" allowOverlap="1" wp14:anchorId="46020267" wp14:editId="56230474">
          <wp:simplePos x="0" y="0"/>
          <wp:positionH relativeFrom="page">
            <wp:posOffset>0</wp:posOffset>
          </wp:positionH>
          <wp:positionV relativeFrom="page">
            <wp:posOffset>9253220</wp:posOffset>
          </wp:positionV>
          <wp:extent cx="7560000" cy="1440000"/>
          <wp:effectExtent l="0" t="0" r="3175" b="8255"/>
          <wp:wrapNone/>
          <wp:docPr id="14028490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J_Report_portrait_101_255_222_350DPI_7.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440000"/>
                  </a:xfrm>
                  <a:prstGeom prst="rect">
                    <a:avLst/>
                  </a:prstGeom>
                </pic:spPr>
              </pic:pic>
            </a:graphicData>
          </a:graphic>
          <wp14:sizeRelH relativeFrom="page">
            <wp14:pctWidth>0</wp14:pctWidth>
          </wp14:sizeRelH>
          <wp14:sizeRelV relativeFrom="page">
            <wp14:pctHeight>0</wp14:pctHeight>
          </wp14:sizeRelV>
        </wp:anchor>
      </w:drawing>
    </w:r>
  </w:p>
  <w:p w14:paraId="47700ABB" w14:textId="30324A72" w:rsidR="00266907" w:rsidRPr="00774754" w:rsidRDefault="00A90BD7" w:rsidP="00266907">
    <w:pPr>
      <w:pStyle w:val="FooterPortraitEven"/>
      <w:rPr>
        <w:noProof/>
      </w:rPr>
    </w:pPr>
    <w:fldSimple w:instr="DOCVARIABLE  rptCommercialInConfidence  \* MERGEFORMAT">
      <w:r>
        <w:t>Commercial In Confidence</w:t>
      </w:r>
    </w:fldSimple>
    <w:r w:rsidR="00266907" w:rsidRPr="00774754">
      <w:tab/>
    </w:r>
    <w:r w:rsidR="00266907" w:rsidRPr="00774754">
      <w:rPr>
        <w:rStyle w:val="FooterDateTime"/>
      </w:rPr>
      <w:fldChar w:fldCharType="begin"/>
    </w:r>
    <w:r w:rsidR="00266907" w:rsidRPr="00774754">
      <w:rPr>
        <w:rStyle w:val="FooterDateTime"/>
      </w:rPr>
      <w:instrText xml:space="preserve"> SAVEDATE \@ "d MMMM yyyy h.mm am/pm" \* MERGEFORMAT </w:instrText>
    </w:r>
    <w:r w:rsidR="00266907" w:rsidRPr="00774754">
      <w:rPr>
        <w:rStyle w:val="FooterDateTime"/>
      </w:rPr>
      <w:fldChar w:fldCharType="separate"/>
    </w:r>
    <w:r w:rsidR="00430096">
      <w:rPr>
        <w:rStyle w:val="FooterDateTime"/>
        <w:noProof/>
      </w:rPr>
      <w:t>30 September 2026 3.15 pm</w:t>
    </w:r>
    <w:r w:rsidR="00266907" w:rsidRPr="00774754">
      <w:rPr>
        <w:rStyle w:val="FooterDateTime"/>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 w:type="dxa"/>
      </w:tblCellMar>
      <w:tblLook w:val="04A0" w:firstRow="1" w:lastRow="0" w:firstColumn="1" w:lastColumn="0" w:noHBand="0" w:noVBand="1"/>
    </w:tblPr>
    <w:tblGrid>
      <w:gridCol w:w="598"/>
      <w:gridCol w:w="153"/>
      <w:gridCol w:w="8319"/>
    </w:tblGrid>
    <w:tr w:rsidR="00181E2C" w14:paraId="36470FD1" w14:textId="77777777">
      <w:trPr>
        <w:trHeight w:val="320"/>
      </w:trPr>
      <w:tc>
        <w:tcPr>
          <w:tcW w:w="598" w:type="dxa"/>
          <w:vAlign w:val="center"/>
        </w:tcPr>
        <w:p w14:paraId="4DF6006C" w14:textId="3E727A1D" w:rsidR="00181E2C" w:rsidRDefault="00A171D7" w:rsidP="00181E2C">
          <w:pPr>
            <w:pStyle w:val="FooterPortrait"/>
            <w:jc w:val="right"/>
            <w:rPr>
              <w:noProof/>
              <w:lang w:eastAsia="en-NZ"/>
            </w:rPr>
          </w:pPr>
          <w:r>
            <w:rPr>
              <w:noProof/>
              <w:lang w:eastAsia="en-NZ"/>
            </w:rPr>
            <w:drawing>
              <wp:inline distT="0" distB="0" distL="0" distR="0" wp14:anchorId="7CA4DCA6" wp14:editId="4F07F1D6">
                <wp:extent cx="359386" cy="360000"/>
                <wp:effectExtent l="0" t="0" r="3175" b="2540"/>
                <wp:docPr id="131324871" name="Picture 5"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31324871" name="Picture 5" descr="Shape&#10;&#10;Description automatically generated with low confidence"/>
                        <pic:cNvPicPr/>
                      </pic:nvPicPr>
                      <pic:blipFill>
                        <a:blip r:embed="rId1"/>
                        <a:stretch>
                          <a:fillRect/>
                        </a:stretch>
                      </pic:blipFill>
                      <pic:spPr>
                        <a:xfrm>
                          <a:off x="0" y="0"/>
                          <a:ext cx="359386" cy="360000"/>
                        </a:xfrm>
                        <a:prstGeom prst="rect">
                          <a:avLst/>
                        </a:prstGeom>
                      </pic:spPr>
                    </pic:pic>
                  </a:graphicData>
                </a:graphic>
              </wp:inline>
            </w:drawing>
          </w:r>
        </w:p>
      </w:tc>
      <w:tc>
        <w:tcPr>
          <w:tcW w:w="153" w:type="dxa"/>
        </w:tcPr>
        <w:p w14:paraId="717B0241" w14:textId="77777777" w:rsidR="00181E2C" w:rsidRPr="0048675D" w:rsidRDefault="00181E2C" w:rsidP="00181E2C">
          <w:pPr>
            <w:pStyle w:val="FooterPortrait"/>
            <w:jc w:val="right"/>
            <w:rPr>
              <w:b/>
              <w:lang w:eastAsia="en-NZ"/>
            </w:rPr>
          </w:pPr>
        </w:p>
      </w:tc>
      <w:tc>
        <w:tcPr>
          <w:tcW w:w="8319" w:type="dxa"/>
          <w:tcBorders>
            <w:bottom w:val="single" w:sz="4" w:space="0" w:color="auto"/>
          </w:tcBorders>
          <w:vAlign w:val="center"/>
        </w:tcPr>
        <w:p w14:paraId="17125B58" w14:textId="7742B3DE" w:rsidR="00181E2C" w:rsidRDefault="00181E2C" w:rsidP="00181E2C">
          <w:pPr>
            <w:pStyle w:val="FooterPortrait"/>
            <w:jc w:val="right"/>
            <w:rPr>
              <w:noProof/>
              <w:lang w:eastAsia="en-NZ"/>
            </w:rPr>
          </w:pPr>
        </w:p>
      </w:tc>
    </w:tr>
  </w:tbl>
  <w:p w14:paraId="4F2893DE" w14:textId="15977765" w:rsidR="00181E2C" w:rsidRDefault="00181E2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 w:type="dxa"/>
      </w:tblCellMar>
      <w:tblLook w:val="04A0" w:firstRow="1" w:lastRow="0" w:firstColumn="1" w:lastColumn="0" w:noHBand="0" w:noVBand="1"/>
    </w:tblPr>
    <w:tblGrid>
      <w:gridCol w:w="598"/>
      <w:gridCol w:w="153"/>
      <w:gridCol w:w="8319"/>
    </w:tblGrid>
    <w:tr w:rsidR="001C7CCA" w14:paraId="12303B18" w14:textId="77777777" w:rsidTr="006B5398">
      <w:trPr>
        <w:trHeight w:val="320"/>
      </w:trPr>
      <w:tc>
        <w:tcPr>
          <w:tcW w:w="598" w:type="dxa"/>
          <w:vAlign w:val="center"/>
        </w:tcPr>
        <w:p w14:paraId="59AD80B3" w14:textId="6DB30B39" w:rsidR="001C7CCA" w:rsidRDefault="00A171D7" w:rsidP="00663BA1">
          <w:pPr>
            <w:pStyle w:val="FooterPortrait"/>
            <w:jc w:val="right"/>
            <w:rPr>
              <w:noProof/>
              <w:lang w:eastAsia="en-NZ"/>
            </w:rPr>
          </w:pPr>
          <w:r>
            <w:rPr>
              <w:noProof/>
              <w:lang w:eastAsia="en-NZ"/>
            </w:rPr>
            <w:drawing>
              <wp:inline distT="0" distB="0" distL="0" distR="0" wp14:anchorId="0D9D3F57" wp14:editId="01901275">
                <wp:extent cx="359386" cy="360000"/>
                <wp:effectExtent l="0" t="0" r="3175" b="2540"/>
                <wp:docPr id="1172728658" name="Picture 7" descr="MartinJenkins logo showing overlapping magenta rounded cross and cyan four-point diamond outlines on a white transparent background. "/>
                <wp:cNvGraphicFramePr/>
                <a:graphic xmlns:a="http://schemas.openxmlformats.org/drawingml/2006/main">
                  <a:graphicData uri="http://schemas.openxmlformats.org/drawingml/2006/picture">
                    <pic:pic xmlns:pic="http://schemas.openxmlformats.org/drawingml/2006/picture">
                      <pic:nvPicPr>
                        <pic:cNvPr id="1172728658" name="Picture 7" descr="MartinJenkins logo showing overlapping magenta rounded cross and cyan four-point diamond outlines on a white transparent background. "/>
                        <pic:cNvPicPr/>
                      </pic:nvPicPr>
                      <pic:blipFill>
                        <a:blip r:embed="rId1"/>
                        <a:stretch>
                          <a:fillRect/>
                        </a:stretch>
                      </pic:blipFill>
                      <pic:spPr>
                        <a:xfrm>
                          <a:off x="0" y="0"/>
                          <a:ext cx="359386" cy="360000"/>
                        </a:xfrm>
                        <a:prstGeom prst="rect">
                          <a:avLst/>
                        </a:prstGeom>
                      </pic:spPr>
                    </pic:pic>
                  </a:graphicData>
                </a:graphic>
              </wp:inline>
            </w:drawing>
          </w:r>
        </w:p>
      </w:tc>
      <w:tc>
        <w:tcPr>
          <w:tcW w:w="153" w:type="dxa"/>
        </w:tcPr>
        <w:p w14:paraId="702F3C00" w14:textId="77777777" w:rsidR="001C7CCA" w:rsidRPr="0048675D" w:rsidRDefault="001C7CCA" w:rsidP="00663BA1">
          <w:pPr>
            <w:pStyle w:val="FooterPortrait"/>
            <w:jc w:val="right"/>
            <w:rPr>
              <w:b/>
              <w:lang w:eastAsia="en-NZ"/>
            </w:rPr>
          </w:pPr>
        </w:p>
      </w:tc>
      <w:tc>
        <w:tcPr>
          <w:tcW w:w="8319" w:type="dxa"/>
          <w:tcBorders>
            <w:bottom w:val="single" w:sz="4" w:space="0" w:color="auto"/>
          </w:tcBorders>
          <w:vAlign w:val="center"/>
        </w:tcPr>
        <w:p w14:paraId="5F1DB832" w14:textId="753854BE" w:rsidR="001C7CCA" w:rsidRDefault="001C7CCA" w:rsidP="00663BA1">
          <w:pPr>
            <w:pStyle w:val="FooterPortrait"/>
            <w:jc w:val="right"/>
            <w:rPr>
              <w:noProof/>
              <w:lang w:eastAsia="en-NZ"/>
            </w:rPr>
          </w:pPr>
        </w:p>
      </w:tc>
    </w:tr>
  </w:tbl>
  <w:p w14:paraId="5405D015" w14:textId="097F826A" w:rsidR="001C7CCA" w:rsidRDefault="001C7CC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18932" w14:textId="6CBFD828" w:rsidR="00266907" w:rsidRPr="007248C8" w:rsidRDefault="00AE7A90" w:rsidP="007248C8">
    <w:pPr>
      <w:pStyle w:val="Footer"/>
    </w:pPr>
    <w:r>
      <w:rPr>
        <w:noProof/>
      </w:rPr>
      <mc:AlternateContent>
        <mc:Choice Requires="wps">
          <w:drawing>
            <wp:anchor distT="0" distB="0" distL="0" distR="0" simplePos="0" relativeHeight="251659807" behindDoc="0" locked="0" layoutInCell="1" allowOverlap="1" wp14:anchorId="16D45C36" wp14:editId="3F9AE17D">
              <wp:simplePos x="635" y="635"/>
              <wp:positionH relativeFrom="page">
                <wp:align>center</wp:align>
              </wp:positionH>
              <wp:positionV relativeFrom="page">
                <wp:align>bottom</wp:align>
              </wp:positionV>
              <wp:extent cx="2214245" cy="368300"/>
              <wp:effectExtent l="0" t="0" r="14605" b="0"/>
              <wp:wrapNone/>
              <wp:docPr id="1473696714" name="Text Box 32"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50C9EF62" w14:textId="6DF161C2"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D45C36" id="_x0000_t202" coordsize="21600,21600" o:spt="202" path="m,l,21600r21600,l21600,xe">
              <v:stroke joinstyle="miter"/>
              <v:path gradientshapeok="t" o:connecttype="rect"/>
            </v:shapetype>
            <v:shape id="Text Box 32" o:spid="_x0000_s1040" type="#_x0000_t202" alt="[IN-CONFIDENCE - RELEASE EXTERNAL]" style="position:absolute;margin-left:0;margin-top:0;width:174.35pt;height:29pt;z-index:25165980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" filled="f" stroked="f">
              <v:textbox style="mso-fit-shape-to-text:t" inset="0,0,0,15pt">
                <w:txbxContent>
                  <w:p w14:paraId="50C9EF62" w14:textId="6DF161C2"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 w:type="dxa"/>
      </w:tblCellMar>
      <w:tblLook w:val="04A0" w:firstRow="1" w:lastRow="0" w:firstColumn="1" w:lastColumn="0" w:noHBand="0" w:noVBand="1"/>
    </w:tblPr>
    <w:tblGrid>
      <w:gridCol w:w="598"/>
      <w:gridCol w:w="153"/>
      <w:gridCol w:w="8319"/>
    </w:tblGrid>
    <w:tr w:rsidR="00181E2C" w14:paraId="1EC33D65" w14:textId="77777777">
      <w:trPr>
        <w:trHeight w:val="320"/>
      </w:trPr>
      <w:tc>
        <w:tcPr>
          <w:tcW w:w="598" w:type="dxa"/>
          <w:vAlign w:val="center"/>
        </w:tcPr>
        <w:p w14:paraId="1EB83440" w14:textId="37AD77B3" w:rsidR="00181E2C" w:rsidRDefault="00A171D7" w:rsidP="00181E2C">
          <w:pPr>
            <w:pStyle w:val="FooterPortrait"/>
            <w:jc w:val="right"/>
            <w:rPr>
              <w:noProof/>
              <w:lang w:eastAsia="en-NZ"/>
            </w:rPr>
          </w:pPr>
          <w:r>
            <w:rPr>
              <w:noProof/>
              <w:lang w:eastAsia="en-NZ"/>
            </w:rPr>
            <w:drawing>
              <wp:inline distT="0" distB="0" distL="0" distR="0" wp14:anchorId="58911239" wp14:editId="219BA980">
                <wp:extent cx="359386" cy="360000"/>
                <wp:effectExtent l="0" t="0" r="3175" b="2540"/>
                <wp:docPr id="284721539" name="Picture 6"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669803511" name="Picture 6" descr="Shape&#10;&#10;Description automatically generated with low confidence"/>
                        <pic:cNvPicPr/>
                      </pic:nvPicPr>
                      <pic:blipFill>
                        <a:blip r:embed="rId1"/>
                        <a:stretch>
                          <a:fillRect/>
                        </a:stretch>
                      </pic:blipFill>
                      <pic:spPr>
                        <a:xfrm>
                          <a:off x="0" y="0"/>
                          <a:ext cx="359386" cy="360000"/>
                        </a:xfrm>
                        <a:prstGeom prst="rect">
                          <a:avLst/>
                        </a:prstGeom>
                      </pic:spPr>
                    </pic:pic>
                  </a:graphicData>
                </a:graphic>
              </wp:inline>
            </w:drawing>
          </w:r>
        </w:p>
      </w:tc>
      <w:tc>
        <w:tcPr>
          <w:tcW w:w="153" w:type="dxa"/>
        </w:tcPr>
        <w:p w14:paraId="1BB942F5" w14:textId="77777777" w:rsidR="00181E2C" w:rsidRPr="0048675D" w:rsidRDefault="00181E2C" w:rsidP="00181E2C">
          <w:pPr>
            <w:pStyle w:val="FooterPortrait"/>
            <w:jc w:val="right"/>
            <w:rPr>
              <w:b/>
              <w:lang w:eastAsia="en-NZ"/>
            </w:rPr>
          </w:pPr>
        </w:p>
      </w:tc>
      <w:tc>
        <w:tcPr>
          <w:tcW w:w="8319" w:type="dxa"/>
          <w:tcBorders>
            <w:bottom w:val="single" w:sz="4" w:space="0" w:color="auto"/>
          </w:tcBorders>
          <w:vAlign w:val="center"/>
        </w:tcPr>
        <w:p w14:paraId="2D4A8453" w14:textId="50398DE6" w:rsidR="00181E2C" w:rsidRDefault="00181E2C" w:rsidP="00181E2C">
          <w:pPr>
            <w:pStyle w:val="FooterPortrait"/>
            <w:jc w:val="right"/>
            <w:rPr>
              <w:noProof/>
              <w:lang w:eastAsia="en-NZ"/>
            </w:rPr>
          </w:pPr>
        </w:p>
      </w:tc>
    </w:tr>
  </w:tbl>
  <w:p w14:paraId="1714C9E8" w14:textId="5D3CFACB" w:rsidR="00181E2C" w:rsidRDefault="00181E2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E05F9" w14:textId="3F1B23DA" w:rsidR="00266907" w:rsidRPr="00774754" w:rsidRDefault="00AE7A90" w:rsidP="009D3142">
    <w:pPr>
      <w:pStyle w:val="Footer"/>
    </w:pPr>
    <w:r>
      <w:rPr>
        <w:noProof/>
      </w:rPr>
      <mc:AlternateContent>
        <mc:Choice Requires="wps">
          <w:drawing>
            <wp:anchor distT="0" distB="0" distL="0" distR="0" simplePos="0" relativeHeight="251659806" behindDoc="0" locked="0" layoutInCell="1" allowOverlap="1" wp14:anchorId="0F3B3A2A" wp14:editId="2DA4EA98">
              <wp:simplePos x="635" y="635"/>
              <wp:positionH relativeFrom="page">
                <wp:align>center</wp:align>
              </wp:positionH>
              <wp:positionV relativeFrom="page">
                <wp:align>bottom</wp:align>
              </wp:positionV>
              <wp:extent cx="2214245" cy="368300"/>
              <wp:effectExtent l="0" t="0" r="14605" b="0"/>
              <wp:wrapNone/>
              <wp:docPr id="1363891399" name="Text Box 31"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7E339AB4" w14:textId="1CC2E8D3"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3B3A2A" id="_x0000_t202" coordsize="21600,21600" o:spt="202" path="m,l,21600r21600,l21600,xe">
              <v:stroke joinstyle="miter"/>
              <v:path gradientshapeok="t" o:connecttype="rect"/>
            </v:shapetype>
            <v:shape id="Text Box 31" o:spid="_x0000_s1042" type="#_x0000_t202" alt="[IN-CONFIDENCE - RELEASE EXTERNAL]" style="position:absolute;margin-left:0;margin-top:0;width:174.35pt;height:29pt;z-index:25165980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" filled="f" stroked="f">
              <v:textbox style="mso-fit-shape-to-text:t" inset="0,0,0,15pt">
                <w:txbxContent>
                  <w:p w14:paraId="7E339AB4" w14:textId="1CC2E8D3"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D55D" w14:textId="067807AE" w:rsidR="00266907" w:rsidRPr="007248C8" w:rsidRDefault="00AE7A90" w:rsidP="007248C8">
    <w:pPr>
      <w:pStyle w:val="Footer"/>
    </w:pPr>
    <w:r>
      <w:rPr>
        <w:noProof/>
      </w:rPr>
      <mc:AlternateContent>
        <mc:Choice Requires="wps">
          <w:drawing>
            <wp:anchor distT="0" distB="0" distL="0" distR="0" simplePos="0" relativeHeight="251659810" behindDoc="0" locked="0" layoutInCell="1" allowOverlap="1" wp14:anchorId="45CB44A6" wp14:editId="272B5CF5">
              <wp:simplePos x="635" y="635"/>
              <wp:positionH relativeFrom="page">
                <wp:align>center</wp:align>
              </wp:positionH>
              <wp:positionV relativeFrom="page">
                <wp:align>bottom</wp:align>
              </wp:positionV>
              <wp:extent cx="2214245" cy="368300"/>
              <wp:effectExtent l="0" t="0" r="14605" b="0"/>
              <wp:wrapNone/>
              <wp:docPr id="2035654732" name="Text Box 35"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6128D0C1" w14:textId="75DD6D2D"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CB44A6" id="_x0000_t202" coordsize="21600,21600" o:spt="202" path="m,l,21600r21600,l21600,xe">
              <v:stroke joinstyle="miter"/>
              <v:path gradientshapeok="t" o:connecttype="rect"/>
            </v:shapetype>
            <v:shape id="Text Box 35" o:spid="_x0000_s1044" type="#_x0000_t202" alt="[IN-CONFIDENCE - RELEASE EXTERNAL]" style="position:absolute;margin-left:0;margin-top:0;width:174.35pt;height:29pt;z-index:25165981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" filled="f" stroked="f">
              <v:textbox style="mso-fit-shape-to-text:t" inset="0,0,0,15pt">
                <w:txbxContent>
                  <w:p w14:paraId="6128D0C1" w14:textId="75DD6D2D"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 w:type="dxa"/>
      </w:tblCellMar>
      <w:tblLook w:val="04A0" w:firstRow="1" w:lastRow="0" w:firstColumn="1" w:lastColumn="0" w:noHBand="0" w:noVBand="1"/>
    </w:tblPr>
    <w:tblGrid>
      <w:gridCol w:w="598"/>
      <w:gridCol w:w="153"/>
      <w:gridCol w:w="8319"/>
    </w:tblGrid>
    <w:tr w:rsidR="005C583C" w14:paraId="763FCB94" w14:textId="77777777" w:rsidTr="006B5398">
      <w:trPr>
        <w:trHeight w:val="320"/>
      </w:trPr>
      <w:tc>
        <w:tcPr>
          <w:tcW w:w="598" w:type="dxa"/>
          <w:vMerge w:val="restart"/>
          <w:vAlign w:val="center"/>
        </w:tcPr>
        <w:p w14:paraId="03061E8B" w14:textId="64C06B11" w:rsidR="005C583C" w:rsidRDefault="00990680" w:rsidP="005C583C">
          <w:pPr>
            <w:pStyle w:val="FooterPortrait"/>
            <w:jc w:val="right"/>
            <w:rPr>
              <w:noProof/>
              <w:lang w:eastAsia="en-NZ"/>
            </w:rPr>
          </w:pPr>
          <w:sdt>
            <w:sdtPr>
              <w:rPr>
                <w:noProof/>
                <w:lang w:eastAsia="en-NZ"/>
              </w:rPr>
              <w:alias w:val="image"/>
              <w:tag w:val="{&quot;templafy&quot;:{&quot;id&quot;:&quot;4fe288b1-d25f-40f6-bcaf-76fe4d9e36dc&quot;}}"/>
              <w:id w:val="151881094"/>
              <w:picture/>
            </w:sdtPr>
            <w:sdtEndPr/>
            <w:sdtContent>
              <w:r w:rsidR="00A171D7">
                <w:rPr>
                  <w:noProof/>
                  <w:lang w:eastAsia="en-NZ"/>
                </w:rPr>
                <w:drawing>
                  <wp:inline distT="0" distB="0" distL="0" distR="0" wp14:anchorId="7DF5572A" wp14:editId="633A82D7">
                    <wp:extent cx="359386" cy="360000"/>
                    <wp:effectExtent l="0" t="0" r="3175" b="2540"/>
                    <wp:docPr id="380961975" name="Picture 8"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380961975" name="Picture 8" descr="Shape&#10;&#10;Description automatically generated with low confidence"/>
                            <pic:cNvPicPr/>
                          </pic:nvPicPr>
                          <pic:blipFill>
                            <a:blip r:embed="rId1"/>
                            <a:stretch>
                              <a:fillRect/>
                            </a:stretch>
                          </pic:blipFill>
                          <pic:spPr>
                            <a:xfrm>
                              <a:off x="0" y="0"/>
                              <a:ext cx="359386" cy="360000"/>
                            </a:xfrm>
                            <a:prstGeom prst="rect">
                              <a:avLst/>
                            </a:prstGeom>
                          </pic:spPr>
                        </pic:pic>
                      </a:graphicData>
                    </a:graphic>
                  </wp:inline>
                </w:drawing>
              </w:r>
            </w:sdtContent>
          </w:sdt>
        </w:p>
      </w:tc>
      <w:tc>
        <w:tcPr>
          <w:tcW w:w="153" w:type="dxa"/>
          <w:vMerge w:val="restart"/>
        </w:tcPr>
        <w:p w14:paraId="1CCE685B" w14:textId="77777777" w:rsidR="005C583C" w:rsidRPr="0048675D" w:rsidRDefault="005C583C" w:rsidP="007248C8">
          <w:pPr>
            <w:pStyle w:val="FooterPortrait"/>
            <w:jc w:val="right"/>
            <w:rPr>
              <w:b/>
              <w:lang w:eastAsia="en-NZ"/>
            </w:rPr>
          </w:pPr>
        </w:p>
      </w:tc>
      <w:tc>
        <w:tcPr>
          <w:tcW w:w="8319" w:type="dxa"/>
          <w:tcBorders>
            <w:bottom w:val="single" w:sz="4" w:space="0" w:color="auto"/>
          </w:tcBorders>
          <w:vAlign w:val="center"/>
        </w:tcPr>
        <w:p w14:paraId="358624D5" w14:textId="63D05BC5" w:rsidR="005C583C" w:rsidRDefault="005C583C" w:rsidP="007248C8">
          <w:pPr>
            <w:pStyle w:val="FooterPortrait"/>
            <w:jc w:val="right"/>
            <w:rPr>
              <w:noProof/>
              <w:lang w:eastAsia="en-NZ"/>
            </w:rPr>
          </w:pPr>
          <w:r w:rsidRPr="0048675D">
            <w:rPr>
              <w:b/>
              <w:lang w:eastAsia="en-NZ"/>
            </w:rPr>
            <w:fldChar w:fldCharType="begin"/>
          </w:r>
          <w:r w:rsidRPr="0048675D">
            <w:rPr>
              <w:b/>
              <w:lang w:eastAsia="en-NZ"/>
            </w:rPr>
            <w:instrText xml:space="preserve"> PAGE   \* MERGEFORMAT </w:instrText>
          </w:r>
          <w:r w:rsidRPr="0048675D">
            <w:rPr>
              <w:b/>
              <w:lang w:eastAsia="en-NZ"/>
            </w:rPr>
            <w:fldChar w:fldCharType="separate"/>
          </w:r>
          <w:r>
            <w:rPr>
              <w:b/>
              <w:lang w:eastAsia="en-NZ"/>
            </w:rPr>
            <w:t>1</w:t>
          </w:r>
          <w:r w:rsidRPr="0048675D">
            <w:rPr>
              <w:b/>
              <w:lang w:eastAsia="en-NZ"/>
            </w:rPr>
            <w:fldChar w:fldCharType="end"/>
          </w:r>
        </w:p>
      </w:tc>
    </w:tr>
    <w:tr w:rsidR="006B5398" w14:paraId="27811043" w14:textId="77777777" w:rsidTr="006B5398">
      <w:trPr>
        <w:trHeight w:val="98"/>
      </w:trPr>
      <w:tc>
        <w:tcPr>
          <w:tcW w:w="598" w:type="dxa"/>
          <w:vMerge/>
        </w:tcPr>
        <w:p w14:paraId="0871E28E" w14:textId="77777777" w:rsidR="006B5398" w:rsidRDefault="006B5398" w:rsidP="0088775C">
          <w:pPr>
            <w:pStyle w:val="FooterPortrait"/>
            <w:spacing w:before="40" w:after="40"/>
            <w:rPr>
              <w:noProof/>
              <w:lang w:eastAsia="en-NZ"/>
            </w:rPr>
          </w:pPr>
        </w:p>
      </w:tc>
      <w:tc>
        <w:tcPr>
          <w:tcW w:w="153" w:type="dxa"/>
          <w:vMerge/>
        </w:tcPr>
        <w:p w14:paraId="140D29BF" w14:textId="77777777" w:rsidR="006B5398" w:rsidRDefault="006B5398" w:rsidP="0088775C">
          <w:pPr>
            <w:pStyle w:val="FooterPortrait"/>
            <w:tabs>
              <w:tab w:val="clear" w:pos="9072"/>
            </w:tabs>
            <w:rPr>
              <w:rStyle w:val="FooterDateTime"/>
            </w:rPr>
          </w:pPr>
        </w:p>
      </w:tc>
      <w:tc>
        <w:tcPr>
          <w:tcW w:w="8319" w:type="dxa"/>
          <w:tcBorders>
            <w:top w:val="single" w:sz="4" w:space="0" w:color="auto"/>
          </w:tcBorders>
          <w:vAlign w:val="center"/>
        </w:tcPr>
        <w:sdt>
          <w:sdtPr>
            <w:rPr>
              <w:noProof/>
              <w:color w:val="ABA9AD"/>
              <w:lang w:eastAsia="en-NZ"/>
            </w:rPr>
            <w:alias w:val="{{Form.Footer}}"/>
            <w:tag w:val="{&quot;templafy&quot;:{&quot;id&quot;:&quot;ad91809a-44fa-4e79-96ed-ae4ea506e4c8&quot;}}"/>
            <w:id w:val="-867062703"/>
            <w:placeholder>
              <w:docPart w:val="CCD0A04523B641D0AACABDA6B50FDA8A"/>
            </w:placeholder>
            <w:showingPlcHdr/>
          </w:sdtPr>
          <w:sdtEndPr/>
          <w:sdtContent>
            <w:p w14:paraId="580734CA" w14:textId="3C3934DF" w:rsidR="004E6CF9" w:rsidRDefault="00E4782E">
              <w:pPr>
                <w:pStyle w:val="FooterPortrait"/>
                <w:tabs>
                  <w:tab w:val="clear" w:pos="9072"/>
                </w:tabs>
                <w:jc w:val="right"/>
                <w:rPr>
                  <w:noProof/>
                  <w:lang w:eastAsia="en-NZ"/>
                </w:rPr>
              </w:pPr>
              <w:r w:rsidRPr="00BB70C4">
                <w:rPr>
                  <w:rStyle w:val="PlaceholderText"/>
                </w:rPr>
                <w:t>Click or tap here to enter text.</w:t>
              </w:r>
            </w:p>
          </w:sdtContent>
        </w:sdt>
      </w:tc>
    </w:tr>
  </w:tbl>
  <w:p w14:paraId="1D599CE1" w14:textId="4A96604A" w:rsidR="00CE49BB" w:rsidRPr="007248C8" w:rsidRDefault="00CE49BB" w:rsidP="0049203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4693" w14:textId="77987378" w:rsidR="00266907" w:rsidRPr="00774754" w:rsidRDefault="00AE7A90" w:rsidP="009D3142">
    <w:pPr>
      <w:pStyle w:val="Footer"/>
    </w:pPr>
    <w:r>
      <w:rPr>
        <w:noProof/>
      </w:rPr>
      <mc:AlternateContent>
        <mc:Choice Requires="wps">
          <w:drawing>
            <wp:anchor distT="0" distB="0" distL="0" distR="0" simplePos="0" relativeHeight="251659809" behindDoc="0" locked="0" layoutInCell="1" allowOverlap="1" wp14:anchorId="2E92AA5F" wp14:editId="7B5B08B8">
              <wp:simplePos x="635" y="635"/>
              <wp:positionH relativeFrom="page">
                <wp:align>center</wp:align>
              </wp:positionH>
              <wp:positionV relativeFrom="page">
                <wp:align>bottom</wp:align>
              </wp:positionV>
              <wp:extent cx="2214245" cy="368300"/>
              <wp:effectExtent l="0" t="0" r="14605" b="0"/>
              <wp:wrapNone/>
              <wp:docPr id="522494825" name="Text Box 34"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4076B160" w14:textId="247F7928"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92AA5F" id="_x0000_t202" coordsize="21600,21600" o:spt="202" path="m,l,21600r21600,l21600,xe">
              <v:stroke joinstyle="miter"/>
              <v:path gradientshapeok="t" o:connecttype="rect"/>
            </v:shapetype>
            <v:shape id="Text Box 34" o:spid="_x0000_s1046" type="#_x0000_t202" alt="[IN-CONFIDENCE - RELEASE EXTERNAL]" style="position:absolute;margin-left:0;margin-top:0;width:174.35pt;height:29pt;z-index:25165980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" filled="f" stroked="f">
              <v:textbox style="mso-fit-shape-to-text:t" inset="0,0,0,15pt">
                <w:txbxContent>
                  <w:p w14:paraId="4076B160" w14:textId="247F7928"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97AF3" w14:textId="3D01920E" w:rsidR="00266907" w:rsidRPr="007248C8" w:rsidRDefault="00AE7A90" w:rsidP="007248C8">
    <w:pPr>
      <w:pStyle w:val="Footer"/>
    </w:pPr>
    <w:r>
      <w:rPr>
        <w:noProof/>
      </w:rPr>
      <mc:AlternateContent>
        <mc:Choice Requires="wps">
          <w:drawing>
            <wp:anchor distT="0" distB="0" distL="0" distR="0" simplePos="0" relativeHeight="251659813" behindDoc="0" locked="0" layoutInCell="1" allowOverlap="1" wp14:anchorId="004CF044" wp14:editId="0DF78E58">
              <wp:simplePos x="635" y="635"/>
              <wp:positionH relativeFrom="page">
                <wp:align>center</wp:align>
              </wp:positionH>
              <wp:positionV relativeFrom="page">
                <wp:align>bottom</wp:align>
              </wp:positionV>
              <wp:extent cx="2214245" cy="368300"/>
              <wp:effectExtent l="0" t="0" r="14605" b="0"/>
              <wp:wrapNone/>
              <wp:docPr id="441578687" name="Text Box 38"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633D7059" w14:textId="470BE112"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4CF044" id="_x0000_t202" coordsize="21600,21600" o:spt="202" path="m,l,21600r21600,l21600,xe">
              <v:stroke joinstyle="miter"/>
              <v:path gradientshapeok="t" o:connecttype="rect"/>
            </v:shapetype>
            <v:shape id="Text Box 38" o:spid="_x0000_s1049" type="#_x0000_t202" alt="[IN-CONFIDENCE - RELEASE EXTERNAL]" style="position:absolute;margin-left:0;margin-top:0;width:174.35pt;height:29pt;z-index:25165981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" filled="f" stroked="f">
              <v:textbox style="mso-fit-shape-to-text:t" inset="0,0,0,15pt">
                <w:txbxContent>
                  <w:p w14:paraId="633D7059" w14:textId="470BE112"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10153" w14:textId="7AE15FC3" w:rsidR="00A614F6" w:rsidRPr="00A614F6" w:rsidRDefault="00AE7A90" w:rsidP="00A614F6">
    <w:pPr>
      <w:pStyle w:val="Footer"/>
    </w:pPr>
    <w:r>
      <w:rPr>
        <w:noProof/>
      </w:rPr>
      <mc:AlternateContent>
        <mc:Choice Requires="wps">
          <w:drawing>
            <wp:anchor distT="0" distB="0" distL="0" distR="0" simplePos="0" relativeHeight="251659814" behindDoc="0" locked="0" layoutInCell="1" allowOverlap="1" wp14:anchorId="3323A783" wp14:editId="743E24E1">
              <wp:simplePos x="635" y="635"/>
              <wp:positionH relativeFrom="page">
                <wp:align>center</wp:align>
              </wp:positionH>
              <wp:positionV relativeFrom="page">
                <wp:align>bottom</wp:align>
              </wp:positionV>
              <wp:extent cx="2214245" cy="368300"/>
              <wp:effectExtent l="0" t="0" r="14605" b="0"/>
              <wp:wrapNone/>
              <wp:docPr id="600451972" name="Text Box 39"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28721226" w14:textId="3B2F0DC7"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23A783" id="_x0000_t202" coordsize="21600,21600" o:spt="202" path="m,l,21600r21600,l21600,xe">
              <v:stroke joinstyle="miter"/>
              <v:path gradientshapeok="t" o:connecttype="rect"/>
            </v:shapetype>
            <v:shape id="Text Box 39" o:spid="_x0000_s1050" type="#_x0000_t202" alt="[IN-CONFIDENCE - RELEASE EXTERNAL]" style="position:absolute;margin-left:0;margin-top:0;width:174.35pt;height:29pt;z-index:25165981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" filled="f" stroked="f">
              <v:textbox style="mso-fit-shape-to-text:t" inset="0,0,0,15pt">
                <w:txbxContent>
                  <w:p w14:paraId="28721226" w14:textId="3B2F0DC7"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31157" w14:textId="3056BFC8" w:rsidR="00266907" w:rsidRPr="00774754" w:rsidRDefault="00AE7A90" w:rsidP="009D3142">
    <w:pPr>
      <w:pStyle w:val="Footer"/>
    </w:pPr>
    <w:r>
      <w:rPr>
        <w:noProof/>
      </w:rPr>
      <mc:AlternateContent>
        <mc:Choice Requires="wps">
          <w:drawing>
            <wp:anchor distT="0" distB="0" distL="0" distR="0" simplePos="0" relativeHeight="251659812" behindDoc="0" locked="0" layoutInCell="1" allowOverlap="1" wp14:anchorId="0B0816C7" wp14:editId="71F43C68">
              <wp:simplePos x="635" y="635"/>
              <wp:positionH relativeFrom="page">
                <wp:align>center</wp:align>
              </wp:positionH>
              <wp:positionV relativeFrom="page">
                <wp:align>bottom</wp:align>
              </wp:positionV>
              <wp:extent cx="2214245" cy="368300"/>
              <wp:effectExtent l="0" t="0" r="14605" b="0"/>
              <wp:wrapNone/>
              <wp:docPr id="1520407778" name="Text Box 37"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3A960BF2" w14:textId="29552718"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0816C7" id="_x0000_t202" coordsize="21600,21600" o:spt="202" path="m,l,21600r21600,l21600,xe">
              <v:stroke joinstyle="miter"/>
              <v:path gradientshapeok="t" o:connecttype="rect"/>
            </v:shapetype>
            <v:shape id="Text Box 37" o:spid="_x0000_s1052" type="#_x0000_t202" alt="[IN-CONFIDENCE - RELEASE EXTERNAL]" style="position:absolute;margin-left:0;margin-top:0;width:174.35pt;height:29pt;z-index:2516598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" filled="f" stroked="f">
              <v:textbox style="mso-fit-shape-to-text:t" inset="0,0,0,15pt">
                <w:txbxContent>
                  <w:p w14:paraId="3A960BF2" w14:textId="29552718"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BE915" w14:textId="77777777" w:rsidR="00990680" w:rsidRPr="00774754" w:rsidRDefault="00990680" w:rsidP="00BD776F">
      <w:pPr>
        <w:pStyle w:val="Footer"/>
        <w:spacing w:before="200"/>
      </w:pPr>
    </w:p>
  </w:footnote>
  <w:footnote w:type="continuationSeparator" w:id="0">
    <w:p w14:paraId="16CED85C" w14:textId="77777777" w:rsidR="00990680" w:rsidRPr="00774754" w:rsidRDefault="00990680" w:rsidP="00BD776F">
      <w:pPr>
        <w:pStyle w:val="Footer"/>
        <w:spacing w:before="200"/>
      </w:pPr>
    </w:p>
  </w:footnote>
  <w:footnote w:type="continuationNotice" w:id="1">
    <w:p w14:paraId="2C65BB91" w14:textId="77777777" w:rsidR="00990680" w:rsidRPr="00774754" w:rsidRDefault="00990680" w:rsidP="00BD776F">
      <w:pPr>
        <w:spacing w:before="200" w:after="0" w:line="240" w:lineRule="auto"/>
        <w:rPr>
          <w:sz w:val="16"/>
          <w:szCs w:val="16"/>
        </w:rPr>
      </w:pPr>
    </w:p>
  </w:footnote>
  <w:footnote w:id="2">
    <w:p w14:paraId="7DEB435B" w14:textId="5DCC5F1C" w:rsidR="00F8040A" w:rsidRPr="006326E3" w:rsidRDefault="00F8040A" w:rsidP="00F8040A">
      <w:pPr>
        <w:pStyle w:val="FootnoteText"/>
        <w:rPr>
          <w:sz w:val="15"/>
          <w:szCs w:val="15"/>
        </w:rPr>
      </w:pPr>
      <w:r w:rsidRPr="006326E3">
        <w:rPr>
          <w:rStyle w:val="FootnoteReference"/>
          <w:sz w:val="15"/>
          <w:szCs w:val="15"/>
        </w:rPr>
        <w:footnoteRef/>
      </w:r>
      <w:r w:rsidRPr="006326E3">
        <w:rPr>
          <w:sz w:val="15"/>
          <w:szCs w:val="15"/>
        </w:rPr>
        <w:t xml:space="preserve"> </w:t>
      </w:r>
      <w:r w:rsidR="009E2B28">
        <w:rPr>
          <w:sz w:val="15"/>
          <w:szCs w:val="15"/>
        </w:rPr>
        <w:tab/>
      </w:r>
      <w:r>
        <w:rPr>
          <w:sz w:val="15"/>
          <w:szCs w:val="15"/>
        </w:rPr>
        <w:t xml:space="preserve">Teaching Council of Aotearoa New Zealand. (2025). </w:t>
      </w:r>
      <w:r w:rsidRPr="00EF6B54">
        <w:rPr>
          <w:i/>
          <w:iCs/>
          <w:sz w:val="15"/>
          <w:szCs w:val="15"/>
        </w:rPr>
        <w:t>For teacher education providers</w:t>
      </w:r>
      <w:r>
        <w:rPr>
          <w:sz w:val="15"/>
          <w:szCs w:val="15"/>
        </w:rPr>
        <w:t xml:space="preserve">. </w:t>
      </w:r>
      <w:hyperlink r:id="rId1" w:history="1">
        <w:r w:rsidR="006E0449" w:rsidRPr="00B43918">
          <w:rPr>
            <w:rStyle w:val="Hyperlink"/>
            <w:sz w:val="15"/>
            <w:szCs w:val="15"/>
          </w:rPr>
          <w:t>https://teachingcouncil.nz/en/for-teacher-education-providers</w:t>
        </w:r>
      </w:hyperlink>
      <w:r w:rsidR="006E0449">
        <w:rPr>
          <w:sz w:val="15"/>
          <w:szCs w:val="15"/>
        </w:rPr>
        <w:t xml:space="preserve"> </w:t>
      </w:r>
    </w:p>
  </w:footnote>
  <w:footnote w:id="3">
    <w:p w14:paraId="268127A5" w14:textId="7274897E" w:rsidR="002A02DD" w:rsidRPr="00F57946" w:rsidRDefault="002A02DD" w:rsidP="00F57946">
      <w:pPr>
        <w:pStyle w:val="FootnoteText"/>
        <w:rPr>
          <w:rStyle w:val="FootnoteTextChar"/>
          <w:lang w:eastAsia="en-GB"/>
        </w:rPr>
      </w:pPr>
      <w:r w:rsidRPr="00F57946">
        <w:rPr>
          <w:rStyle w:val="FootnoteReference"/>
        </w:rPr>
        <w:footnoteRef/>
      </w:r>
      <w:r w:rsidRPr="00F57946">
        <w:t xml:space="preserve"> </w:t>
      </w:r>
      <w:r w:rsidR="00F57946">
        <w:tab/>
      </w:r>
      <w:r w:rsidRPr="00F57946">
        <w:rPr>
          <w:rStyle w:val="FootnoteTextChar"/>
          <w:lang w:val="mi-NZ" w:eastAsia="en-GB"/>
        </w:rPr>
        <w:t>Ha</w:t>
      </w:r>
      <w:r w:rsidRPr="00F66F24">
        <w:rPr>
          <w:rStyle w:val="FootnoteTextChar"/>
          <w:szCs w:val="14"/>
          <w:lang w:val="mi-NZ" w:eastAsia="en-GB"/>
        </w:rPr>
        <w:t xml:space="preserve">ttie, J. (2003). Teachers make a difference: What is the research evidence? Paper presented at the Building Teacher Quality: What does the research tell us. ACER Conference, Melbourne, Australia. </w:t>
      </w:r>
      <w:hyperlink r:id="rId2" w:history="1">
        <w:r w:rsidRPr="001475CF">
          <w:rPr>
            <w:rStyle w:val="Hyperlink"/>
            <w:szCs w:val="14"/>
            <w:lang w:val="mi-NZ"/>
          </w:rPr>
          <w:t>https://research.acer.edu.au/cgi/viewcontent.cgi?article=1003&amp;context=research_conference_2003</w:t>
        </w:r>
      </w:hyperlink>
      <w:r w:rsidRPr="00F66F24">
        <w:rPr>
          <w:rStyle w:val="FootnoteTextChar"/>
          <w:szCs w:val="14"/>
          <w:lang w:val="mi-NZ" w:eastAsia="en-GB"/>
        </w:rPr>
        <w:t xml:space="preserve">; Hanushek, E. A., &amp; Rivkin, S. G. (2010). Generalisations about using value-added measures of teacher quality. American Economic Review, 100(2), 267-71. </w:t>
      </w:r>
      <w:hyperlink r:id="rId3" w:history="1">
        <w:r w:rsidRPr="001475CF">
          <w:rPr>
            <w:rStyle w:val="Hyperlink"/>
            <w:szCs w:val="14"/>
            <w:lang w:val="it-IT"/>
          </w:rPr>
          <w:t>https://www.aeaweb.org/articles?id=10.1257/aer.100.2.267</w:t>
        </w:r>
      </w:hyperlink>
      <w:r w:rsidRPr="001475CF">
        <w:rPr>
          <w:rStyle w:val="Hyperlink"/>
          <w:szCs w:val="14"/>
          <w:lang w:val="it-IT"/>
        </w:rPr>
        <w:t>;</w:t>
      </w:r>
      <w:r w:rsidRPr="00F66F24">
        <w:rPr>
          <w:rStyle w:val="FootnoteTextChar"/>
          <w:szCs w:val="14"/>
          <w:lang w:val="it-IT" w:eastAsia="en-GB"/>
        </w:rPr>
        <w:t xml:space="preserve"> Alton-Lee, A. (2003). </w:t>
      </w:r>
      <w:r w:rsidRPr="00F66F24">
        <w:rPr>
          <w:rStyle w:val="FootnoteTextChar"/>
          <w:szCs w:val="14"/>
          <w:lang w:eastAsia="en-GB"/>
        </w:rPr>
        <w:t>Quality teaching for diverse students in schooling: Best evidence synthesis. Ministry of Education.</w:t>
      </w:r>
      <w:r w:rsidR="00F66F24" w:rsidRPr="00F66F24">
        <w:rPr>
          <w:rStyle w:val="FootnoteTextChar"/>
          <w:szCs w:val="14"/>
          <w:lang w:eastAsia="en-GB"/>
        </w:rPr>
        <w:t xml:space="preserve"> </w:t>
      </w:r>
      <w:hyperlink r:id="rId4" w:history="1">
        <w:r w:rsidR="00F66F24" w:rsidRPr="00F66F24">
          <w:rPr>
            <w:rStyle w:val="Hyperlink"/>
            <w:szCs w:val="14"/>
          </w:rPr>
          <w:t>https://www.educationcounts.govt.nz/publications/series/2515/5959</w:t>
        </w:r>
      </w:hyperlink>
    </w:p>
    <w:p w14:paraId="7501CB14" w14:textId="43DAAFB8" w:rsidR="002A02DD" w:rsidRPr="002A02DD" w:rsidRDefault="002A02DD">
      <w:pPr>
        <w:pStyle w:val="FootnoteText"/>
        <w:rPr>
          <w:lang w:val="en-US"/>
        </w:rPr>
      </w:pPr>
    </w:p>
  </w:footnote>
  <w:footnote w:id="4">
    <w:p w14:paraId="582AA1AE" w14:textId="7BBF5A18" w:rsidR="00B414B1" w:rsidRPr="00B4300F" w:rsidRDefault="00B414B1">
      <w:pPr>
        <w:pStyle w:val="FootnoteText"/>
        <w:rPr>
          <w:lang w:val="mi-NZ"/>
        </w:rPr>
      </w:pPr>
      <w:r w:rsidRPr="00D00756">
        <w:rPr>
          <w:rStyle w:val="FootnoteReference"/>
        </w:rPr>
        <w:footnoteRef/>
      </w:r>
      <w:r w:rsidRPr="00D00756">
        <w:t xml:space="preserve"> </w:t>
      </w:r>
      <w:r w:rsidR="002D3AE1" w:rsidRPr="00D00756">
        <w:tab/>
      </w:r>
      <w:r w:rsidR="00061C97" w:rsidRPr="00D00756">
        <w:rPr>
          <w:lang w:val="mi-NZ"/>
        </w:rPr>
        <w:t>Evidence should be understood more broadly, including mātauranga Māori, kaupapa Māori evidence, Māori education research, and professional expertise from Māori-medium and English-medium Māori education contexts.</w:t>
      </w:r>
      <w:r w:rsidR="00061C97">
        <w:rPr>
          <w:lang w:val="mi-NZ"/>
        </w:rPr>
        <w:t xml:space="preserve"> </w:t>
      </w:r>
    </w:p>
  </w:footnote>
  <w:footnote w:id="5">
    <w:p w14:paraId="64670BE5" w14:textId="35B30E62" w:rsidR="00C15C3A" w:rsidRPr="006326E3" w:rsidRDefault="00C15C3A" w:rsidP="00C15C3A">
      <w:pPr>
        <w:pStyle w:val="FootnoteText"/>
        <w:rPr>
          <w:sz w:val="15"/>
          <w:szCs w:val="15"/>
        </w:rPr>
      </w:pPr>
      <w:r w:rsidRPr="006326E3">
        <w:rPr>
          <w:rStyle w:val="FootnoteReference"/>
          <w:sz w:val="15"/>
          <w:szCs w:val="15"/>
        </w:rPr>
        <w:footnoteRef/>
      </w:r>
      <w:r w:rsidRPr="006326E3">
        <w:rPr>
          <w:sz w:val="15"/>
          <w:szCs w:val="15"/>
        </w:rPr>
        <w:t xml:space="preserve"> </w:t>
      </w:r>
      <w:r w:rsidR="003D4499">
        <w:rPr>
          <w:sz w:val="15"/>
          <w:szCs w:val="15"/>
        </w:rPr>
        <w:tab/>
      </w:r>
      <w:r>
        <w:rPr>
          <w:sz w:val="15"/>
          <w:szCs w:val="15"/>
        </w:rPr>
        <w:t xml:space="preserve">Teaching Council of Aotearoa New Zealand. (2025). </w:t>
      </w:r>
      <w:r w:rsidRPr="00EF6B54">
        <w:rPr>
          <w:i/>
          <w:iCs/>
          <w:sz w:val="15"/>
          <w:szCs w:val="15"/>
        </w:rPr>
        <w:t>For teacher education providers</w:t>
      </w:r>
      <w:r>
        <w:rPr>
          <w:sz w:val="15"/>
          <w:szCs w:val="15"/>
        </w:rPr>
        <w:t xml:space="preserve">. </w:t>
      </w:r>
      <w:hyperlink r:id="rId5" w:history="1">
        <w:r w:rsidR="00B67FEC" w:rsidRPr="00B43918">
          <w:rPr>
            <w:rStyle w:val="Hyperlink"/>
            <w:sz w:val="15"/>
            <w:szCs w:val="15"/>
          </w:rPr>
          <w:t>https://teachingcouncil.nz/en/for-teacher-education-providers</w:t>
        </w:r>
      </w:hyperlink>
      <w:r w:rsidR="00B67FEC">
        <w:rPr>
          <w:sz w:val="15"/>
          <w:szCs w:val="15"/>
        </w:rPr>
        <w:t xml:space="preserve"> </w:t>
      </w:r>
    </w:p>
  </w:footnote>
  <w:footnote w:id="6">
    <w:p w14:paraId="60403678" w14:textId="775E96A7" w:rsidR="00C15C3A" w:rsidRPr="006326E3" w:rsidRDefault="00C15C3A" w:rsidP="00C15C3A">
      <w:pPr>
        <w:pStyle w:val="FootnoteText"/>
        <w:rPr>
          <w:sz w:val="15"/>
          <w:szCs w:val="15"/>
        </w:rPr>
      </w:pPr>
      <w:r w:rsidRPr="006326E3">
        <w:rPr>
          <w:rStyle w:val="FootnoteReference"/>
          <w:sz w:val="15"/>
          <w:szCs w:val="15"/>
        </w:rPr>
        <w:footnoteRef/>
      </w:r>
      <w:r w:rsidRPr="006326E3">
        <w:rPr>
          <w:sz w:val="15"/>
          <w:szCs w:val="15"/>
        </w:rPr>
        <w:t xml:space="preserve"> </w:t>
      </w:r>
      <w:r w:rsidR="003D4499">
        <w:rPr>
          <w:sz w:val="15"/>
          <w:szCs w:val="15"/>
        </w:rPr>
        <w:tab/>
      </w:r>
      <w:r>
        <w:rPr>
          <w:sz w:val="15"/>
          <w:szCs w:val="15"/>
        </w:rPr>
        <w:t xml:space="preserve">Teaching Council of Aotearoa New Zealand. (2025). </w:t>
      </w:r>
      <w:r w:rsidRPr="006B186D">
        <w:rPr>
          <w:i/>
          <w:iCs/>
          <w:sz w:val="15"/>
          <w:szCs w:val="15"/>
        </w:rPr>
        <w:t>Study to become a teacher</w:t>
      </w:r>
      <w:r>
        <w:rPr>
          <w:sz w:val="15"/>
          <w:szCs w:val="15"/>
        </w:rPr>
        <w:t xml:space="preserve">. </w:t>
      </w:r>
      <w:hyperlink r:id="rId6" w:history="1">
        <w:r w:rsidR="00B67FEC" w:rsidRPr="00B43918">
          <w:rPr>
            <w:rStyle w:val="Hyperlink"/>
            <w:sz w:val="15"/>
            <w:szCs w:val="15"/>
          </w:rPr>
          <w:t>https://teachingcouncil.nz/en/become-a-teacher/based-in-aotearoa-new-zealand/study-to-become-a-teacher</w:t>
        </w:r>
      </w:hyperlink>
      <w:r w:rsidR="00B67FEC">
        <w:rPr>
          <w:sz w:val="15"/>
          <w:szCs w:val="15"/>
        </w:rPr>
        <w:t xml:space="preserve"> </w:t>
      </w:r>
    </w:p>
  </w:footnote>
  <w:footnote w:id="7">
    <w:p w14:paraId="1A76711D" w14:textId="37AA4E9E" w:rsidR="00C15C3A" w:rsidRPr="006326E3" w:rsidRDefault="00C15C3A" w:rsidP="00C15C3A">
      <w:pPr>
        <w:pStyle w:val="FootnoteText"/>
        <w:rPr>
          <w:sz w:val="15"/>
          <w:szCs w:val="15"/>
        </w:rPr>
      </w:pPr>
      <w:r w:rsidRPr="006326E3">
        <w:rPr>
          <w:rStyle w:val="FootnoteReference"/>
          <w:sz w:val="15"/>
          <w:szCs w:val="15"/>
        </w:rPr>
        <w:footnoteRef/>
      </w:r>
      <w:r w:rsidRPr="006326E3">
        <w:rPr>
          <w:sz w:val="15"/>
          <w:szCs w:val="15"/>
        </w:rPr>
        <w:t xml:space="preserve"> </w:t>
      </w:r>
      <w:r w:rsidR="003D4499">
        <w:rPr>
          <w:sz w:val="15"/>
          <w:szCs w:val="15"/>
        </w:rPr>
        <w:tab/>
      </w:r>
      <w:r w:rsidRPr="002468A3">
        <w:rPr>
          <w:sz w:val="15"/>
          <w:szCs w:val="15"/>
        </w:rPr>
        <w:t>Te Whāriki Online</w:t>
      </w:r>
      <w:r>
        <w:rPr>
          <w:sz w:val="15"/>
          <w:szCs w:val="15"/>
        </w:rPr>
        <w:t xml:space="preserve">. (2026). </w:t>
      </w:r>
      <w:r w:rsidRPr="00313F0E">
        <w:rPr>
          <w:i/>
          <w:sz w:val="15"/>
          <w:szCs w:val="15"/>
        </w:rPr>
        <w:t>Te Whāriki Online.</w:t>
      </w:r>
      <w:r>
        <w:rPr>
          <w:sz w:val="15"/>
          <w:szCs w:val="15"/>
        </w:rPr>
        <w:t xml:space="preserve"> </w:t>
      </w:r>
      <w:hyperlink r:id="rId7" w:history="1">
        <w:r w:rsidR="00B67FEC" w:rsidRPr="00B43918">
          <w:rPr>
            <w:rStyle w:val="Hyperlink"/>
            <w:sz w:val="15"/>
            <w:szCs w:val="15"/>
          </w:rPr>
          <w:t>https://tewhariki.tahurangi.education.govt.nz/</w:t>
        </w:r>
      </w:hyperlink>
      <w:r w:rsidR="00B67FEC">
        <w:rPr>
          <w:sz w:val="15"/>
          <w:szCs w:val="15"/>
        </w:rPr>
        <w:t xml:space="preserve"> </w:t>
      </w:r>
    </w:p>
  </w:footnote>
  <w:footnote w:id="8">
    <w:p w14:paraId="4CDE1F01" w14:textId="16AD0270" w:rsidR="00C15C3A" w:rsidRPr="006326E3" w:rsidRDefault="00C15C3A" w:rsidP="00C15C3A">
      <w:pPr>
        <w:pStyle w:val="FootnoteText"/>
        <w:rPr>
          <w:sz w:val="15"/>
          <w:szCs w:val="15"/>
        </w:rPr>
      </w:pPr>
      <w:r w:rsidRPr="006326E3">
        <w:rPr>
          <w:rStyle w:val="FootnoteReference"/>
          <w:sz w:val="15"/>
          <w:szCs w:val="15"/>
        </w:rPr>
        <w:footnoteRef/>
      </w:r>
      <w:r w:rsidRPr="006326E3">
        <w:rPr>
          <w:sz w:val="15"/>
          <w:szCs w:val="15"/>
        </w:rPr>
        <w:t xml:space="preserve"> </w:t>
      </w:r>
      <w:r w:rsidR="003D4499">
        <w:rPr>
          <w:sz w:val="15"/>
          <w:szCs w:val="15"/>
        </w:rPr>
        <w:tab/>
      </w:r>
      <w:r w:rsidRPr="00AE00FC">
        <w:rPr>
          <w:sz w:val="15"/>
          <w:szCs w:val="15"/>
        </w:rPr>
        <w:t xml:space="preserve">Tāhūrangi </w:t>
      </w:r>
      <w:r>
        <w:rPr>
          <w:sz w:val="15"/>
          <w:szCs w:val="15"/>
        </w:rPr>
        <w:t xml:space="preserve">- </w:t>
      </w:r>
      <w:r w:rsidRPr="00A533F9">
        <w:rPr>
          <w:sz w:val="15"/>
          <w:szCs w:val="15"/>
        </w:rPr>
        <w:t>New Zealand Curriculum</w:t>
      </w:r>
      <w:r>
        <w:rPr>
          <w:sz w:val="15"/>
          <w:szCs w:val="15"/>
        </w:rPr>
        <w:t xml:space="preserve">. 2026. </w:t>
      </w:r>
      <w:r w:rsidRPr="00A533F9">
        <w:rPr>
          <w:i/>
          <w:iCs/>
          <w:sz w:val="15"/>
          <w:szCs w:val="15"/>
        </w:rPr>
        <w:t>New Zealand Curriculum</w:t>
      </w:r>
      <w:r>
        <w:rPr>
          <w:sz w:val="15"/>
          <w:szCs w:val="15"/>
        </w:rPr>
        <w:t xml:space="preserve">. </w:t>
      </w:r>
      <w:hyperlink r:id="rId8" w:history="1">
        <w:r w:rsidR="00B67FEC" w:rsidRPr="00B43918">
          <w:rPr>
            <w:rStyle w:val="Hyperlink"/>
            <w:sz w:val="15"/>
            <w:szCs w:val="15"/>
          </w:rPr>
          <w:t>https://newzealandcurriculum.tahurangi.education.govt.nz/new-zealand-curriculum/5637175326.p</w:t>
        </w:r>
      </w:hyperlink>
      <w:r w:rsidR="00B67FEC">
        <w:rPr>
          <w:sz w:val="15"/>
          <w:szCs w:val="15"/>
        </w:rPr>
        <w:t xml:space="preserve"> </w:t>
      </w:r>
    </w:p>
  </w:footnote>
  <w:footnote w:id="9">
    <w:p w14:paraId="00584F6B" w14:textId="2CBEEDB2" w:rsidR="00C15C3A" w:rsidRPr="00F24B7C" w:rsidRDefault="00C15C3A" w:rsidP="00C15C3A">
      <w:pPr>
        <w:pStyle w:val="FootnoteText"/>
        <w:rPr>
          <w:sz w:val="15"/>
          <w:szCs w:val="15"/>
        </w:rPr>
      </w:pPr>
      <w:r w:rsidRPr="006326E3">
        <w:rPr>
          <w:rStyle w:val="FootnoteReference"/>
          <w:sz w:val="15"/>
          <w:szCs w:val="15"/>
        </w:rPr>
        <w:footnoteRef/>
      </w:r>
      <w:r w:rsidRPr="00435BDD">
        <w:rPr>
          <w:sz w:val="15"/>
          <w:szCs w:val="15"/>
          <w:lang w:val="it-IT"/>
        </w:rPr>
        <w:t xml:space="preserve"> </w:t>
      </w:r>
      <w:r w:rsidR="003D4499">
        <w:rPr>
          <w:sz w:val="15"/>
          <w:szCs w:val="15"/>
          <w:lang w:val="it-IT"/>
        </w:rPr>
        <w:tab/>
      </w:r>
      <w:r w:rsidRPr="00435BDD">
        <w:rPr>
          <w:sz w:val="15"/>
          <w:szCs w:val="15"/>
          <w:lang w:val="it-IT"/>
        </w:rPr>
        <w:t xml:space="preserve">Tāhūrangi – Kauwhata Reo. (2026). </w:t>
      </w:r>
      <w:r w:rsidRPr="00435BDD">
        <w:rPr>
          <w:i/>
          <w:sz w:val="15"/>
          <w:szCs w:val="15"/>
          <w:lang w:val="it-IT"/>
        </w:rPr>
        <w:t>Te Marautanga o Aotearoa</w:t>
      </w:r>
      <w:r w:rsidRPr="00435BDD">
        <w:rPr>
          <w:sz w:val="15"/>
          <w:szCs w:val="15"/>
          <w:lang w:val="it-IT"/>
        </w:rPr>
        <w:t xml:space="preserve">. </w:t>
      </w:r>
      <w:hyperlink r:id="rId9" w:history="1">
        <w:r w:rsidR="007645DE" w:rsidRPr="00F24B7C">
          <w:rPr>
            <w:rStyle w:val="Hyperlink"/>
            <w:sz w:val="15"/>
            <w:szCs w:val="15"/>
          </w:rPr>
          <w:t>https://kauwhatareo.tahurangi.education.govt.nz/mi/kauwhata-reo/whata-marau/ng-marau/te-t-rewa-marautanga-o-aotearoa/5637154333.c</w:t>
        </w:r>
      </w:hyperlink>
      <w:r w:rsidR="007645DE" w:rsidRPr="00F24B7C">
        <w:rPr>
          <w:sz w:val="15"/>
          <w:szCs w:val="15"/>
        </w:rPr>
        <w:t xml:space="preserve"> </w:t>
      </w:r>
    </w:p>
  </w:footnote>
  <w:footnote w:id="10">
    <w:p w14:paraId="56EB7E7B" w14:textId="76D21B30" w:rsidR="00C15C3A" w:rsidRPr="006326E3" w:rsidRDefault="00C15C3A" w:rsidP="00C15C3A">
      <w:pPr>
        <w:pStyle w:val="FootnoteText"/>
        <w:rPr>
          <w:sz w:val="15"/>
          <w:szCs w:val="15"/>
        </w:rPr>
      </w:pPr>
      <w:r w:rsidRPr="006326E3">
        <w:rPr>
          <w:rStyle w:val="FootnoteReference"/>
          <w:sz w:val="15"/>
          <w:szCs w:val="15"/>
        </w:rPr>
        <w:footnoteRef/>
      </w:r>
      <w:r w:rsidRPr="006326E3">
        <w:rPr>
          <w:sz w:val="15"/>
          <w:szCs w:val="15"/>
        </w:rPr>
        <w:t xml:space="preserve"> </w:t>
      </w:r>
      <w:r w:rsidR="003D4499">
        <w:rPr>
          <w:sz w:val="15"/>
          <w:szCs w:val="15"/>
        </w:rPr>
        <w:tab/>
      </w:r>
      <w:r>
        <w:rPr>
          <w:sz w:val="15"/>
          <w:szCs w:val="15"/>
        </w:rPr>
        <w:t>Teaching Council of Aotearoa New Zealand. (2025).</w:t>
      </w:r>
      <w:r w:rsidRPr="006326E3">
        <w:rPr>
          <w:sz w:val="15"/>
          <w:szCs w:val="15"/>
        </w:rPr>
        <w:t xml:space="preserve"> </w:t>
      </w:r>
      <w:r w:rsidRPr="00807DB7">
        <w:rPr>
          <w:i/>
          <w:sz w:val="15"/>
          <w:szCs w:val="15"/>
        </w:rPr>
        <w:t>ITE Programme Requirements</w:t>
      </w:r>
      <w:r>
        <w:rPr>
          <w:sz w:val="15"/>
          <w:szCs w:val="15"/>
        </w:rPr>
        <w:t xml:space="preserve">. </w:t>
      </w:r>
      <w:hyperlink r:id="rId10" w:history="1">
        <w:r w:rsidR="007645DE" w:rsidRPr="00B43918">
          <w:rPr>
            <w:rStyle w:val="Hyperlink"/>
            <w:sz w:val="15"/>
            <w:szCs w:val="15"/>
          </w:rPr>
          <w:t>https://teachingcouncil.nz/en/for-teacher-education-providers/setting-up-an-ite-programme/ite-programme-requirements</w:t>
        </w:r>
      </w:hyperlink>
      <w:r w:rsidR="007645DE">
        <w:rPr>
          <w:sz w:val="15"/>
          <w:szCs w:val="15"/>
        </w:rPr>
        <w:t xml:space="preserve"> </w:t>
      </w:r>
    </w:p>
  </w:footnote>
  <w:footnote w:id="11">
    <w:p w14:paraId="236020E2" w14:textId="5F795CEA" w:rsidR="00C15C3A" w:rsidRDefault="00C15C3A" w:rsidP="00C15C3A">
      <w:pPr>
        <w:pStyle w:val="FootnoteText"/>
      </w:pPr>
      <w:r w:rsidRPr="006326E3">
        <w:rPr>
          <w:rStyle w:val="FootnoteReference"/>
          <w:sz w:val="15"/>
          <w:szCs w:val="15"/>
        </w:rPr>
        <w:footnoteRef/>
      </w:r>
      <w:r w:rsidRPr="006326E3">
        <w:rPr>
          <w:sz w:val="15"/>
          <w:szCs w:val="15"/>
        </w:rPr>
        <w:t xml:space="preserve"> </w:t>
      </w:r>
      <w:r w:rsidR="003D4499">
        <w:rPr>
          <w:sz w:val="15"/>
          <w:szCs w:val="15"/>
        </w:rPr>
        <w:tab/>
      </w:r>
      <w:r>
        <w:rPr>
          <w:sz w:val="15"/>
          <w:szCs w:val="15"/>
        </w:rPr>
        <w:t xml:space="preserve">Teaching Council of Aotearoa New Zealand. (2025). </w:t>
      </w:r>
      <w:r w:rsidRPr="00807DB7">
        <w:rPr>
          <w:i/>
          <w:iCs/>
          <w:sz w:val="15"/>
          <w:szCs w:val="15"/>
        </w:rPr>
        <w:t>ITE programme review</w:t>
      </w:r>
      <w:r>
        <w:rPr>
          <w:sz w:val="15"/>
          <w:szCs w:val="15"/>
        </w:rPr>
        <w:t xml:space="preserve">. </w:t>
      </w:r>
      <w:hyperlink r:id="rId11" w:history="1">
        <w:r w:rsidR="007645DE" w:rsidRPr="00B43918">
          <w:rPr>
            <w:rStyle w:val="Hyperlink"/>
            <w:sz w:val="15"/>
            <w:szCs w:val="15"/>
          </w:rPr>
          <w:t>https://teachingcouncil.nz/en/for-teacher-education-providers/setting-up-an-ite-programme/ite-programme-review</w:t>
        </w:r>
      </w:hyperlink>
      <w:r w:rsidR="007645DE">
        <w:rPr>
          <w:sz w:val="15"/>
          <w:szCs w:val="15"/>
        </w:rPr>
        <w:t xml:space="preserve"> </w:t>
      </w:r>
    </w:p>
  </w:footnote>
  <w:footnote w:id="12">
    <w:p w14:paraId="39DA4B0E" w14:textId="45514817" w:rsidR="00C15C3A" w:rsidRPr="006326E3" w:rsidRDefault="00C15C3A" w:rsidP="00C15C3A">
      <w:pPr>
        <w:pStyle w:val="FootnoteText"/>
        <w:rPr>
          <w:sz w:val="15"/>
          <w:szCs w:val="15"/>
        </w:rPr>
      </w:pPr>
      <w:r w:rsidRPr="006326E3">
        <w:rPr>
          <w:rStyle w:val="FootnoteReference"/>
          <w:sz w:val="15"/>
          <w:szCs w:val="15"/>
        </w:rPr>
        <w:footnoteRef/>
      </w:r>
      <w:r w:rsidRPr="00807DB7">
        <w:rPr>
          <w:sz w:val="15"/>
          <w:szCs w:val="15"/>
        </w:rPr>
        <w:t xml:space="preserve"> </w:t>
      </w:r>
      <w:r w:rsidR="003D4499">
        <w:rPr>
          <w:sz w:val="15"/>
          <w:szCs w:val="15"/>
        </w:rPr>
        <w:tab/>
      </w:r>
      <w:r>
        <w:rPr>
          <w:sz w:val="15"/>
          <w:szCs w:val="15"/>
        </w:rPr>
        <w:t xml:space="preserve">Teaching Council of Aotearoa New Zealand. (2025). </w:t>
      </w:r>
      <w:r w:rsidRPr="006A6BE4">
        <w:rPr>
          <w:i/>
          <w:iCs/>
          <w:sz w:val="15"/>
          <w:szCs w:val="15"/>
        </w:rPr>
        <w:t>Your role as an ITE provider</w:t>
      </w:r>
      <w:r>
        <w:rPr>
          <w:sz w:val="15"/>
          <w:szCs w:val="15"/>
        </w:rPr>
        <w:t xml:space="preserve">. </w:t>
      </w:r>
      <w:hyperlink r:id="rId12" w:history="1">
        <w:r w:rsidR="007645DE" w:rsidRPr="00B43918">
          <w:rPr>
            <w:rStyle w:val="Hyperlink"/>
            <w:sz w:val="15"/>
            <w:szCs w:val="15"/>
          </w:rPr>
          <w:t>https://teachingcouncil.nz/en/for-teacher-education-providers/setting-up-an-ite-programme/your-role-as-an-ite-provider</w:t>
        </w:r>
      </w:hyperlink>
      <w:r w:rsidR="007645DE">
        <w:rPr>
          <w:sz w:val="15"/>
          <w:szCs w:val="15"/>
        </w:rPr>
        <w:t xml:space="preserve"> </w:t>
      </w:r>
    </w:p>
  </w:footnote>
  <w:footnote w:id="13">
    <w:p w14:paraId="067E2078" w14:textId="34ECBE0D" w:rsidR="00C15C3A" w:rsidRPr="00807DB7" w:rsidRDefault="00C15C3A" w:rsidP="00C15C3A">
      <w:pPr>
        <w:pStyle w:val="FootnoteText"/>
        <w:rPr>
          <w:sz w:val="15"/>
          <w:szCs w:val="15"/>
        </w:rPr>
      </w:pPr>
      <w:r w:rsidRPr="00807DB7">
        <w:rPr>
          <w:rStyle w:val="FootnoteReference"/>
          <w:sz w:val="15"/>
          <w:szCs w:val="15"/>
        </w:rPr>
        <w:footnoteRef/>
      </w:r>
      <w:r w:rsidRPr="00807DB7">
        <w:rPr>
          <w:sz w:val="15"/>
          <w:szCs w:val="15"/>
        </w:rPr>
        <w:t xml:space="preserve"> </w:t>
      </w:r>
      <w:r w:rsidR="003D4499">
        <w:rPr>
          <w:sz w:val="15"/>
          <w:szCs w:val="15"/>
        </w:rPr>
        <w:tab/>
      </w:r>
      <w:r>
        <w:rPr>
          <w:sz w:val="15"/>
          <w:szCs w:val="15"/>
        </w:rPr>
        <w:t xml:space="preserve">Teaching Council of Aotearoa New Zealand. (2025). </w:t>
      </w:r>
      <w:r w:rsidRPr="00807DB7">
        <w:rPr>
          <w:i/>
          <w:iCs/>
          <w:sz w:val="15"/>
          <w:szCs w:val="15"/>
        </w:rPr>
        <w:t>ITE Programme Requirements</w:t>
      </w:r>
      <w:r>
        <w:rPr>
          <w:sz w:val="15"/>
          <w:szCs w:val="15"/>
        </w:rPr>
        <w:t xml:space="preserve">. </w:t>
      </w:r>
      <w:hyperlink r:id="rId13" w:history="1">
        <w:r w:rsidR="007645DE" w:rsidRPr="00B43918">
          <w:rPr>
            <w:rStyle w:val="Hyperlink"/>
            <w:sz w:val="15"/>
            <w:szCs w:val="15"/>
          </w:rPr>
          <w:t>https://teachingcouncil.nz/en/for-teacher-education-providers/setting-up-an-ite-programme/ite-programme-requirements</w:t>
        </w:r>
      </w:hyperlink>
      <w:r w:rsidR="007645DE">
        <w:rPr>
          <w:sz w:val="15"/>
          <w:szCs w:val="15"/>
        </w:rPr>
        <w:t xml:space="preserve"> </w:t>
      </w:r>
    </w:p>
  </w:footnote>
  <w:footnote w:id="14">
    <w:p w14:paraId="2FB060E7" w14:textId="320C141A" w:rsidR="00C15C3A" w:rsidRPr="00807DB7" w:rsidRDefault="00C15C3A" w:rsidP="00C15C3A">
      <w:pPr>
        <w:pStyle w:val="FootnoteText"/>
        <w:rPr>
          <w:sz w:val="15"/>
          <w:szCs w:val="15"/>
        </w:rPr>
      </w:pPr>
      <w:r w:rsidRPr="00807DB7">
        <w:rPr>
          <w:rStyle w:val="FootnoteReference"/>
          <w:sz w:val="15"/>
          <w:szCs w:val="15"/>
        </w:rPr>
        <w:footnoteRef/>
      </w:r>
      <w:r w:rsidRPr="00807DB7">
        <w:rPr>
          <w:sz w:val="15"/>
          <w:szCs w:val="15"/>
        </w:rPr>
        <w:t xml:space="preserve"> </w:t>
      </w:r>
      <w:r w:rsidR="003D4499">
        <w:rPr>
          <w:sz w:val="15"/>
          <w:szCs w:val="15"/>
        </w:rPr>
        <w:tab/>
      </w:r>
      <w:r>
        <w:rPr>
          <w:sz w:val="15"/>
          <w:szCs w:val="15"/>
        </w:rPr>
        <w:t xml:space="preserve">Open Polytechnic. (2022, October 26). </w:t>
      </w:r>
      <w:r w:rsidRPr="00F66EFF">
        <w:rPr>
          <w:sz w:val="15"/>
          <w:szCs w:val="15"/>
        </w:rPr>
        <w:t xml:space="preserve">New programmes being launched by the Open Polytechnic are using an innovative network approach to widen national access to initial teacher education. </w:t>
      </w:r>
      <w:r>
        <w:rPr>
          <w:i/>
          <w:iCs/>
          <w:sz w:val="15"/>
          <w:szCs w:val="15"/>
        </w:rPr>
        <w:t xml:space="preserve">Open Polytechnic. </w:t>
      </w:r>
      <w:hyperlink r:id="rId14" w:history="1">
        <w:r w:rsidR="007645DE" w:rsidRPr="00B43918">
          <w:rPr>
            <w:rStyle w:val="Hyperlink"/>
            <w:sz w:val="15"/>
            <w:szCs w:val="15"/>
          </w:rPr>
          <w:t>https://www.openpolytechnic.ac.nz/about-us/news-publications-and-research/news/open-polytechnic-launches-new-initial-teacher-education-programmes/</w:t>
        </w:r>
      </w:hyperlink>
      <w:r w:rsidR="007645DE">
        <w:rPr>
          <w:sz w:val="15"/>
          <w:szCs w:val="15"/>
        </w:rPr>
        <w:t xml:space="preserve"> </w:t>
      </w:r>
    </w:p>
  </w:footnote>
  <w:footnote w:id="15">
    <w:p w14:paraId="1C82586F" w14:textId="1C1F872B" w:rsidR="00C15C3A" w:rsidRDefault="00C15C3A" w:rsidP="00C15C3A">
      <w:pPr>
        <w:pStyle w:val="FootnoteText"/>
      </w:pPr>
      <w:r w:rsidRPr="00807DB7">
        <w:rPr>
          <w:rStyle w:val="FootnoteReference"/>
          <w:sz w:val="15"/>
          <w:szCs w:val="15"/>
        </w:rPr>
        <w:footnoteRef/>
      </w:r>
      <w:r w:rsidRPr="00807DB7">
        <w:rPr>
          <w:sz w:val="15"/>
          <w:szCs w:val="15"/>
        </w:rPr>
        <w:t xml:space="preserve"> </w:t>
      </w:r>
      <w:r w:rsidR="003D4499">
        <w:rPr>
          <w:sz w:val="15"/>
          <w:szCs w:val="15"/>
        </w:rPr>
        <w:tab/>
      </w:r>
      <w:r>
        <w:rPr>
          <w:sz w:val="15"/>
          <w:szCs w:val="15"/>
        </w:rPr>
        <w:t xml:space="preserve">Education Workforce. (2026). </w:t>
      </w:r>
      <w:r w:rsidRPr="0046249F">
        <w:rPr>
          <w:i/>
          <w:iCs/>
          <w:sz w:val="15"/>
          <w:szCs w:val="15"/>
        </w:rPr>
        <w:t>Work at school while you study.</w:t>
      </w:r>
      <w:r>
        <w:rPr>
          <w:sz w:val="15"/>
          <w:szCs w:val="15"/>
        </w:rPr>
        <w:t xml:space="preserve"> </w:t>
      </w:r>
      <w:hyperlink r:id="rId15" w:history="1">
        <w:r w:rsidR="007645DE" w:rsidRPr="00B43918">
          <w:rPr>
            <w:rStyle w:val="Hyperlink"/>
            <w:sz w:val="15"/>
            <w:szCs w:val="15"/>
          </w:rPr>
          <w:t>https://workforce.education.govt.nz/becoming-teacher-new-zealand/pathways-becoming-teacher/work-school-while-you-study</w:t>
        </w:r>
      </w:hyperlink>
      <w:r w:rsidR="007645DE">
        <w:rPr>
          <w:sz w:val="15"/>
          <w:szCs w:val="15"/>
        </w:rPr>
        <w:t xml:space="preserve"> </w:t>
      </w:r>
    </w:p>
  </w:footnote>
  <w:footnote w:id="16">
    <w:p w14:paraId="68FABC5C" w14:textId="22C69025" w:rsidR="00A365EE" w:rsidRPr="00A365EE" w:rsidRDefault="00A365EE">
      <w:pPr>
        <w:pStyle w:val="FootnoteText"/>
        <w:rPr>
          <w:lang w:val="mi-NZ"/>
        </w:rPr>
      </w:pPr>
      <w:r>
        <w:rPr>
          <w:rStyle w:val="FootnoteReference"/>
        </w:rPr>
        <w:footnoteRef/>
      </w:r>
      <w:r>
        <w:t xml:space="preserve"> </w:t>
      </w:r>
      <w:r>
        <w:rPr>
          <w:lang w:val="mi-NZ"/>
        </w:rPr>
        <w:tab/>
        <w:t xml:space="preserve">As at 11 August 2026. </w:t>
      </w:r>
    </w:p>
  </w:footnote>
  <w:footnote w:id="17">
    <w:p w14:paraId="1B4769F0" w14:textId="499BB5DB" w:rsidR="66849E4A" w:rsidRPr="009D08F3" w:rsidRDefault="66849E4A" w:rsidP="009D08F3">
      <w:pPr>
        <w:pStyle w:val="FootnoteText"/>
      </w:pPr>
      <w:r w:rsidRPr="009D08F3">
        <w:rPr>
          <w:rStyle w:val="FootnoteReference"/>
          <w:vertAlign w:val="baseline"/>
        </w:rPr>
        <w:footnoteRef/>
      </w:r>
      <w:r w:rsidRPr="009D08F3">
        <w:t xml:space="preserve"> </w:t>
      </w:r>
      <w:r w:rsidR="009D08F3">
        <w:tab/>
      </w:r>
      <w:r w:rsidRPr="009D08F3">
        <w:t xml:space="preserve">Strong Beginnings (2023) </w:t>
      </w:r>
      <w:hyperlink r:id="rId16">
        <w:r w:rsidRPr="009D08F3">
          <w:rPr>
            <w:rStyle w:val="Hyperlink"/>
          </w:rPr>
          <w:t>https://www.education.gov.au/quality-initial-teacher-education-review/resources/strong-beginnings-report-teacher-education-expert-pane</w:t>
        </w:r>
        <w:r w:rsidRPr="00951940">
          <w:rPr>
            <w:rStyle w:val="Hyperlink"/>
          </w:rPr>
          <w:t>l</w:t>
        </w:r>
      </w:hyperlink>
      <w:r w:rsidRPr="009D08F3">
        <w:t xml:space="preserve">; Meeks, L., &amp; Stephenson, J. (2020). Australian preservice teachers and early reading instruction. Australian Journal of Learning Difficulties, 25(1), 65–82. </w:t>
      </w:r>
      <w:hyperlink r:id="rId17" w:history="1">
        <w:r w:rsidR="00C97387" w:rsidRPr="009E7F3D">
          <w:rPr>
            <w:rStyle w:val="Hyperlink"/>
          </w:rPr>
          <w:t>https://doi.org/10.1080/19404158.2020.1743730</w:t>
        </w:r>
      </w:hyperlink>
      <w:r w:rsidR="00C97387">
        <w:rPr>
          <w:rStyle w:val="Hyperlink"/>
        </w:rPr>
        <w:t xml:space="preserve"> </w:t>
      </w:r>
    </w:p>
  </w:footnote>
  <w:footnote w:id="18">
    <w:p w14:paraId="1940F7E7" w14:textId="6E8A0ED9" w:rsidR="00423FE3" w:rsidRPr="0079288D" w:rsidRDefault="00423FE3" w:rsidP="00423FE3">
      <w:pPr>
        <w:pStyle w:val="FootnoteText"/>
        <w:rPr>
          <w:sz w:val="15"/>
          <w:szCs w:val="15"/>
          <w:lang w:val="mi-NZ"/>
        </w:rPr>
      </w:pPr>
      <w:r w:rsidRPr="0079288D">
        <w:rPr>
          <w:rStyle w:val="FootnoteReference"/>
          <w:sz w:val="15"/>
          <w:szCs w:val="15"/>
        </w:rPr>
        <w:footnoteRef/>
      </w:r>
      <w:r w:rsidRPr="0079288D">
        <w:rPr>
          <w:sz w:val="15"/>
          <w:szCs w:val="15"/>
        </w:rPr>
        <w:t xml:space="preserve"> </w:t>
      </w:r>
      <w:r w:rsidR="003D4499">
        <w:rPr>
          <w:sz w:val="15"/>
          <w:szCs w:val="15"/>
        </w:rPr>
        <w:tab/>
      </w:r>
      <w:r w:rsidRPr="0079288D">
        <w:rPr>
          <w:sz w:val="15"/>
          <w:szCs w:val="15"/>
        </w:rPr>
        <w:t xml:space="preserve">Ministry of Education, (2024). </w:t>
      </w:r>
      <w:r w:rsidRPr="0079288D">
        <w:rPr>
          <w:i/>
          <w:sz w:val="15"/>
          <w:szCs w:val="15"/>
        </w:rPr>
        <w:t>Promoting equitable educational outcomes.</w:t>
      </w:r>
      <w:r w:rsidRPr="0079288D">
        <w:rPr>
          <w:sz w:val="15"/>
          <w:szCs w:val="15"/>
        </w:rPr>
        <w:t xml:space="preserve"> Ministry of Education. </w:t>
      </w:r>
      <w:hyperlink r:id="rId18" w:history="1">
        <w:r w:rsidR="007645DE" w:rsidRPr="00B43918">
          <w:rPr>
            <w:rStyle w:val="Hyperlink"/>
            <w:sz w:val="15"/>
            <w:szCs w:val="15"/>
          </w:rPr>
          <w:t>https://ao.parliament.nz/2024/educational-outcomes</w:t>
        </w:r>
      </w:hyperlink>
      <w:r w:rsidR="007645DE">
        <w:rPr>
          <w:sz w:val="15"/>
          <w:szCs w:val="15"/>
        </w:rPr>
        <w:t xml:space="preserve"> </w:t>
      </w:r>
    </w:p>
  </w:footnote>
  <w:footnote w:id="19">
    <w:p w14:paraId="6C7305DF" w14:textId="3745D2E8" w:rsidR="00423FE3" w:rsidRPr="006860E5" w:rsidRDefault="00423FE3" w:rsidP="00423FE3">
      <w:pPr>
        <w:pStyle w:val="FootnoteText"/>
        <w:rPr>
          <w:sz w:val="15"/>
          <w:szCs w:val="15"/>
          <w:lang w:val="mi-NZ"/>
        </w:rPr>
      </w:pPr>
      <w:r w:rsidRPr="006860E5">
        <w:rPr>
          <w:rStyle w:val="FootnoteReference"/>
          <w:sz w:val="15"/>
          <w:szCs w:val="15"/>
        </w:rPr>
        <w:footnoteRef/>
      </w:r>
      <w:r w:rsidRPr="006860E5">
        <w:rPr>
          <w:sz w:val="15"/>
          <w:szCs w:val="15"/>
        </w:rPr>
        <w:t xml:space="preserve"> </w:t>
      </w:r>
      <w:r w:rsidR="003D4499">
        <w:rPr>
          <w:sz w:val="15"/>
          <w:szCs w:val="15"/>
        </w:rPr>
        <w:tab/>
      </w:r>
      <w:r w:rsidRPr="006860E5">
        <w:rPr>
          <w:sz w:val="15"/>
          <w:szCs w:val="15"/>
        </w:rPr>
        <w:t>Notably, Māori ākonga in Māori-medium settings represent a clear exception, consistently achieving stronger outcomes than their peers in other streams of education</w:t>
      </w:r>
      <w:r>
        <w:rPr>
          <w:sz w:val="15"/>
          <w:szCs w:val="15"/>
        </w:rPr>
        <w:t xml:space="preserve">; </w:t>
      </w:r>
      <w:r w:rsidRPr="006860E5">
        <w:rPr>
          <w:sz w:val="15"/>
          <w:szCs w:val="15"/>
          <w:lang w:val="mi-NZ"/>
        </w:rPr>
        <w:t xml:space="preserve">Ministry of Education. (2024). </w:t>
      </w:r>
      <w:r w:rsidRPr="00A31355">
        <w:rPr>
          <w:i/>
          <w:iCs/>
          <w:sz w:val="15"/>
          <w:szCs w:val="15"/>
        </w:rPr>
        <w:t>Māori</w:t>
      </w:r>
      <w:r w:rsidRPr="00A31355">
        <w:rPr>
          <w:i/>
          <w:sz w:val="15"/>
          <w:szCs w:val="15"/>
        </w:rPr>
        <w:t xml:space="preserve"> </w:t>
      </w:r>
      <w:r w:rsidRPr="006860E5">
        <w:rPr>
          <w:i/>
          <w:iCs/>
          <w:sz w:val="15"/>
          <w:szCs w:val="15"/>
          <w:lang w:val="mi-NZ"/>
        </w:rPr>
        <w:t>Education Overview</w:t>
      </w:r>
      <w:r w:rsidRPr="006860E5">
        <w:rPr>
          <w:sz w:val="15"/>
          <w:szCs w:val="15"/>
          <w:lang w:val="mi-NZ"/>
        </w:rPr>
        <w:t xml:space="preserve">. Ministery of Education. </w:t>
      </w:r>
      <w:hyperlink r:id="rId19" w:history="1">
        <w:r w:rsidR="007645DE" w:rsidRPr="00B43918">
          <w:rPr>
            <w:rStyle w:val="Hyperlink"/>
            <w:sz w:val="15"/>
            <w:szCs w:val="15"/>
            <w:lang w:val="mi-NZ"/>
          </w:rPr>
          <w:t>https://web-assets.education.govt.nz/s3fs-public/2024-05/BN-1321550-Maori-education-overview.pdf</w:t>
        </w:r>
      </w:hyperlink>
      <w:r w:rsidR="007645DE">
        <w:rPr>
          <w:sz w:val="15"/>
          <w:szCs w:val="15"/>
          <w:lang w:val="mi-NZ"/>
        </w:rPr>
        <w:t xml:space="preserve"> </w:t>
      </w:r>
    </w:p>
  </w:footnote>
  <w:footnote w:id="20">
    <w:p w14:paraId="13B53B9E" w14:textId="1CEF398F" w:rsidR="00423FE3" w:rsidRPr="0079288D" w:rsidRDefault="00423FE3" w:rsidP="00423FE3">
      <w:pPr>
        <w:pStyle w:val="FootnoteText"/>
        <w:rPr>
          <w:sz w:val="15"/>
          <w:szCs w:val="15"/>
          <w:highlight w:val="yellow"/>
        </w:rPr>
      </w:pPr>
      <w:r w:rsidRPr="00A31355">
        <w:rPr>
          <w:rStyle w:val="FootnoteReference"/>
          <w:sz w:val="15"/>
          <w:szCs w:val="15"/>
        </w:rPr>
        <w:footnoteRef/>
      </w:r>
      <w:r w:rsidRPr="00A31355">
        <w:rPr>
          <w:sz w:val="15"/>
          <w:szCs w:val="15"/>
        </w:rPr>
        <w:t xml:space="preserve"> </w:t>
      </w:r>
      <w:r w:rsidR="003D4499">
        <w:rPr>
          <w:sz w:val="15"/>
          <w:szCs w:val="15"/>
        </w:rPr>
        <w:tab/>
      </w:r>
      <w:r w:rsidRPr="00194F8E">
        <w:rPr>
          <w:sz w:val="15"/>
          <w:szCs w:val="15"/>
        </w:rPr>
        <w:t xml:space="preserve">Hattie, J. (2003). </w:t>
      </w:r>
      <w:r w:rsidRPr="00194F8E">
        <w:rPr>
          <w:i/>
          <w:sz w:val="15"/>
          <w:szCs w:val="15"/>
        </w:rPr>
        <w:t>Teachers make a difference: What is the research evidence? Paper presented at the Building Teacher Quality: What does the research tell us.</w:t>
      </w:r>
      <w:r w:rsidRPr="00194F8E">
        <w:rPr>
          <w:sz w:val="15"/>
          <w:szCs w:val="15"/>
        </w:rPr>
        <w:t xml:space="preserve"> ACER Conference, Melbourne, Australia. </w:t>
      </w:r>
      <w:hyperlink r:id="rId20" w:history="1">
        <w:r w:rsidRPr="00194F8E">
          <w:rPr>
            <w:rStyle w:val="Hyperlink"/>
            <w:sz w:val="15"/>
            <w:szCs w:val="15"/>
          </w:rPr>
          <w:t>https://research.acer.edu.au/cgi/viewcontent.cgi?article=1003&amp;context=research_conference_2003</w:t>
        </w:r>
      </w:hyperlink>
      <w:r w:rsidRPr="00194F8E">
        <w:rPr>
          <w:sz w:val="15"/>
          <w:szCs w:val="15"/>
        </w:rPr>
        <w:t xml:space="preserve">; Hanushek, E. A., &amp; Rivkin, S. G. (2010) Generalisations about using value -added measures of teacher quality. </w:t>
      </w:r>
      <w:r w:rsidRPr="00194F8E">
        <w:rPr>
          <w:i/>
          <w:sz w:val="15"/>
          <w:szCs w:val="15"/>
        </w:rPr>
        <w:t>American Economic Review</w:t>
      </w:r>
      <w:r w:rsidRPr="00194F8E">
        <w:rPr>
          <w:sz w:val="15"/>
          <w:szCs w:val="15"/>
        </w:rPr>
        <w:t xml:space="preserve">, 100(2), 267 -71. </w:t>
      </w:r>
      <w:hyperlink r:id="rId21" w:history="1">
        <w:r w:rsidRPr="00194F8E">
          <w:rPr>
            <w:rStyle w:val="Hyperlink"/>
            <w:sz w:val="15"/>
            <w:szCs w:val="15"/>
          </w:rPr>
          <w:t>https://www.aeaweb.org/articles?id=10.1257/aer.100.2.267</w:t>
        </w:r>
      </w:hyperlink>
      <w:r w:rsidRPr="00194F8E">
        <w:rPr>
          <w:sz w:val="15"/>
          <w:szCs w:val="15"/>
        </w:rPr>
        <w:t>; Alton -Lee, A. (2003). Quality teaching for diverse students in schooling: Best evidence synthesis. M</w:t>
      </w:r>
      <w:r w:rsidRPr="00194F8E">
        <w:rPr>
          <w:i/>
          <w:sz w:val="15"/>
          <w:szCs w:val="15"/>
        </w:rPr>
        <w:t>inistry of Education</w:t>
      </w:r>
      <w:r w:rsidRPr="00194F8E">
        <w:rPr>
          <w:sz w:val="15"/>
          <w:szCs w:val="15"/>
        </w:rPr>
        <w:t xml:space="preserve">. </w:t>
      </w:r>
      <w:hyperlink r:id="rId22" w:history="1">
        <w:r w:rsidRPr="00194F8E">
          <w:rPr>
            <w:rStyle w:val="Hyperlink"/>
            <w:sz w:val="15"/>
            <w:szCs w:val="15"/>
          </w:rPr>
          <w:t>https://www.educationcounts.govt.nz/publications/series/2515/5959</w:t>
        </w:r>
      </w:hyperlink>
      <w:r w:rsidRPr="00194F8E">
        <w:rPr>
          <w:sz w:val="15"/>
          <w:szCs w:val="15"/>
        </w:rPr>
        <w:t xml:space="preserve">; Organisation for Economic Cooperation and Development. (2025). Teacher support for student learning: Insights from PISA. (OECD Education Policy Perspectives, No. 124) </w:t>
      </w:r>
      <w:r w:rsidRPr="00194F8E">
        <w:rPr>
          <w:i/>
          <w:sz w:val="15"/>
          <w:szCs w:val="15"/>
        </w:rPr>
        <w:t>OECD Publishing</w:t>
      </w:r>
      <w:r w:rsidRPr="00194F8E">
        <w:rPr>
          <w:sz w:val="15"/>
          <w:szCs w:val="15"/>
        </w:rPr>
        <w:t>.</w:t>
      </w:r>
    </w:p>
  </w:footnote>
  <w:footnote w:id="21">
    <w:p w14:paraId="2ABCDCC3" w14:textId="207FEA0F" w:rsidR="00423FE3" w:rsidRPr="00A31355" w:rsidRDefault="00423FE3" w:rsidP="00423FE3">
      <w:pPr>
        <w:pStyle w:val="FootnoteText"/>
        <w:rPr>
          <w:sz w:val="15"/>
          <w:szCs w:val="15"/>
          <w:lang w:val="mi-NZ"/>
        </w:rPr>
      </w:pPr>
      <w:r w:rsidRPr="00A31355">
        <w:rPr>
          <w:rStyle w:val="FootnoteReference"/>
          <w:sz w:val="15"/>
          <w:szCs w:val="15"/>
        </w:rPr>
        <w:footnoteRef/>
      </w:r>
      <w:r w:rsidRPr="00A31355">
        <w:rPr>
          <w:sz w:val="15"/>
          <w:szCs w:val="15"/>
        </w:rPr>
        <w:t xml:space="preserve"> </w:t>
      </w:r>
      <w:r w:rsidR="003D4499">
        <w:rPr>
          <w:sz w:val="15"/>
          <w:szCs w:val="15"/>
        </w:rPr>
        <w:tab/>
      </w:r>
      <w:r w:rsidRPr="00A31355">
        <w:rPr>
          <w:sz w:val="15"/>
          <w:szCs w:val="15"/>
        </w:rPr>
        <w:t>Quality matters report, Oral language report, OECD. (2025). Reducing inequalities by investing in early childhood education and care.</w:t>
      </w:r>
    </w:p>
  </w:footnote>
  <w:footnote w:id="22">
    <w:p w14:paraId="2A6DFFCE" w14:textId="0E51CD39" w:rsidR="00423FE3" w:rsidRPr="0081278D" w:rsidRDefault="00423FE3" w:rsidP="00423FE3">
      <w:pPr>
        <w:pStyle w:val="FootnoteText"/>
        <w:rPr>
          <w:highlight w:val="yellow"/>
          <w:lang w:val="mi-NZ"/>
        </w:rPr>
      </w:pPr>
      <w:r w:rsidRPr="00A31355">
        <w:rPr>
          <w:rStyle w:val="FootnoteReference"/>
          <w:sz w:val="15"/>
          <w:szCs w:val="15"/>
        </w:rPr>
        <w:footnoteRef/>
      </w:r>
      <w:r w:rsidRPr="00A31355">
        <w:rPr>
          <w:sz w:val="15"/>
          <w:szCs w:val="15"/>
        </w:rPr>
        <w:t xml:space="preserve"> </w:t>
      </w:r>
      <w:r w:rsidR="003D4499">
        <w:rPr>
          <w:sz w:val="15"/>
          <w:szCs w:val="15"/>
        </w:rPr>
        <w:tab/>
      </w:r>
      <w:r w:rsidRPr="00A31355">
        <w:rPr>
          <w:sz w:val="15"/>
          <w:szCs w:val="15"/>
        </w:rPr>
        <w:t xml:space="preserve">Ministry of Education. (2024). </w:t>
      </w:r>
      <w:r w:rsidRPr="00A31355">
        <w:rPr>
          <w:i/>
          <w:sz w:val="15"/>
          <w:szCs w:val="15"/>
        </w:rPr>
        <w:t>The teaching and learning international survey: 2024: TALIS findings for New Zealand.</w:t>
      </w:r>
      <w:r w:rsidRPr="00A31355">
        <w:rPr>
          <w:sz w:val="15"/>
          <w:szCs w:val="15"/>
        </w:rPr>
        <w:t xml:space="preserve"> Ministry of Education. </w:t>
      </w:r>
      <w:hyperlink r:id="rId23" w:history="1">
        <w:r w:rsidR="007645DE" w:rsidRPr="00B43918">
          <w:rPr>
            <w:rStyle w:val="Hyperlink"/>
            <w:sz w:val="15"/>
            <w:szCs w:val="15"/>
          </w:rPr>
          <w:t>https://www.educationcounts.govt.nz/__data/assets/pdf_file/0006/250791/TALIS-2024-Findings-for-New-Zealand-1.pdf</w:t>
        </w:r>
      </w:hyperlink>
      <w:r w:rsidR="007645DE">
        <w:rPr>
          <w:sz w:val="15"/>
          <w:szCs w:val="15"/>
        </w:rPr>
        <w:t xml:space="preserve"> </w:t>
      </w:r>
    </w:p>
  </w:footnote>
  <w:footnote w:id="23">
    <w:p w14:paraId="58FB48F1" w14:textId="150A3D6F" w:rsidR="00423FE3" w:rsidRPr="001D7389" w:rsidRDefault="00423FE3" w:rsidP="00423FE3">
      <w:pPr>
        <w:pStyle w:val="FootnoteText"/>
        <w:rPr>
          <w:sz w:val="15"/>
          <w:szCs w:val="15"/>
          <w:lang w:val="mi-NZ"/>
        </w:rPr>
      </w:pPr>
      <w:r w:rsidRPr="001D7389">
        <w:rPr>
          <w:rStyle w:val="FootnoteReference"/>
          <w:sz w:val="15"/>
          <w:szCs w:val="15"/>
        </w:rPr>
        <w:footnoteRef/>
      </w:r>
      <w:r w:rsidRPr="001D7389">
        <w:rPr>
          <w:sz w:val="15"/>
          <w:szCs w:val="15"/>
        </w:rPr>
        <w:t xml:space="preserve"> </w:t>
      </w:r>
      <w:r w:rsidR="003D4499">
        <w:rPr>
          <w:sz w:val="15"/>
          <w:szCs w:val="15"/>
        </w:rPr>
        <w:tab/>
      </w:r>
      <w:r w:rsidRPr="001D7389">
        <w:rPr>
          <w:sz w:val="15"/>
          <w:szCs w:val="15"/>
        </w:rPr>
        <w:t xml:space="preserve">Education Review Office. (2024). </w:t>
      </w:r>
      <w:r w:rsidRPr="001D7389">
        <w:rPr>
          <w:i/>
          <w:sz w:val="15"/>
          <w:szCs w:val="15"/>
        </w:rPr>
        <w:t xml:space="preserve">Ready, set, teach: How prepared and supported are new teachers? </w:t>
      </w:r>
      <w:r w:rsidRPr="001D7389">
        <w:rPr>
          <w:sz w:val="15"/>
          <w:szCs w:val="15"/>
        </w:rPr>
        <w:t xml:space="preserve">Education Review Office. </w:t>
      </w:r>
      <w:hyperlink r:id="rId24" w:history="1">
        <w:r w:rsidR="007645DE" w:rsidRPr="00B43918">
          <w:rPr>
            <w:rStyle w:val="Hyperlink"/>
            <w:sz w:val="15"/>
            <w:szCs w:val="15"/>
          </w:rPr>
          <w:t>https://www.evidence.ero.govt.nz/media/s4hh1mg0/ready-set-teach-how-well-prepared-and-supported-are-new-teachers-report.pdf</w:t>
        </w:r>
      </w:hyperlink>
      <w:r w:rsidR="007645DE">
        <w:rPr>
          <w:sz w:val="15"/>
          <w:szCs w:val="15"/>
        </w:rPr>
        <w:t xml:space="preserve"> </w:t>
      </w:r>
    </w:p>
  </w:footnote>
  <w:footnote w:id="24">
    <w:p w14:paraId="75AD4400" w14:textId="3415B0A8" w:rsidR="00F879C4" w:rsidRPr="004615BC" w:rsidRDefault="00F879C4">
      <w:pPr>
        <w:pStyle w:val="FootnoteText"/>
        <w:rPr>
          <w:lang w:val="mi-NZ"/>
        </w:rPr>
      </w:pPr>
      <w:r>
        <w:rPr>
          <w:rStyle w:val="FootnoteReference"/>
        </w:rPr>
        <w:footnoteRef/>
      </w:r>
      <w:r w:rsidR="2F2DCFD8">
        <w:t xml:space="preserve"> </w:t>
      </w:r>
      <w:r>
        <w:tab/>
      </w:r>
      <w:r w:rsidR="2F2DCFD8">
        <w:t>Ibid as mentioned in the Whaikaha report submitted to the Ministry of Educati</w:t>
      </w:r>
      <w:r w:rsidR="00C051B8">
        <w:t>o</w:t>
      </w:r>
      <w:r w:rsidR="2F2DCFD8">
        <w:t xml:space="preserve">n. </w:t>
      </w:r>
    </w:p>
  </w:footnote>
  <w:footnote w:id="25">
    <w:p w14:paraId="3B2A2DDA" w14:textId="1022A8DB" w:rsidR="00423FE3" w:rsidRPr="001D7389" w:rsidRDefault="00423FE3" w:rsidP="00423FE3">
      <w:pPr>
        <w:pStyle w:val="FootnoteText"/>
        <w:rPr>
          <w:sz w:val="15"/>
          <w:szCs w:val="15"/>
          <w:lang w:val="mi-NZ"/>
        </w:rPr>
      </w:pPr>
      <w:r w:rsidRPr="001D7389">
        <w:rPr>
          <w:rStyle w:val="FootnoteReference"/>
          <w:sz w:val="15"/>
          <w:szCs w:val="15"/>
        </w:rPr>
        <w:footnoteRef/>
      </w:r>
      <w:r w:rsidRPr="001D7389">
        <w:rPr>
          <w:sz w:val="15"/>
          <w:szCs w:val="15"/>
        </w:rPr>
        <w:t xml:space="preserve"> </w:t>
      </w:r>
      <w:r w:rsidR="003D4499">
        <w:rPr>
          <w:sz w:val="15"/>
          <w:szCs w:val="15"/>
        </w:rPr>
        <w:tab/>
      </w:r>
      <w:r w:rsidRPr="001D7389">
        <w:rPr>
          <w:sz w:val="15"/>
          <w:szCs w:val="15"/>
          <w:lang w:val="mi-NZ"/>
        </w:rPr>
        <w:t xml:space="preserve">Ibid. </w:t>
      </w:r>
    </w:p>
  </w:footnote>
  <w:footnote w:id="26">
    <w:p w14:paraId="5C2DD80A" w14:textId="691863E5" w:rsidR="00423FE3" w:rsidRPr="00F02B47" w:rsidRDefault="00423FE3" w:rsidP="00423FE3">
      <w:pPr>
        <w:pStyle w:val="FootnoteText"/>
        <w:rPr>
          <w:sz w:val="15"/>
          <w:szCs w:val="15"/>
        </w:rPr>
      </w:pPr>
      <w:r w:rsidRPr="001D7389">
        <w:rPr>
          <w:rStyle w:val="FootnoteReference"/>
          <w:sz w:val="15"/>
          <w:szCs w:val="15"/>
        </w:rPr>
        <w:footnoteRef/>
      </w:r>
      <w:r w:rsidRPr="001D7389">
        <w:rPr>
          <w:sz w:val="15"/>
          <w:szCs w:val="15"/>
        </w:rPr>
        <w:t xml:space="preserve"> </w:t>
      </w:r>
      <w:r w:rsidR="003D4499">
        <w:rPr>
          <w:sz w:val="15"/>
          <w:szCs w:val="15"/>
        </w:rPr>
        <w:tab/>
      </w:r>
      <w:r>
        <w:rPr>
          <w:sz w:val="15"/>
          <w:szCs w:val="15"/>
        </w:rPr>
        <w:t xml:space="preserve">Edwards, S. (2021). </w:t>
      </w:r>
      <w:r w:rsidRPr="00933183">
        <w:rPr>
          <w:i/>
          <w:iCs/>
          <w:sz w:val="15"/>
          <w:szCs w:val="15"/>
        </w:rPr>
        <w:t xml:space="preserve">Process quality, curriculum and pedagogy in early childhood education and care </w:t>
      </w:r>
      <w:r>
        <w:rPr>
          <w:sz w:val="15"/>
          <w:szCs w:val="15"/>
        </w:rPr>
        <w:t xml:space="preserve">(OECD Education Working Paper No. 247). Organisation for Economic Co-Operation and Development. </w:t>
      </w:r>
      <w:hyperlink r:id="rId25" w:history="1">
        <w:r w:rsidRPr="00016305">
          <w:rPr>
            <w:rStyle w:val="Hyperlink"/>
            <w:sz w:val="15"/>
            <w:szCs w:val="15"/>
          </w:rPr>
          <w:t>https://www.oecd.org/content/dam/oecd/en/publications/reports/2021/05/process-quality-curriculum-and-pedagogy-in-early-childhood-education-and-care_19220855/eba0711e-en.pdf</w:t>
        </w:r>
      </w:hyperlink>
      <w:r>
        <w:rPr>
          <w:sz w:val="15"/>
          <w:szCs w:val="15"/>
        </w:rPr>
        <w:t xml:space="preserve">; </w:t>
      </w:r>
      <w:r w:rsidRPr="00F02B47">
        <w:rPr>
          <w:sz w:val="15"/>
          <w:szCs w:val="15"/>
        </w:rPr>
        <w:t xml:space="preserve">Siraj, I., Melhuish, E., Howard, S., Neilsen-Hewett, C., Kingston, D., de Rosnay, M., Duursma, E., Feng, X., &amp; Luu, B. (2018). Fostering Effective Early Learning (FEEL) study: Final report. Early Start, University of Wollongong / NSW Department of Education. </w:t>
      </w:r>
      <w:hyperlink r:id="rId26" w:history="1">
        <w:r w:rsidR="007645DE" w:rsidRPr="00B43918">
          <w:rPr>
            <w:rStyle w:val="Hyperlink"/>
            <w:sz w:val="15"/>
            <w:szCs w:val="15"/>
          </w:rPr>
          <w:t>https://education.nsw.gov.au/content/dam/main-education/early-childhood-education/whats-happening-in-the-early-childhood-education-sector/media/documents/5854-Feel-Study-VFA4-Accessible.pdf</w:t>
        </w:r>
      </w:hyperlink>
      <w:r w:rsidR="007645DE">
        <w:rPr>
          <w:sz w:val="15"/>
          <w:szCs w:val="15"/>
        </w:rPr>
        <w:t xml:space="preserve"> </w:t>
      </w:r>
    </w:p>
  </w:footnote>
  <w:footnote w:id="27">
    <w:p w14:paraId="65C5DB49" w14:textId="4F46B78C" w:rsidR="00423FE3" w:rsidRPr="007A0B6E" w:rsidRDefault="00423FE3" w:rsidP="00423FE3">
      <w:pPr>
        <w:pStyle w:val="FootnoteText"/>
        <w:rPr>
          <w:lang w:val="mi-NZ"/>
        </w:rPr>
      </w:pPr>
      <w:r w:rsidRPr="001D7389">
        <w:rPr>
          <w:rStyle w:val="FootnoteReference"/>
          <w:sz w:val="15"/>
          <w:szCs w:val="15"/>
        </w:rPr>
        <w:footnoteRef/>
      </w:r>
      <w:r w:rsidRPr="001D7389">
        <w:rPr>
          <w:sz w:val="15"/>
          <w:szCs w:val="15"/>
        </w:rPr>
        <w:t xml:space="preserve"> </w:t>
      </w:r>
      <w:r w:rsidR="003D4499">
        <w:rPr>
          <w:sz w:val="15"/>
          <w:szCs w:val="15"/>
        </w:rPr>
        <w:tab/>
      </w:r>
      <w:r w:rsidRPr="001D7389">
        <w:rPr>
          <w:sz w:val="15"/>
          <w:szCs w:val="15"/>
        </w:rPr>
        <w:t xml:space="preserve">Organisation for Economic Co-Operation and Development. (2025). </w:t>
      </w:r>
      <w:r w:rsidRPr="001D7389">
        <w:rPr>
          <w:i/>
          <w:sz w:val="15"/>
          <w:szCs w:val="15"/>
        </w:rPr>
        <w:t xml:space="preserve">Unlocking high-quality teaching. </w:t>
      </w:r>
      <w:r w:rsidRPr="001D7389">
        <w:rPr>
          <w:sz w:val="15"/>
          <w:szCs w:val="15"/>
        </w:rPr>
        <w:t xml:space="preserve">OECD Publishing. </w:t>
      </w:r>
      <w:hyperlink r:id="rId27" w:history="1">
        <w:r w:rsidR="007645DE" w:rsidRPr="00B43918">
          <w:rPr>
            <w:rStyle w:val="Hyperlink"/>
            <w:sz w:val="15"/>
            <w:szCs w:val="15"/>
          </w:rPr>
          <w:t>https://doi.org/10.1787/f5b82176-en</w:t>
        </w:r>
      </w:hyperlink>
      <w:r w:rsidR="007645DE">
        <w:rPr>
          <w:sz w:val="15"/>
          <w:szCs w:val="15"/>
        </w:rPr>
        <w:t xml:space="preserve"> </w:t>
      </w:r>
    </w:p>
  </w:footnote>
  <w:footnote w:id="28">
    <w:p w14:paraId="727A6FAF" w14:textId="68CF832D" w:rsidR="00423FE3" w:rsidRPr="000F36E4" w:rsidRDefault="00423FE3" w:rsidP="00423FE3">
      <w:pPr>
        <w:pStyle w:val="FootnoteText"/>
        <w:rPr>
          <w:sz w:val="15"/>
          <w:szCs w:val="15"/>
        </w:rPr>
      </w:pPr>
      <w:r w:rsidRPr="000F36E4">
        <w:rPr>
          <w:rStyle w:val="FootnoteReference"/>
          <w:sz w:val="15"/>
          <w:szCs w:val="15"/>
        </w:rPr>
        <w:footnoteRef/>
      </w:r>
      <w:r w:rsidRPr="000F36E4">
        <w:rPr>
          <w:sz w:val="15"/>
          <w:szCs w:val="15"/>
        </w:rPr>
        <w:t xml:space="preserve"> </w:t>
      </w:r>
      <w:r w:rsidR="003D4499">
        <w:rPr>
          <w:sz w:val="15"/>
          <w:szCs w:val="15"/>
        </w:rPr>
        <w:tab/>
      </w:r>
      <w:r w:rsidRPr="00D145DC">
        <w:rPr>
          <w:sz w:val="15"/>
          <w:szCs w:val="15"/>
        </w:rPr>
        <w:t xml:space="preserve">Ministry of Education. (2024, December 16). </w:t>
      </w:r>
      <w:r w:rsidRPr="00D145DC">
        <w:rPr>
          <w:i/>
          <w:sz w:val="15"/>
          <w:szCs w:val="15"/>
        </w:rPr>
        <w:t>Statement of government policy relating to Teaching Council functions</w:t>
      </w:r>
      <w:r w:rsidRPr="00D145DC">
        <w:rPr>
          <w:sz w:val="15"/>
          <w:szCs w:val="15"/>
        </w:rPr>
        <w:t xml:space="preserve">. </w:t>
      </w:r>
      <w:r w:rsidRPr="00D145DC">
        <w:rPr>
          <w:i/>
          <w:sz w:val="15"/>
          <w:szCs w:val="15"/>
        </w:rPr>
        <w:t>Gazette.</w:t>
      </w:r>
      <w:r w:rsidRPr="00D145DC">
        <w:rPr>
          <w:sz w:val="15"/>
          <w:szCs w:val="15"/>
        </w:rPr>
        <w:t xml:space="preserve"> </w:t>
      </w:r>
      <w:hyperlink r:id="rId28" w:history="1">
        <w:r w:rsidR="007645DE" w:rsidRPr="00B43918">
          <w:rPr>
            <w:rStyle w:val="Hyperlink"/>
            <w:sz w:val="15"/>
            <w:szCs w:val="15"/>
          </w:rPr>
          <w:t>https://gazette.govt.nz/notice/id/2024-go6031</w:t>
        </w:r>
      </w:hyperlink>
      <w:r w:rsidR="007645DE">
        <w:rPr>
          <w:sz w:val="15"/>
          <w:szCs w:val="15"/>
        </w:rPr>
        <w:t xml:space="preserve"> </w:t>
      </w:r>
    </w:p>
  </w:footnote>
  <w:footnote w:id="29">
    <w:p w14:paraId="070C7111" w14:textId="36EB9599" w:rsidR="00DD368D" w:rsidRPr="007B7BD7" w:rsidRDefault="00DD368D" w:rsidP="00DD368D">
      <w:pPr>
        <w:pStyle w:val="FootnoteText"/>
        <w:rPr>
          <w:sz w:val="15"/>
          <w:szCs w:val="15"/>
          <w:highlight w:val="yellow"/>
        </w:rPr>
      </w:pPr>
      <w:r w:rsidRPr="00E81FB6">
        <w:rPr>
          <w:rStyle w:val="FootnoteReference"/>
          <w:sz w:val="15"/>
          <w:szCs w:val="15"/>
        </w:rPr>
        <w:footnoteRef/>
      </w:r>
      <w:r w:rsidRPr="00E81FB6">
        <w:rPr>
          <w:sz w:val="15"/>
          <w:szCs w:val="15"/>
        </w:rPr>
        <w:t xml:space="preserve"> </w:t>
      </w:r>
      <w:r w:rsidR="003D4499">
        <w:rPr>
          <w:sz w:val="15"/>
          <w:szCs w:val="15"/>
        </w:rPr>
        <w:tab/>
      </w:r>
      <w:r w:rsidRPr="00E81FB6">
        <w:rPr>
          <w:sz w:val="15"/>
          <w:szCs w:val="15"/>
        </w:rPr>
        <w:t xml:space="preserve">Education and Training Act 2020. </w:t>
      </w:r>
      <w:hyperlink r:id="rId29" w:anchor="LMS170676" w:history="1">
        <w:r w:rsidRPr="00E81FB6">
          <w:rPr>
            <w:rStyle w:val="Hyperlink"/>
            <w:sz w:val="15"/>
            <w:szCs w:val="15"/>
          </w:rPr>
          <w:t>https://www.legislation.govt.nz/act/public/2020/38/en/latest/#LMS170676</w:t>
        </w:r>
      </w:hyperlink>
      <w:r w:rsidRPr="00E81FB6">
        <w:rPr>
          <w:sz w:val="15"/>
          <w:szCs w:val="15"/>
        </w:rPr>
        <w:t xml:space="preserve">; Ministry of Education. (2025). </w:t>
      </w:r>
      <w:r w:rsidRPr="00E81FB6">
        <w:rPr>
          <w:i/>
          <w:iCs/>
          <w:sz w:val="15"/>
          <w:szCs w:val="15"/>
        </w:rPr>
        <w:t>Ka Hikitia – Ka Hāpaitia | The Māori Education Strategy.</w:t>
      </w:r>
      <w:r w:rsidRPr="00E81FB6">
        <w:rPr>
          <w:sz w:val="15"/>
          <w:szCs w:val="15"/>
        </w:rPr>
        <w:t xml:space="preserve"> </w:t>
      </w:r>
      <w:hyperlink r:id="rId30" w:history="1">
        <w:r w:rsidRPr="000D5BB7">
          <w:rPr>
            <w:rStyle w:val="Hyperlink"/>
            <w:sz w:val="15"/>
            <w:szCs w:val="15"/>
          </w:rPr>
          <w:t>https://www.education.govt.nz/our-work/overall-strategies-and-policies/ka-hikitia-ka-hapaitia</w:t>
        </w:r>
      </w:hyperlink>
    </w:p>
  </w:footnote>
  <w:footnote w:id="30">
    <w:p w14:paraId="035A5127" w14:textId="06D6E43B" w:rsidR="00DD368D" w:rsidRPr="00FA5889" w:rsidRDefault="00DD368D" w:rsidP="00DD368D">
      <w:pPr>
        <w:pStyle w:val="FootnoteText"/>
        <w:rPr>
          <w:sz w:val="15"/>
          <w:szCs w:val="15"/>
        </w:rPr>
      </w:pPr>
      <w:r w:rsidRPr="00FA5889">
        <w:rPr>
          <w:rStyle w:val="FootnoteReference"/>
          <w:sz w:val="15"/>
          <w:szCs w:val="15"/>
        </w:rPr>
        <w:footnoteRef/>
      </w:r>
      <w:r w:rsidRPr="00FA5889">
        <w:rPr>
          <w:sz w:val="15"/>
          <w:szCs w:val="15"/>
        </w:rPr>
        <w:t xml:space="preserve"> </w:t>
      </w:r>
      <w:r w:rsidR="003D4499">
        <w:rPr>
          <w:sz w:val="15"/>
          <w:szCs w:val="15"/>
        </w:rPr>
        <w:tab/>
      </w:r>
      <w:r w:rsidRPr="00FA5889">
        <w:rPr>
          <w:sz w:val="15"/>
          <w:szCs w:val="15"/>
        </w:rPr>
        <w:t>Bishop, R., &amp; Berryman, M. (2009). The Te Kotahitang</w:t>
      </w:r>
      <w:r>
        <w:rPr>
          <w:sz w:val="15"/>
          <w:szCs w:val="15"/>
        </w:rPr>
        <w:t>a</w:t>
      </w:r>
      <w:r w:rsidRPr="00FA5889">
        <w:rPr>
          <w:sz w:val="15"/>
          <w:szCs w:val="15"/>
        </w:rPr>
        <w:t xml:space="preserve"> effective teaching profile. </w:t>
      </w:r>
      <w:r w:rsidRPr="00FA5889">
        <w:rPr>
          <w:i/>
          <w:iCs/>
          <w:sz w:val="15"/>
          <w:szCs w:val="15"/>
        </w:rPr>
        <w:t xml:space="preserve">Set: Research for Information for Teachers, 2, </w:t>
      </w:r>
      <w:r w:rsidRPr="00FA5889">
        <w:rPr>
          <w:sz w:val="15"/>
          <w:szCs w:val="15"/>
        </w:rPr>
        <w:t xml:space="preserve">27-33. </w:t>
      </w:r>
      <w:hyperlink r:id="rId31" w:history="1">
        <w:r w:rsidRPr="00FA5889">
          <w:rPr>
            <w:rStyle w:val="Hyperlink"/>
            <w:sz w:val="15"/>
            <w:szCs w:val="15"/>
          </w:rPr>
          <w:t>https://doi.org/10.18296/set.0461</w:t>
        </w:r>
      </w:hyperlink>
    </w:p>
  </w:footnote>
  <w:footnote w:id="31">
    <w:p w14:paraId="3AE7EC95" w14:textId="021C83B8" w:rsidR="00DD368D" w:rsidRPr="00FA5889" w:rsidRDefault="00DD368D" w:rsidP="00DD368D">
      <w:pPr>
        <w:pStyle w:val="FootnoteText"/>
        <w:rPr>
          <w:sz w:val="15"/>
          <w:szCs w:val="15"/>
        </w:rPr>
      </w:pPr>
      <w:r w:rsidRPr="00FA5889">
        <w:rPr>
          <w:rStyle w:val="FootnoteReference"/>
          <w:sz w:val="15"/>
          <w:szCs w:val="15"/>
        </w:rPr>
        <w:footnoteRef/>
      </w:r>
      <w:r w:rsidRPr="00FA5889">
        <w:rPr>
          <w:sz w:val="15"/>
          <w:szCs w:val="15"/>
        </w:rPr>
        <w:t xml:space="preserve"> </w:t>
      </w:r>
      <w:r w:rsidR="003D4499">
        <w:rPr>
          <w:sz w:val="15"/>
          <w:szCs w:val="15"/>
        </w:rPr>
        <w:tab/>
      </w:r>
      <w:r w:rsidRPr="00FA5889">
        <w:rPr>
          <w:sz w:val="15"/>
          <w:szCs w:val="15"/>
        </w:rPr>
        <w:t xml:space="preserve">Webber, M. (2024). Teaching the mana model – a Māori framework for reconceptualising student success and thriving. </w:t>
      </w:r>
      <w:r w:rsidRPr="00FA5889">
        <w:rPr>
          <w:i/>
          <w:iCs/>
          <w:sz w:val="15"/>
          <w:szCs w:val="15"/>
        </w:rPr>
        <w:t>Set: Research Information</w:t>
      </w:r>
      <w:r w:rsidRPr="00161BC7">
        <w:rPr>
          <w:i/>
          <w:iCs/>
          <w:sz w:val="15"/>
          <w:szCs w:val="15"/>
        </w:rPr>
        <w:t xml:space="preserve"> for Teachers, 1,</w:t>
      </w:r>
      <w:r w:rsidRPr="00161BC7">
        <w:rPr>
          <w:sz w:val="15"/>
          <w:szCs w:val="15"/>
        </w:rPr>
        <w:t xml:space="preserve"> 2–11. </w:t>
      </w:r>
      <w:hyperlink r:id="rId32" w:history="1">
        <w:r w:rsidRPr="00016305">
          <w:rPr>
            <w:rStyle w:val="Hyperlink"/>
            <w:sz w:val="15"/>
            <w:szCs w:val="15"/>
          </w:rPr>
          <w:t>https://doi.org/10.18296/set.1545</w:t>
        </w:r>
      </w:hyperlink>
      <w:r>
        <w:rPr>
          <w:sz w:val="15"/>
          <w:szCs w:val="15"/>
        </w:rPr>
        <w:t xml:space="preserve">; Berryman, M., Copeland, D., Eley, E., Haydon-Howard, J., &amp; Kelly, F. (2025). Activating Aotearoa histories: Giving effect to Te Tiriti o Waitangi in education through the Education and Training Act (2020). Ako Aotearoa. </w:t>
      </w:r>
      <w:hyperlink r:id="rId33" w:history="1">
        <w:r w:rsidRPr="00016305">
          <w:rPr>
            <w:rStyle w:val="Hyperlink"/>
            <w:sz w:val="15"/>
            <w:szCs w:val="15"/>
          </w:rPr>
          <w:t>https://ako.ac.nz/assets/Knowledge-centre/43792-Activating-Aotearoa-Histories/FULL-REPORT-Activating-Aotearoa-Histories.pdf</w:t>
        </w:r>
      </w:hyperlink>
    </w:p>
  </w:footnote>
  <w:footnote w:id="32">
    <w:p w14:paraId="6E6BD86F" w14:textId="1AF5D169" w:rsidR="00DD368D" w:rsidRPr="00DB3558" w:rsidRDefault="00DD368D" w:rsidP="00DD368D">
      <w:pPr>
        <w:pStyle w:val="FootnoteText"/>
        <w:rPr>
          <w:sz w:val="15"/>
          <w:szCs w:val="15"/>
          <w:highlight w:val="yellow"/>
        </w:rPr>
      </w:pPr>
      <w:r w:rsidRPr="00C265AB">
        <w:rPr>
          <w:rStyle w:val="FootnoteReference"/>
          <w:sz w:val="15"/>
          <w:szCs w:val="15"/>
        </w:rPr>
        <w:footnoteRef/>
      </w:r>
      <w:r>
        <w:rPr>
          <w:sz w:val="15"/>
          <w:szCs w:val="15"/>
        </w:rPr>
        <w:t xml:space="preserve"> </w:t>
      </w:r>
      <w:r w:rsidR="003D4499">
        <w:rPr>
          <w:sz w:val="15"/>
          <w:szCs w:val="15"/>
        </w:rPr>
        <w:tab/>
      </w:r>
      <w:r>
        <w:rPr>
          <w:sz w:val="15"/>
          <w:szCs w:val="15"/>
        </w:rPr>
        <w:t xml:space="preserve">Education Council New Zealand. (2011). </w:t>
      </w:r>
      <w:r>
        <w:rPr>
          <w:i/>
          <w:iCs/>
          <w:sz w:val="15"/>
          <w:szCs w:val="15"/>
        </w:rPr>
        <w:t xml:space="preserve">Tātaiako: Cultural competencies for teachers of Māori learners. </w:t>
      </w:r>
      <w:r>
        <w:rPr>
          <w:sz w:val="15"/>
          <w:szCs w:val="15"/>
        </w:rPr>
        <w:t xml:space="preserve">Ministry of Education. </w:t>
      </w:r>
      <w:hyperlink r:id="rId34" w:history="1">
        <w:r w:rsidRPr="00016305">
          <w:rPr>
            <w:rStyle w:val="Hyperlink"/>
            <w:sz w:val="15"/>
            <w:szCs w:val="15"/>
          </w:rPr>
          <w:t>https://res.cloudinary.com/dwavcpl93/image/upload/s--L27rWv7t--/v1/extracted_pdfs_from_sspak/Tataiako-cultural-competencies-for-teachers-of-Maori-learners?_a=BAMAAAiu0</w:t>
        </w:r>
      </w:hyperlink>
    </w:p>
  </w:footnote>
  <w:footnote w:id="33">
    <w:p w14:paraId="17D74BEC" w14:textId="0522A0B1" w:rsidR="00351D7D" w:rsidRPr="00351D7D" w:rsidRDefault="00351D7D">
      <w:pPr>
        <w:pStyle w:val="FootnoteText"/>
        <w:rPr>
          <w:lang w:val="mi-NZ"/>
        </w:rPr>
      </w:pPr>
      <w:r>
        <w:rPr>
          <w:rStyle w:val="FootnoteReference"/>
        </w:rPr>
        <w:footnoteRef/>
      </w:r>
      <w:r>
        <w:t xml:space="preserve"> </w:t>
      </w:r>
      <w:r w:rsidR="00016313">
        <w:rPr>
          <w:lang w:val="mi-NZ"/>
        </w:rPr>
        <w:tab/>
      </w:r>
      <w:r w:rsidR="0030300D">
        <w:rPr>
          <w:lang w:val="mi-NZ"/>
        </w:rPr>
        <w:t>Whaikaha</w:t>
      </w:r>
      <w:r w:rsidR="00016313">
        <w:rPr>
          <w:lang w:val="mi-NZ"/>
        </w:rPr>
        <w:t xml:space="preserve"> Ministry of Disabled People</w:t>
      </w:r>
      <w:r w:rsidR="00E8795E">
        <w:rPr>
          <w:lang w:val="mi-NZ"/>
        </w:rPr>
        <w:t>.</w:t>
      </w:r>
      <w:r w:rsidR="0030300D">
        <w:rPr>
          <w:lang w:val="mi-NZ"/>
        </w:rPr>
        <w:t xml:space="preserve"> (2026).</w:t>
      </w:r>
      <w:r w:rsidR="00E8795E">
        <w:rPr>
          <w:lang w:val="mi-NZ"/>
        </w:rPr>
        <w:t xml:space="preserve"> </w:t>
      </w:r>
      <w:r w:rsidR="00E8795E" w:rsidRPr="0030300D">
        <w:rPr>
          <w:i/>
          <w:iCs/>
          <w:lang w:val="mi-NZ"/>
        </w:rPr>
        <w:t>New Zealand Disability Strategy 2026-2030.</w:t>
      </w:r>
      <w:r w:rsidR="00E8795E">
        <w:rPr>
          <w:lang w:val="mi-NZ"/>
        </w:rPr>
        <w:t xml:space="preserve"> </w:t>
      </w:r>
      <w:hyperlink r:id="rId35" w:tgtFrame="_blank" w:tooltip="https://www.whaikaha.govt.nz/assets/nzds-26-30-documents/nzds-2026-2030.pdf" w:history="1">
        <w:r w:rsidR="00E90160" w:rsidRPr="00E90160">
          <w:rPr>
            <w:rStyle w:val="Hyperlink"/>
          </w:rPr>
          <w:t>https://www.whaikaha.govt.nz/assets/NZDS-26-30-Documents/NZDS-2026-2030.pdf</w:t>
        </w:r>
      </w:hyperlink>
    </w:p>
  </w:footnote>
  <w:footnote w:id="34">
    <w:p w14:paraId="4FF68E2D" w14:textId="41B72EA5" w:rsidR="00DD368D" w:rsidRPr="00293F69" w:rsidRDefault="00DD368D" w:rsidP="00DD368D">
      <w:pPr>
        <w:pStyle w:val="FootnoteText"/>
        <w:jc w:val="both"/>
        <w:rPr>
          <w:sz w:val="15"/>
          <w:szCs w:val="15"/>
          <w:lang w:val="mi-NZ"/>
        </w:rPr>
      </w:pPr>
      <w:r w:rsidRPr="00293F69">
        <w:rPr>
          <w:rStyle w:val="FootnoteReference"/>
          <w:sz w:val="15"/>
          <w:szCs w:val="15"/>
        </w:rPr>
        <w:footnoteRef/>
      </w:r>
      <w:r w:rsidRPr="00293F69">
        <w:rPr>
          <w:sz w:val="15"/>
          <w:szCs w:val="15"/>
        </w:rPr>
        <w:t xml:space="preserve"> </w:t>
      </w:r>
      <w:r w:rsidR="003D4499">
        <w:rPr>
          <w:sz w:val="15"/>
          <w:szCs w:val="15"/>
        </w:rPr>
        <w:tab/>
      </w:r>
      <w:r w:rsidRPr="00293F69">
        <w:rPr>
          <w:sz w:val="15"/>
          <w:szCs w:val="15"/>
          <w:lang w:val="mi-NZ"/>
        </w:rPr>
        <w:t>Ibid.</w:t>
      </w:r>
    </w:p>
  </w:footnote>
  <w:footnote w:id="35">
    <w:p w14:paraId="40B93DFF" w14:textId="73162605" w:rsidR="00DD368D" w:rsidRPr="00B76DEA" w:rsidRDefault="00DD368D" w:rsidP="007645DE">
      <w:pPr>
        <w:pStyle w:val="FootnoteText"/>
        <w:rPr>
          <w:b/>
          <w:bCs/>
          <w:lang w:val="mi-NZ"/>
        </w:rPr>
      </w:pPr>
      <w:r w:rsidRPr="00293F69">
        <w:rPr>
          <w:rStyle w:val="FootnoteReference"/>
          <w:sz w:val="15"/>
          <w:szCs w:val="15"/>
        </w:rPr>
        <w:footnoteRef/>
      </w:r>
      <w:r w:rsidRPr="00293F69">
        <w:rPr>
          <w:sz w:val="15"/>
          <w:szCs w:val="15"/>
        </w:rPr>
        <w:t xml:space="preserve"> </w:t>
      </w:r>
      <w:r w:rsidR="003D4499">
        <w:rPr>
          <w:sz w:val="15"/>
          <w:szCs w:val="15"/>
        </w:rPr>
        <w:tab/>
      </w:r>
      <w:r w:rsidRPr="00293F69">
        <w:rPr>
          <w:sz w:val="15"/>
          <w:szCs w:val="15"/>
        </w:rPr>
        <w:t xml:space="preserve">Education Council New Zealand. (2011). </w:t>
      </w:r>
      <w:r w:rsidRPr="00293F69">
        <w:rPr>
          <w:i/>
          <w:iCs/>
          <w:sz w:val="15"/>
          <w:szCs w:val="15"/>
        </w:rPr>
        <w:t xml:space="preserve">Tapasā: Cultural competencies framework for teachers of Pacific learners. </w:t>
      </w:r>
      <w:r w:rsidRPr="00293F69">
        <w:rPr>
          <w:sz w:val="15"/>
          <w:szCs w:val="15"/>
        </w:rPr>
        <w:t>Ministry of</w:t>
      </w:r>
      <w:r w:rsidR="007645DE">
        <w:rPr>
          <w:sz w:val="15"/>
          <w:szCs w:val="15"/>
        </w:rPr>
        <w:t xml:space="preserve"> </w:t>
      </w:r>
      <w:r w:rsidRPr="00293F69">
        <w:rPr>
          <w:sz w:val="15"/>
          <w:szCs w:val="15"/>
        </w:rPr>
        <w:t xml:space="preserve">Education. </w:t>
      </w:r>
      <w:hyperlink r:id="rId36" w:history="1">
        <w:r w:rsidR="007645DE" w:rsidRPr="00B43918">
          <w:rPr>
            <w:rStyle w:val="Hyperlink"/>
            <w:sz w:val="15"/>
            <w:szCs w:val="15"/>
          </w:rPr>
          <w:t>https://res.cloudinary.com/dwavcpl93/image/upload/v1754005965/extracted_pdfs_from_sspak/Tapasa-Cultural-Competencies-Framework-for-Teachers-of-Pacific-Learners-2019.pdf</w:t>
        </w:r>
      </w:hyperlink>
      <w:r w:rsidR="007645DE">
        <w:rPr>
          <w:sz w:val="15"/>
          <w:szCs w:val="15"/>
        </w:rPr>
        <w:t xml:space="preserve"> </w:t>
      </w:r>
    </w:p>
  </w:footnote>
  <w:footnote w:id="36">
    <w:p w14:paraId="53894C75" w14:textId="77777777" w:rsidR="00903E0E" w:rsidRPr="00293F69" w:rsidRDefault="00903E0E" w:rsidP="00903E0E">
      <w:pPr>
        <w:pStyle w:val="FootnoteText"/>
        <w:rPr>
          <w:sz w:val="15"/>
          <w:szCs w:val="15"/>
        </w:rPr>
      </w:pPr>
      <w:r w:rsidRPr="00293F69">
        <w:rPr>
          <w:rStyle w:val="FootnoteReference"/>
          <w:sz w:val="15"/>
          <w:szCs w:val="15"/>
        </w:rPr>
        <w:footnoteRef/>
      </w:r>
      <w:r w:rsidR="2F2DCFD8" w:rsidRPr="00293F69">
        <w:rPr>
          <w:sz w:val="15"/>
          <w:szCs w:val="15"/>
        </w:rPr>
        <w:t xml:space="preserve"> </w:t>
      </w:r>
      <w:r>
        <w:tab/>
      </w:r>
      <w:r w:rsidR="2F2DCFD8" w:rsidRPr="00293F69">
        <w:rPr>
          <w:sz w:val="15"/>
          <w:szCs w:val="15"/>
        </w:rPr>
        <w:t xml:space="preserve">Ministry of Education. (2024). </w:t>
      </w:r>
      <w:r w:rsidR="2F2DCFD8" w:rsidRPr="2F2DCFD8">
        <w:rPr>
          <w:i/>
          <w:iCs/>
          <w:sz w:val="15"/>
          <w:szCs w:val="15"/>
        </w:rPr>
        <w:t>The teaching and learning international survey: 2024: TALIS findings for New Zealand.</w:t>
      </w:r>
      <w:r w:rsidR="2F2DCFD8" w:rsidRPr="00293F69">
        <w:rPr>
          <w:sz w:val="15"/>
          <w:szCs w:val="15"/>
        </w:rPr>
        <w:t xml:space="preserve"> Ministry of Education. </w:t>
      </w:r>
      <w:hyperlink r:id="rId37" w:history="1">
        <w:r w:rsidR="2F2DCFD8" w:rsidRPr="00B43918">
          <w:rPr>
            <w:rStyle w:val="Hyperlink"/>
            <w:sz w:val="15"/>
            <w:szCs w:val="15"/>
          </w:rPr>
          <w:t>https://www.educationcounts.govt.nz/__data/assets/pdf_file/0006/250791/TALIS-2024-Findings-for-New-Zealand-1.pdf</w:t>
        </w:r>
      </w:hyperlink>
      <w:r w:rsidR="2F2DCFD8">
        <w:rPr>
          <w:sz w:val="15"/>
          <w:szCs w:val="15"/>
        </w:rPr>
        <w:t xml:space="preserve"> </w:t>
      </w:r>
    </w:p>
  </w:footnote>
  <w:footnote w:id="37">
    <w:p w14:paraId="4579C5B9" w14:textId="10B71226" w:rsidR="0093517F" w:rsidRPr="00B4300F" w:rsidRDefault="0093517F">
      <w:pPr>
        <w:pStyle w:val="FootnoteText"/>
        <w:rPr>
          <w:lang w:val="mi-NZ"/>
        </w:rPr>
      </w:pPr>
      <w:r w:rsidRPr="008524CA">
        <w:rPr>
          <w:rStyle w:val="FootnoteReference"/>
        </w:rPr>
        <w:footnoteRef/>
      </w:r>
      <w:r w:rsidRPr="008524CA">
        <w:t xml:space="preserve"> </w:t>
      </w:r>
      <w:r w:rsidR="005E62CD" w:rsidRPr="008524CA">
        <w:tab/>
      </w:r>
      <w:r w:rsidRPr="008524CA">
        <w:rPr>
          <w:lang w:val="mi-NZ"/>
        </w:rPr>
        <w:t xml:space="preserve">See Appendix </w:t>
      </w:r>
      <w:r w:rsidR="00A123F8" w:rsidRPr="008524CA">
        <w:rPr>
          <w:lang w:val="mi-NZ"/>
        </w:rPr>
        <w:t xml:space="preserve">1 </w:t>
      </w:r>
      <w:r w:rsidRPr="008524CA">
        <w:rPr>
          <w:lang w:val="mi-NZ"/>
        </w:rPr>
        <w:t xml:space="preserve">for further information on our </w:t>
      </w:r>
      <w:r w:rsidR="00550AD1" w:rsidRPr="008524CA">
        <w:rPr>
          <w:lang w:val="mi-NZ"/>
        </w:rPr>
        <w:t xml:space="preserve">underpinning </w:t>
      </w:r>
      <w:r w:rsidRPr="008524CA">
        <w:rPr>
          <w:lang w:val="mi-NZ"/>
        </w:rPr>
        <w:t>assumptions and rationale</w:t>
      </w:r>
      <w:r w:rsidR="00550AD1" w:rsidRPr="008524CA">
        <w:rPr>
          <w:lang w:val="mi-NZ"/>
        </w:rPr>
        <w:t xml:space="preserve"> on specific regulatory considerations.</w:t>
      </w:r>
      <w:r w:rsidR="00550AD1">
        <w:rPr>
          <w:lang w:val="mi-NZ"/>
        </w:rPr>
        <w:t xml:space="preserve"> </w:t>
      </w:r>
    </w:p>
  </w:footnote>
  <w:footnote w:id="38">
    <w:p w14:paraId="0FA92108" w14:textId="77777777" w:rsidR="001238E6" w:rsidRDefault="001238E6" w:rsidP="00AD6B1F">
      <w:pPr>
        <w:pStyle w:val="FootnoteText"/>
        <w:ind w:left="0" w:firstLine="0"/>
        <w:rPr>
          <w:sz w:val="15"/>
          <w:szCs w:val="15"/>
          <w:highlight w:val="yellow"/>
        </w:rPr>
      </w:pPr>
    </w:p>
    <w:p w14:paraId="6664F643" w14:textId="561B1E39" w:rsidR="001238E6" w:rsidRPr="008F02CA" w:rsidRDefault="001238E6" w:rsidP="001238E6">
      <w:pPr>
        <w:pStyle w:val="FootnoteText"/>
        <w:rPr>
          <w:sz w:val="15"/>
          <w:szCs w:val="15"/>
        </w:rPr>
      </w:pPr>
      <w:r w:rsidRPr="008F02CA">
        <w:rPr>
          <w:rStyle w:val="FootnoteReference"/>
          <w:sz w:val="15"/>
          <w:szCs w:val="15"/>
        </w:rPr>
        <w:footnoteRef/>
      </w:r>
      <w:r w:rsidRPr="008F02CA">
        <w:rPr>
          <w:sz w:val="15"/>
          <w:szCs w:val="15"/>
        </w:rPr>
        <w:t xml:space="preserve"> </w:t>
      </w:r>
      <w:r w:rsidR="00455A7A">
        <w:rPr>
          <w:sz w:val="15"/>
          <w:szCs w:val="15"/>
        </w:rPr>
        <w:tab/>
      </w:r>
      <w:r w:rsidRPr="008F02CA">
        <w:rPr>
          <w:sz w:val="15"/>
          <w:szCs w:val="15"/>
        </w:rPr>
        <w:t>See the ‘Principles’ section for relevant Aotearoa NZ based research regarding cultural responsiveness, and partnerships with families, whānau and communities</w:t>
      </w:r>
      <w:r>
        <w:rPr>
          <w:sz w:val="15"/>
          <w:szCs w:val="15"/>
        </w:rPr>
        <w:t xml:space="preserve">; Australian </w:t>
      </w:r>
      <w:r w:rsidRPr="008F02CA">
        <w:rPr>
          <w:sz w:val="15"/>
          <w:szCs w:val="15"/>
        </w:rPr>
        <w:t>Education Research Organisation</w:t>
      </w:r>
      <w:r w:rsidRPr="000F36E4">
        <w:rPr>
          <w:sz w:val="15"/>
          <w:szCs w:val="15"/>
        </w:rPr>
        <w:t xml:space="preserve">. (2023). Incorporating evidence-based teaching practices into ITE. </w:t>
      </w:r>
      <w:r w:rsidRPr="000F36E4">
        <w:rPr>
          <w:i/>
          <w:sz w:val="15"/>
          <w:szCs w:val="15"/>
        </w:rPr>
        <w:t>Australian Education Research Organisation.</w:t>
      </w:r>
      <w:r w:rsidRPr="000F36E4">
        <w:rPr>
          <w:sz w:val="15"/>
          <w:szCs w:val="15"/>
        </w:rPr>
        <w:t xml:space="preserve"> </w:t>
      </w:r>
      <w:hyperlink r:id="rId38" w:history="1">
        <w:r w:rsidR="007645DE" w:rsidRPr="00B43918">
          <w:rPr>
            <w:rStyle w:val="Hyperlink"/>
            <w:sz w:val="15"/>
            <w:szCs w:val="15"/>
          </w:rPr>
          <w:t>https://www.edresearch.edu.au/research/research-reports/incorporating-evidence-based-teaching-practices-ite-commissioned-report</w:t>
        </w:r>
      </w:hyperlink>
      <w:r w:rsidR="007645DE">
        <w:rPr>
          <w:sz w:val="15"/>
          <w:szCs w:val="15"/>
        </w:rPr>
        <w:t xml:space="preserve"> </w:t>
      </w:r>
    </w:p>
  </w:footnote>
  <w:footnote w:id="39">
    <w:p w14:paraId="4A4857AF" w14:textId="0A712114" w:rsidR="001238E6" w:rsidRPr="0071511F" w:rsidRDefault="001238E6" w:rsidP="001238E6">
      <w:pPr>
        <w:pStyle w:val="FootnoteText"/>
        <w:rPr>
          <w:highlight w:val="yellow"/>
        </w:rPr>
      </w:pPr>
      <w:r w:rsidRPr="00480C75">
        <w:rPr>
          <w:rStyle w:val="FootnoteReference"/>
          <w:sz w:val="15"/>
          <w:szCs w:val="15"/>
        </w:rPr>
        <w:footnoteRef/>
      </w:r>
      <w:r>
        <w:t xml:space="preserve"> </w:t>
      </w:r>
      <w:r w:rsidR="00455A7A">
        <w:tab/>
      </w:r>
      <w:r w:rsidRPr="00654A78">
        <w:rPr>
          <w:sz w:val="15"/>
          <w:szCs w:val="15"/>
        </w:rPr>
        <w:t xml:space="preserve">Department for Education. (2026). </w:t>
      </w:r>
      <w:r w:rsidRPr="00654A78">
        <w:rPr>
          <w:i/>
          <w:sz w:val="15"/>
          <w:szCs w:val="15"/>
        </w:rPr>
        <w:t>Initial teacher training (ITT): criteria and supporting advice.</w:t>
      </w:r>
      <w:r w:rsidRPr="00654A78">
        <w:rPr>
          <w:sz w:val="15"/>
          <w:szCs w:val="15"/>
        </w:rPr>
        <w:t xml:space="preserve"> Government of United Kingdom Department for Education.</w:t>
      </w:r>
      <w:r>
        <w:rPr>
          <w:sz w:val="15"/>
          <w:szCs w:val="15"/>
        </w:rPr>
        <w:t xml:space="preserve"> </w:t>
      </w:r>
      <w:hyperlink r:id="rId39" w:history="1">
        <w:r w:rsidR="007537B4">
          <w:rPr>
            <w:rStyle w:val="Hyperlink"/>
          </w:rPr>
          <w:t>https://www.gov.uk/government/publications/initial-teacher-training-criteria</w:t>
        </w:r>
      </w:hyperlink>
    </w:p>
  </w:footnote>
  <w:footnote w:id="40">
    <w:p w14:paraId="5458AB44" w14:textId="3BE5001B" w:rsidR="001238E6" w:rsidRPr="007A5455" w:rsidRDefault="001238E6" w:rsidP="001238E6">
      <w:pPr>
        <w:pStyle w:val="FootnoteText"/>
        <w:rPr>
          <w:sz w:val="15"/>
          <w:szCs w:val="15"/>
          <w:highlight w:val="yellow"/>
        </w:rPr>
      </w:pPr>
      <w:r w:rsidRPr="005839B3">
        <w:rPr>
          <w:rStyle w:val="FootnoteReference"/>
          <w:sz w:val="15"/>
          <w:szCs w:val="15"/>
        </w:rPr>
        <w:footnoteRef/>
      </w:r>
      <w:r w:rsidRPr="005839B3">
        <w:rPr>
          <w:sz w:val="15"/>
          <w:szCs w:val="15"/>
        </w:rPr>
        <w:t xml:space="preserve"> </w:t>
      </w:r>
      <w:r w:rsidR="00455A7A">
        <w:rPr>
          <w:sz w:val="15"/>
          <w:szCs w:val="15"/>
        </w:rPr>
        <w:tab/>
      </w:r>
      <w:r w:rsidRPr="007A5455">
        <w:rPr>
          <w:sz w:val="15"/>
          <w:szCs w:val="15"/>
        </w:rPr>
        <w:t xml:space="preserve">Llywodraeth Cymru Welsh Government. Criteria for the accreditation of initial teacher education programmes in Wales: Teaching tomorrow’s teachers. (Circular No. 002/2023). </w:t>
      </w:r>
      <w:hyperlink r:id="rId40" w:history="1">
        <w:r w:rsidR="007645DE" w:rsidRPr="00B43918">
          <w:rPr>
            <w:rStyle w:val="Hyperlink"/>
            <w:sz w:val="15"/>
            <w:szCs w:val="15"/>
          </w:rPr>
          <w:t>https://www.gov.wales/sites/default/files/publications/2023-05/for-ite-programmes-accredited-to-commence-from-1st-september-2024.pdf</w:t>
        </w:r>
      </w:hyperlink>
      <w:r w:rsidR="007645DE">
        <w:rPr>
          <w:sz w:val="15"/>
          <w:szCs w:val="15"/>
        </w:rPr>
        <w:t xml:space="preserve"> </w:t>
      </w:r>
    </w:p>
  </w:footnote>
  <w:footnote w:id="41">
    <w:p w14:paraId="68AF2F9C" w14:textId="0094CD27" w:rsidR="001238E6" w:rsidRPr="000F36E4" w:rsidRDefault="001238E6" w:rsidP="001238E6">
      <w:pPr>
        <w:pStyle w:val="FootnoteText"/>
        <w:rPr>
          <w:sz w:val="15"/>
          <w:szCs w:val="15"/>
        </w:rPr>
      </w:pPr>
      <w:r w:rsidRPr="000F36E4">
        <w:rPr>
          <w:rStyle w:val="FootnoteReference"/>
          <w:sz w:val="15"/>
          <w:szCs w:val="15"/>
        </w:rPr>
        <w:footnoteRef/>
      </w:r>
      <w:r w:rsidRPr="000F36E4">
        <w:rPr>
          <w:sz w:val="15"/>
          <w:szCs w:val="15"/>
        </w:rPr>
        <w:t xml:space="preserve"> </w:t>
      </w:r>
      <w:r w:rsidR="00455A7A">
        <w:rPr>
          <w:sz w:val="15"/>
          <w:szCs w:val="15"/>
        </w:rPr>
        <w:tab/>
      </w:r>
      <w:r w:rsidRPr="000F36E4">
        <w:rPr>
          <w:sz w:val="15"/>
          <w:szCs w:val="15"/>
        </w:rPr>
        <w:t xml:space="preserve">Education and Training Act 2020. </w:t>
      </w:r>
      <w:hyperlink r:id="rId41" w:anchor="LMS170676" w:history="1">
        <w:r w:rsidR="00F17610" w:rsidRPr="00B43918">
          <w:rPr>
            <w:rStyle w:val="Hyperlink"/>
            <w:sz w:val="15"/>
            <w:szCs w:val="15"/>
          </w:rPr>
          <w:t>https://www.legislation.govt.nz/act/public/2020/38/en/latest/#LMS170676</w:t>
        </w:r>
      </w:hyperlink>
      <w:r w:rsidR="00F17610">
        <w:rPr>
          <w:sz w:val="15"/>
          <w:szCs w:val="15"/>
        </w:rPr>
        <w:t xml:space="preserve"> </w:t>
      </w:r>
    </w:p>
  </w:footnote>
  <w:footnote w:id="42">
    <w:p w14:paraId="23C260B2" w14:textId="16D86D23" w:rsidR="001238E6" w:rsidRPr="00526EEA" w:rsidRDefault="001238E6" w:rsidP="001238E6">
      <w:pPr>
        <w:pStyle w:val="FootnoteText"/>
        <w:rPr>
          <w:sz w:val="15"/>
          <w:szCs w:val="15"/>
        </w:rPr>
      </w:pPr>
      <w:r w:rsidRPr="00526EEA">
        <w:rPr>
          <w:rStyle w:val="FootnoteReference"/>
          <w:sz w:val="15"/>
          <w:szCs w:val="15"/>
        </w:rPr>
        <w:footnoteRef/>
      </w:r>
      <w:r w:rsidRPr="00134F2E">
        <w:rPr>
          <w:sz w:val="15"/>
          <w:szCs w:val="15"/>
          <w:lang w:val="it-IT"/>
        </w:rPr>
        <w:t xml:space="preserve"> </w:t>
      </w:r>
      <w:r w:rsidR="00455A7A">
        <w:rPr>
          <w:sz w:val="15"/>
          <w:szCs w:val="15"/>
          <w:lang w:val="it-IT"/>
        </w:rPr>
        <w:tab/>
      </w:r>
      <w:r w:rsidRPr="00134F2E">
        <w:rPr>
          <w:sz w:val="15"/>
          <w:szCs w:val="15"/>
          <w:lang w:val="it-IT"/>
        </w:rPr>
        <w:t xml:space="preserve">Ingvarson, L., Elliott, A., Kleinhenz, E., &amp; McKenzie, P. (2006). </w:t>
      </w:r>
      <w:r w:rsidRPr="00526EEA">
        <w:rPr>
          <w:sz w:val="15"/>
          <w:szCs w:val="15"/>
        </w:rPr>
        <w:t xml:space="preserve">Teacher education Accreditation: A review of national and international trends and practices. </w:t>
      </w:r>
      <w:r w:rsidRPr="00526EEA">
        <w:rPr>
          <w:i/>
          <w:sz w:val="15"/>
          <w:szCs w:val="15"/>
        </w:rPr>
        <w:t>Australian Council for Educational Research.</w:t>
      </w:r>
      <w:r w:rsidRPr="00526EEA">
        <w:rPr>
          <w:sz w:val="15"/>
          <w:szCs w:val="15"/>
        </w:rPr>
        <w:t xml:space="preserve"> </w:t>
      </w:r>
      <w:hyperlink r:id="rId42" w:history="1">
        <w:r w:rsidR="00F17610" w:rsidRPr="00B43918">
          <w:rPr>
            <w:rStyle w:val="Hyperlink"/>
            <w:sz w:val="15"/>
            <w:szCs w:val="15"/>
          </w:rPr>
          <w:t>https://research.acer.edu.au/teacher_education/1</w:t>
        </w:r>
      </w:hyperlink>
      <w:r w:rsidR="00F17610">
        <w:rPr>
          <w:sz w:val="15"/>
          <w:szCs w:val="15"/>
        </w:rPr>
        <w:t xml:space="preserve"> </w:t>
      </w:r>
    </w:p>
  </w:footnote>
  <w:footnote w:id="43">
    <w:p w14:paraId="73044B27" w14:textId="42902239" w:rsidR="001238E6" w:rsidRDefault="001238E6" w:rsidP="001238E6">
      <w:pPr>
        <w:pStyle w:val="FootnoteText"/>
      </w:pPr>
      <w:r w:rsidRPr="00526EEA">
        <w:rPr>
          <w:rStyle w:val="FootnoteReference"/>
          <w:sz w:val="15"/>
          <w:szCs w:val="15"/>
        </w:rPr>
        <w:footnoteRef/>
      </w:r>
      <w:r w:rsidRPr="00526EEA">
        <w:rPr>
          <w:sz w:val="15"/>
          <w:szCs w:val="15"/>
        </w:rPr>
        <w:t xml:space="preserve"> </w:t>
      </w:r>
      <w:r w:rsidR="00455A7A">
        <w:rPr>
          <w:sz w:val="15"/>
          <w:szCs w:val="15"/>
        </w:rPr>
        <w:tab/>
      </w:r>
      <w:r w:rsidRPr="00526EEA">
        <w:rPr>
          <w:sz w:val="15"/>
          <w:szCs w:val="15"/>
        </w:rPr>
        <w:t xml:space="preserve">Hammerness, K. (2006). From coherence in theory to coherence in practice. </w:t>
      </w:r>
      <w:r w:rsidRPr="00526EEA">
        <w:rPr>
          <w:i/>
          <w:sz w:val="15"/>
          <w:szCs w:val="15"/>
        </w:rPr>
        <w:t>Teachers College Record</w:t>
      </w:r>
      <w:r w:rsidRPr="00526EEA">
        <w:rPr>
          <w:sz w:val="15"/>
          <w:szCs w:val="15"/>
        </w:rPr>
        <w:t xml:space="preserve">, </w:t>
      </w:r>
      <w:r w:rsidRPr="00526EEA">
        <w:rPr>
          <w:i/>
          <w:sz w:val="15"/>
          <w:szCs w:val="15"/>
        </w:rPr>
        <w:t>108</w:t>
      </w:r>
      <w:r w:rsidRPr="00526EEA">
        <w:rPr>
          <w:sz w:val="15"/>
          <w:szCs w:val="15"/>
        </w:rPr>
        <w:t xml:space="preserve">(7). 1241-1265. </w:t>
      </w:r>
      <w:hyperlink r:id="rId43" w:history="1">
        <w:r w:rsidR="00F17610" w:rsidRPr="00B43918">
          <w:rPr>
            <w:rStyle w:val="Hyperlink"/>
            <w:sz w:val="15"/>
            <w:szCs w:val="15"/>
          </w:rPr>
          <w:t>https://doi.org/10.1111/j.1467-9620.2006.00692.x</w:t>
        </w:r>
      </w:hyperlink>
      <w:r w:rsidR="00F17610">
        <w:rPr>
          <w:sz w:val="15"/>
          <w:szCs w:val="15"/>
        </w:rPr>
        <w:t xml:space="preserve"> </w:t>
      </w:r>
    </w:p>
  </w:footnote>
  <w:footnote w:id="44">
    <w:p w14:paraId="06C403BE" w14:textId="17A6522C" w:rsidR="001238E6" w:rsidRPr="00526EEA" w:rsidRDefault="001238E6" w:rsidP="001238E6">
      <w:pPr>
        <w:pStyle w:val="FootnoteText"/>
        <w:rPr>
          <w:sz w:val="15"/>
          <w:szCs w:val="15"/>
        </w:rPr>
      </w:pPr>
      <w:r w:rsidRPr="00526EEA">
        <w:rPr>
          <w:rStyle w:val="FootnoteReference"/>
          <w:sz w:val="15"/>
          <w:szCs w:val="15"/>
        </w:rPr>
        <w:footnoteRef/>
      </w:r>
      <w:r w:rsidRPr="00526EEA">
        <w:rPr>
          <w:sz w:val="15"/>
          <w:szCs w:val="15"/>
        </w:rPr>
        <w:t xml:space="preserve"> </w:t>
      </w:r>
      <w:r w:rsidR="00455A7A">
        <w:rPr>
          <w:sz w:val="15"/>
          <w:szCs w:val="15"/>
        </w:rPr>
        <w:tab/>
      </w:r>
      <w:r w:rsidRPr="00526EEA">
        <w:rPr>
          <w:sz w:val="15"/>
          <w:szCs w:val="15"/>
        </w:rPr>
        <w:t xml:space="preserve">Jenset, I. S., Klette, K., Hammerness, K &amp; Canrinus E. (2024). Coherence in teacher education: A case of research-based reform. In Riksaasen Hatlevik, I. K., Jakhelln, R., Jorde, D., (Eds), </w:t>
      </w:r>
      <w:r w:rsidRPr="00526EEA">
        <w:rPr>
          <w:i/>
          <w:sz w:val="15"/>
          <w:szCs w:val="15"/>
        </w:rPr>
        <w:t xml:space="preserve">Transforming University-based Teacher Education through Innovation. </w:t>
      </w:r>
      <w:r w:rsidRPr="00526EEA">
        <w:rPr>
          <w:sz w:val="15"/>
          <w:szCs w:val="15"/>
        </w:rPr>
        <w:t>(1</w:t>
      </w:r>
      <w:r w:rsidRPr="00526EEA">
        <w:rPr>
          <w:sz w:val="15"/>
          <w:szCs w:val="15"/>
          <w:vertAlign w:val="superscript"/>
        </w:rPr>
        <w:t>st</w:t>
      </w:r>
      <w:r w:rsidRPr="00526EEA">
        <w:rPr>
          <w:sz w:val="15"/>
          <w:szCs w:val="15"/>
        </w:rPr>
        <w:t xml:space="preserve"> Ed, pp. 61-72). Routledge</w:t>
      </w:r>
      <w:r>
        <w:rPr>
          <w:sz w:val="15"/>
          <w:szCs w:val="15"/>
        </w:rPr>
        <w:t xml:space="preserve">. </w:t>
      </w:r>
      <w:hyperlink r:id="rId44" w:history="1">
        <w:r w:rsidR="00F17610" w:rsidRPr="00B43918">
          <w:rPr>
            <w:rStyle w:val="Hyperlink"/>
            <w:sz w:val="15"/>
            <w:szCs w:val="15"/>
          </w:rPr>
          <w:t>https://doi.org/10.4324/9781032693798</w:t>
        </w:r>
      </w:hyperlink>
      <w:r w:rsidR="00F17610">
        <w:rPr>
          <w:sz w:val="15"/>
          <w:szCs w:val="15"/>
        </w:rPr>
        <w:t xml:space="preserve"> </w:t>
      </w:r>
    </w:p>
  </w:footnote>
  <w:footnote w:id="45">
    <w:p w14:paraId="28D04B25" w14:textId="685A95B7" w:rsidR="001238E6" w:rsidRPr="00526EEA" w:rsidRDefault="001238E6" w:rsidP="001238E6">
      <w:pPr>
        <w:pStyle w:val="FootnoteText"/>
        <w:rPr>
          <w:sz w:val="15"/>
          <w:szCs w:val="15"/>
        </w:rPr>
      </w:pPr>
      <w:r w:rsidRPr="00526EEA">
        <w:rPr>
          <w:rStyle w:val="FootnoteReference"/>
          <w:sz w:val="15"/>
          <w:szCs w:val="15"/>
        </w:rPr>
        <w:footnoteRef/>
      </w:r>
      <w:r w:rsidRPr="00526EEA">
        <w:rPr>
          <w:sz w:val="15"/>
          <w:szCs w:val="15"/>
        </w:rPr>
        <w:t xml:space="preserve"> </w:t>
      </w:r>
      <w:r w:rsidR="00455A7A">
        <w:rPr>
          <w:sz w:val="15"/>
          <w:szCs w:val="15"/>
        </w:rPr>
        <w:tab/>
      </w:r>
      <w:r w:rsidRPr="00526EEA">
        <w:rPr>
          <w:sz w:val="15"/>
          <w:szCs w:val="15"/>
        </w:rPr>
        <w:t xml:space="preserve">Louden, W. (2008). 101 Damnations: the persistence of criticism and the absence of evidence about teacher education in Australia. </w:t>
      </w:r>
      <w:r w:rsidRPr="00526EEA">
        <w:rPr>
          <w:i/>
          <w:sz w:val="15"/>
          <w:szCs w:val="15"/>
        </w:rPr>
        <w:t xml:space="preserve">Teachers and Teaching, </w:t>
      </w:r>
      <w:r w:rsidRPr="00526EEA">
        <w:rPr>
          <w:sz w:val="15"/>
          <w:szCs w:val="15"/>
        </w:rPr>
        <w:t xml:space="preserve">14(4), 357–368. </w:t>
      </w:r>
      <w:hyperlink r:id="rId45" w:history="1">
        <w:r w:rsidR="00F17610" w:rsidRPr="00B43918">
          <w:rPr>
            <w:rStyle w:val="Hyperlink"/>
            <w:sz w:val="15"/>
            <w:szCs w:val="15"/>
          </w:rPr>
          <w:t>https://doi.org/10.1080/13540600802037777</w:t>
        </w:r>
      </w:hyperlink>
      <w:r w:rsidR="00F17610">
        <w:rPr>
          <w:sz w:val="15"/>
          <w:szCs w:val="15"/>
        </w:rPr>
        <w:t xml:space="preserve"> </w:t>
      </w:r>
    </w:p>
  </w:footnote>
  <w:footnote w:id="46">
    <w:p w14:paraId="64FC3005" w14:textId="2FE6A7A3" w:rsidR="00495801" w:rsidRPr="00C02CBE" w:rsidRDefault="00495801" w:rsidP="00495801">
      <w:pPr>
        <w:pStyle w:val="FootnoteText"/>
        <w:rPr>
          <w:lang w:val="mi-NZ"/>
        </w:rPr>
      </w:pPr>
      <w:r w:rsidRPr="006F2D1D">
        <w:rPr>
          <w:rStyle w:val="FootnoteReference"/>
          <w:sz w:val="15"/>
          <w:szCs w:val="15"/>
        </w:rPr>
        <w:footnoteRef/>
      </w:r>
      <w:r w:rsidRPr="006F2D1D">
        <w:rPr>
          <w:sz w:val="15"/>
          <w:szCs w:val="15"/>
        </w:rPr>
        <w:t xml:space="preserve"> </w:t>
      </w:r>
      <w:r w:rsidR="00C62AD0">
        <w:rPr>
          <w:sz w:val="15"/>
          <w:szCs w:val="15"/>
        </w:rPr>
        <w:tab/>
      </w:r>
      <w:r w:rsidRPr="00221444">
        <w:rPr>
          <w:sz w:val="15"/>
          <w:szCs w:val="15"/>
          <w:lang w:val="mi-NZ"/>
        </w:rPr>
        <w:t xml:space="preserve">Casper. (n. d.). </w:t>
      </w:r>
      <w:r w:rsidRPr="00221444">
        <w:rPr>
          <w:i/>
          <w:iCs/>
          <w:sz w:val="15"/>
          <w:szCs w:val="15"/>
          <w:lang w:val="mi-NZ"/>
        </w:rPr>
        <w:t>About Casper.</w:t>
      </w:r>
      <w:r w:rsidRPr="00221444">
        <w:rPr>
          <w:sz w:val="15"/>
          <w:szCs w:val="15"/>
          <w:lang w:val="mi-NZ"/>
        </w:rPr>
        <w:t xml:space="preserve"> </w:t>
      </w:r>
      <w:hyperlink r:id="rId46" w:history="1">
        <w:r w:rsidR="00B77C09" w:rsidRPr="00B43918">
          <w:rPr>
            <w:rStyle w:val="Hyperlink"/>
            <w:sz w:val="15"/>
            <w:szCs w:val="15"/>
            <w:lang w:val="mi-NZ"/>
          </w:rPr>
          <w:t>https://acuityinsights.app/casper/</w:t>
        </w:r>
      </w:hyperlink>
      <w:r w:rsidR="00B77C09">
        <w:rPr>
          <w:sz w:val="15"/>
          <w:szCs w:val="15"/>
          <w:lang w:val="mi-NZ"/>
        </w:rPr>
        <w:t xml:space="preserve"> </w:t>
      </w:r>
    </w:p>
  </w:footnote>
  <w:footnote w:id="47">
    <w:p w14:paraId="39CB12B9" w14:textId="5EE649AE" w:rsidR="00495801" w:rsidRPr="00526EEA" w:rsidRDefault="00495801" w:rsidP="00495801">
      <w:pPr>
        <w:pStyle w:val="FootnoteText"/>
        <w:rPr>
          <w:sz w:val="15"/>
          <w:szCs w:val="15"/>
        </w:rPr>
      </w:pPr>
      <w:r w:rsidRPr="00526EEA">
        <w:rPr>
          <w:rStyle w:val="FootnoteReference"/>
          <w:sz w:val="15"/>
          <w:szCs w:val="15"/>
        </w:rPr>
        <w:footnoteRef/>
      </w:r>
      <w:r w:rsidRPr="00C31A46">
        <w:rPr>
          <w:sz w:val="15"/>
          <w:szCs w:val="15"/>
          <w:lang w:val="it-IT"/>
        </w:rPr>
        <w:t xml:space="preserve"> </w:t>
      </w:r>
      <w:r w:rsidR="00C62AD0" w:rsidRPr="00C31A46">
        <w:rPr>
          <w:sz w:val="15"/>
          <w:szCs w:val="15"/>
          <w:lang w:val="it-IT"/>
        </w:rPr>
        <w:tab/>
      </w:r>
      <w:r w:rsidRPr="00C31A46">
        <w:rPr>
          <w:sz w:val="15"/>
          <w:szCs w:val="15"/>
          <w:lang w:val="it-IT"/>
        </w:rPr>
        <w:t xml:space="preserve">Ingvarson, L., Elliott, A., Kleinhenz, E., &amp; McKenzie, P. (2006). </w:t>
      </w:r>
      <w:r w:rsidRPr="00526EEA">
        <w:rPr>
          <w:sz w:val="15"/>
          <w:szCs w:val="15"/>
        </w:rPr>
        <w:t xml:space="preserve">Teacher education Accreditation: A review of national and international trends and practices. </w:t>
      </w:r>
      <w:r w:rsidRPr="00526EEA">
        <w:rPr>
          <w:i/>
          <w:sz w:val="15"/>
          <w:szCs w:val="15"/>
        </w:rPr>
        <w:t>Australian Council of Educational Research</w:t>
      </w:r>
      <w:r w:rsidRPr="00526EEA">
        <w:rPr>
          <w:sz w:val="15"/>
          <w:szCs w:val="15"/>
        </w:rPr>
        <w:t xml:space="preserve">. </w:t>
      </w:r>
      <w:hyperlink r:id="rId47" w:history="1">
        <w:r w:rsidRPr="007D2F14">
          <w:rPr>
            <w:rStyle w:val="Hyperlink"/>
            <w:sz w:val="15"/>
            <w:szCs w:val="15"/>
          </w:rPr>
          <w:t>https://research.acer.edu.au/teacher_education/1</w:t>
        </w:r>
      </w:hyperlink>
      <w:r>
        <w:rPr>
          <w:sz w:val="15"/>
          <w:szCs w:val="15"/>
        </w:rPr>
        <w:t xml:space="preserve">; </w:t>
      </w:r>
      <w:r w:rsidRPr="00526EEA">
        <w:rPr>
          <w:sz w:val="15"/>
          <w:szCs w:val="15"/>
        </w:rPr>
        <w:t xml:space="preserve">Revai, N. (2018). What difference do standards make to educating teachers? A review with case studies on Australia, Estonia and Singapore. (OECD Education Working Papers, No. 174). </w:t>
      </w:r>
      <w:r w:rsidRPr="00526EEA">
        <w:rPr>
          <w:i/>
          <w:sz w:val="15"/>
          <w:szCs w:val="15"/>
        </w:rPr>
        <w:t>OECD Publishing</w:t>
      </w:r>
      <w:r w:rsidRPr="00526EEA">
        <w:rPr>
          <w:sz w:val="15"/>
          <w:szCs w:val="15"/>
        </w:rPr>
        <w:t xml:space="preserve">. </w:t>
      </w:r>
      <w:hyperlink r:id="rId48" w:history="1">
        <w:r w:rsidR="00797089" w:rsidRPr="00B43918">
          <w:rPr>
            <w:rStyle w:val="Hyperlink"/>
            <w:sz w:val="15"/>
            <w:szCs w:val="15"/>
          </w:rPr>
          <w:t>https://www.oecd.org/en/publications/what-difference-do-standards-make-to-educating-teachers_f1cb24d5-en.html</w:t>
        </w:r>
      </w:hyperlink>
      <w:r w:rsidR="00797089">
        <w:rPr>
          <w:sz w:val="15"/>
          <w:szCs w:val="15"/>
        </w:rPr>
        <w:t xml:space="preserve"> </w:t>
      </w:r>
    </w:p>
  </w:footnote>
  <w:footnote w:id="48">
    <w:p w14:paraId="3E9A140E" w14:textId="43B1A7EA" w:rsidR="00495801" w:rsidRPr="00526EEA" w:rsidRDefault="00495801" w:rsidP="00495801">
      <w:pPr>
        <w:pStyle w:val="FootnoteText"/>
        <w:rPr>
          <w:sz w:val="15"/>
          <w:szCs w:val="15"/>
        </w:rPr>
      </w:pPr>
      <w:r w:rsidRPr="00526EEA">
        <w:rPr>
          <w:rStyle w:val="FootnoteReference"/>
          <w:sz w:val="15"/>
          <w:szCs w:val="15"/>
        </w:rPr>
        <w:footnoteRef/>
      </w:r>
      <w:r w:rsidRPr="00526EEA">
        <w:rPr>
          <w:sz w:val="15"/>
          <w:szCs w:val="15"/>
        </w:rPr>
        <w:t xml:space="preserve"> </w:t>
      </w:r>
      <w:r w:rsidR="00C62AD0">
        <w:rPr>
          <w:sz w:val="15"/>
          <w:szCs w:val="15"/>
        </w:rPr>
        <w:tab/>
      </w:r>
      <w:r w:rsidRPr="00526EEA">
        <w:rPr>
          <w:sz w:val="15"/>
          <w:szCs w:val="15"/>
        </w:rPr>
        <w:t xml:space="preserve">Darling-Hammond, L. and Bransford, J. (Eds.). (2007). Preparing Teachers for a Changing World: What Teachers Should Learn and Be Able to Do. </w:t>
      </w:r>
      <w:r w:rsidRPr="00526EEA">
        <w:rPr>
          <w:i/>
          <w:sz w:val="15"/>
          <w:szCs w:val="15"/>
        </w:rPr>
        <w:t>John Wiley &amp; Sons</w:t>
      </w:r>
      <w:r w:rsidRPr="00526EEA">
        <w:rPr>
          <w:sz w:val="15"/>
          <w:szCs w:val="15"/>
        </w:rPr>
        <w:t>.</w:t>
      </w:r>
    </w:p>
  </w:footnote>
  <w:footnote w:id="49">
    <w:p w14:paraId="3800368D" w14:textId="11838969" w:rsidR="00495801" w:rsidRDefault="00495801" w:rsidP="00495801">
      <w:pPr>
        <w:pStyle w:val="FootnoteText"/>
      </w:pPr>
      <w:r w:rsidRPr="00526EEA">
        <w:rPr>
          <w:rStyle w:val="FootnoteReference"/>
          <w:sz w:val="15"/>
          <w:szCs w:val="15"/>
        </w:rPr>
        <w:footnoteRef/>
      </w:r>
      <w:r w:rsidRPr="00526EEA">
        <w:rPr>
          <w:sz w:val="15"/>
          <w:szCs w:val="15"/>
        </w:rPr>
        <w:t xml:space="preserve"> </w:t>
      </w:r>
      <w:r w:rsidR="00C62AD0">
        <w:rPr>
          <w:sz w:val="15"/>
          <w:szCs w:val="15"/>
        </w:rPr>
        <w:tab/>
      </w:r>
      <w:r w:rsidRPr="00526EEA">
        <w:rPr>
          <w:sz w:val="15"/>
          <w:szCs w:val="15"/>
        </w:rPr>
        <w:t xml:space="preserve">Darling-Hammond L., Oakes, J., Wojcikiewicz, SK., Hyler, ME., Guha, R., Podolsky, A., Kini, T., Cook-Harvey, CM., Jackson Mercer, CN., and Harrell, A. (2019). Research brief: Preparing teachers for deeper learning. </w:t>
      </w:r>
      <w:r w:rsidRPr="00526EEA">
        <w:rPr>
          <w:i/>
          <w:sz w:val="15"/>
          <w:szCs w:val="15"/>
        </w:rPr>
        <w:t xml:space="preserve">Learning Policy Institute </w:t>
      </w:r>
      <w:r w:rsidRPr="00526EEA">
        <w:rPr>
          <w:sz w:val="15"/>
          <w:szCs w:val="15"/>
        </w:rPr>
        <w:t xml:space="preserve">and </w:t>
      </w:r>
      <w:r w:rsidRPr="00526EEA">
        <w:rPr>
          <w:i/>
          <w:sz w:val="15"/>
          <w:szCs w:val="15"/>
        </w:rPr>
        <w:t>Harvard Education Press.</w:t>
      </w:r>
    </w:p>
  </w:footnote>
  <w:footnote w:id="50">
    <w:p w14:paraId="2A301FEE" w14:textId="705B727D" w:rsidR="00352622" w:rsidRPr="000F36E4" w:rsidRDefault="00352622" w:rsidP="00352622">
      <w:pPr>
        <w:pStyle w:val="FootnoteText"/>
        <w:rPr>
          <w:sz w:val="15"/>
          <w:szCs w:val="15"/>
        </w:rPr>
      </w:pPr>
      <w:r w:rsidRPr="000F36E4">
        <w:rPr>
          <w:rStyle w:val="FootnoteReference"/>
          <w:sz w:val="15"/>
          <w:szCs w:val="15"/>
        </w:rPr>
        <w:footnoteRef/>
      </w:r>
      <w:r w:rsidRPr="000F36E4">
        <w:rPr>
          <w:sz w:val="15"/>
          <w:szCs w:val="15"/>
        </w:rPr>
        <w:t xml:space="preserve"> </w:t>
      </w:r>
      <w:r w:rsidR="00C62AD0">
        <w:rPr>
          <w:sz w:val="15"/>
          <w:szCs w:val="15"/>
        </w:rPr>
        <w:tab/>
      </w:r>
      <w:r w:rsidRPr="000F36E4">
        <w:rPr>
          <w:sz w:val="15"/>
          <w:szCs w:val="15"/>
        </w:rPr>
        <w:t xml:space="preserve">Te Ihuwaka Education Evaluation Centre. (2024) Guide for ECE leaders: oral language development in the early years. </w:t>
      </w:r>
      <w:r w:rsidRPr="000F36E4">
        <w:rPr>
          <w:i/>
          <w:sz w:val="15"/>
          <w:szCs w:val="15"/>
        </w:rPr>
        <w:t>Te Ihuwaka Education Evaluation Centre.</w:t>
      </w:r>
      <w:r w:rsidRPr="000F36E4">
        <w:rPr>
          <w:sz w:val="15"/>
          <w:szCs w:val="15"/>
        </w:rPr>
        <w:t xml:space="preserve"> </w:t>
      </w:r>
      <w:hyperlink r:id="rId49" w:history="1">
        <w:r w:rsidR="00797089" w:rsidRPr="00B43918">
          <w:rPr>
            <w:rStyle w:val="Hyperlink"/>
            <w:sz w:val="15"/>
            <w:szCs w:val="15"/>
          </w:rPr>
          <w:t>https://www.evidence.ero.govt.nz/media/zzljbock/guide-for-ece-leaders-oral-language-development-in-the-early-years.pdf</w:t>
        </w:r>
      </w:hyperlink>
      <w:r w:rsidR="00797089">
        <w:rPr>
          <w:sz w:val="15"/>
          <w:szCs w:val="15"/>
        </w:rPr>
        <w:t xml:space="preserve"> </w:t>
      </w:r>
    </w:p>
  </w:footnote>
  <w:footnote w:id="51">
    <w:p w14:paraId="5AF68CA2" w14:textId="68BD51EC" w:rsidR="005F45DA" w:rsidRPr="002F051A" w:rsidRDefault="005F45DA" w:rsidP="005F45DA">
      <w:pPr>
        <w:pStyle w:val="FootnoteText"/>
        <w:rPr>
          <w:sz w:val="15"/>
          <w:szCs w:val="15"/>
        </w:rPr>
      </w:pPr>
      <w:r w:rsidRPr="002F051A">
        <w:rPr>
          <w:rStyle w:val="FootnoteReference"/>
          <w:sz w:val="15"/>
          <w:szCs w:val="15"/>
        </w:rPr>
        <w:footnoteRef/>
      </w:r>
      <w:r w:rsidRPr="002F051A">
        <w:rPr>
          <w:sz w:val="15"/>
          <w:szCs w:val="15"/>
        </w:rPr>
        <w:t xml:space="preserve"> </w:t>
      </w:r>
      <w:r w:rsidR="00C62AD0">
        <w:rPr>
          <w:sz w:val="15"/>
          <w:szCs w:val="15"/>
        </w:rPr>
        <w:tab/>
      </w:r>
      <w:r w:rsidRPr="002F051A">
        <w:rPr>
          <w:sz w:val="15"/>
          <w:szCs w:val="15"/>
        </w:rPr>
        <w:t xml:space="preserve">Diamond, A. (2016). Why improving and assessing executive functions early in life is critical. In J. A. Griffin, P. McCardle &amp; L. S. Freund (Eds.), </w:t>
      </w:r>
      <w:r w:rsidRPr="00960AD9">
        <w:rPr>
          <w:i/>
          <w:sz w:val="15"/>
          <w:szCs w:val="15"/>
        </w:rPr>
        <w:t>Executive function in preschool-age children: Integrating measurement, neurodevelopment, and translational research</w:t>
      </w:r>
      <w:r w:rsidRPr="002F051A">
        <w:rPr>
          <w:sz w:val="15"/>
          <w:szCs w:val="15"/>
        </w:rPr>
        <w:t xml:space="preserve"> (pp. 11–43). American Psychological Association</w:t>
      </w:r>
      <w:r>
        <w:rPr>
          <w:sz w:val="15"/>
          <w:szCs w:val="15"/>
        </w:rPr>
        <w:t xml:space="preserve">; </w:t>
      </w:r>
      <w:r w:rsidRPr="002F051A">
        <w:rPr>
          <w:sz w:val="15"/>
          <w:szCs w:val="15"/>
        </w:rPr>
        <w:t xml:space="preserve">Garon, N., Bryson, S. E., &amp; Smith, I. M. (2008). Executive function in preschoolers: A review using an integrative framework. </w:t>
      </w:r>
      <w:r w:rsidRPr="00960AD9">
        <w:rPr>
          <w:i/>
          <w:sz w:val="15"/>
          <w:szCs w:val="15"/>
        </w:rPr>
        <w:t>Psychological Bulletin</w:t>
      </w:r>
      <w:r w:rsidRPr="002F051A">
        <w:rPr>
          <w:sz w:val="15"/>
          <w:szCs w:val="15"/>
        </w:rPr>
        <w:t xml:space="preserve">, 134(1), 31–60. </w:t>
      </w:r>
      <w:hyperlink r:id="rId50" w:history="1">
        <w:r w:rsidR="00797089" w:rsidRPr="00B43918">
          <w:rPr>
            <w:rStyle w:val="Hyperlink"/>
            <w:sz w:val="15"/>
            <w:szCs w:val="15"/>
          </w:rPr>
          <w:t>https://doi.org/10.1037/0033-2909.134.1.31</w:t>
        </w:r>
      </w:hyperlink>
      <w:r w:rsidR="00797089">
        <w:rPr>
          <w:sz w:val="15"/>
          <w:szCs w:val="15"/>
        </w:rPr>
        <w:t xml:space="preserve"> </w:t>
      </w:r>
    </w:p>
  </w:footnote>
  <w:footnote w:id="52">
    <w:p w14:paraId="3F7E0455" w14:textId="6E6F495F" w:rsidR="005F45DA" w:rsidRPr="00960AD9" w:rsidRDefault="005F45DA" w:rsidP="005F45DA">
      <w:pPr>
        <w:pStyle w:val="FootnoteText"/>
        <w:rPr>
          <w:sz w:val="15"/>
          <w:szCs w:val="15"/>
        </w:rPr>
      </w:pPr>
      <w:r w:rsidRPr="002F051A">
        <w:rPr>
          <w:rStyle w:val="FootnoteReference"/>
          <w:sz w:val="15"/>
          <w:szCs w:val="15"/>
        </w:rPr>
        <w:footnoteRef/>
      </w:r>
      <w:r w:rsidRPr="002F051A">
        <w:rPr>
          <w:sz w:val="15"/>
          <w:szCs w:val="15"/>
        </w:rPr>
        <w:t xml:space="preserve"> </w:t>
      </w:r>
      <w:r w:rsidR="00C62AD0">
        <w:rPr>
          <w:sz w:val="15"/>
          <w:szCs w:val="15"/>
        </w:rPr>
        <w:tab/>
      </w:r>
      <w:r w:rsidRPr="002F051A">
        <w:rPr>
          <w:sz w:val="15"/>
          <w:szCs w:val="15"/>
        </w:rPr>
        <w:t xml:space="preserve">Deans for Impact (2026) The Science of Learning (2nd ed.). Austin, TX: Deans for Impact; Sweller, J., van Merriënboer, J.J.G. &amp; Paas, F. Cognitive Architecture and Instructional Design: 20 Years Later. </w:t>
      </w:r>
      <w:r w:rsidRPr="00960AD9">
        <w:rPr>
          <w:i/>
          <w:sz w:val="15"/>
          <w:szCs w:val="15"/>
        </w:rPr>
        <w:t>Educational Psychology Review</w:t>
      </w:r>
      <w:r w:rsidRPr="002F051A">
        <w:rPr>
          <w:sz w:val="15"/>
          <w:szCs w:val="15"/>
        </w:rPr>
        <w:t xml:space="preserve">, 31, 261–292 (2019). </w:t>
      </w:r>
      <w:hyperlink r:id="rId51" w:history="1">
        <w:r w:rsidRPr="007D2F14">
          <w:rPr>
            <w:rStyle w:val="Hyperlink"/>
            <w:sz w:val="15"/>
            <w:szCs w:val="15"/>
          </w:rPr>
          <w:t>https://doi.org/10.1007/s10648-019-09465-5</w:t>
        </w:r>
      </w:hyperlink>
      <w:r>
        <w:rPr>
          <w:sz w:val="15"/>
          <w:szCs w:val="15"/>
        </w:rPr>
        <w:t xml:space="preserve">; </w:t>
      </w:r>
      <w:r w:rsidRPr="00960AD9">
        <w:rPr>
          <w:sz w:val="15"/>
          <w:szCs w:val="15"/>
        </w:rPr>
        <w:t xml:space="preserve">Agarwal, P. K., Nunes, L. D., &amp; Blunt, J. R. (2021). Retrieval practice consistently benefits student learning: A systematic review of applied research in schools and classrooms. </w:t>
      </w:r>
      <w:r w:rsidRPr="00960AD9">
        <w:rPr>
          <w:i/>
          <w:iCs/>
          <w:sz w:val="15"/>
          <w:szCs w:val="15"/>
        </w:rPr>
        <w:t>Educational Psychology Review</w:t>
      </w:r>
      <w:r w:rsidRPr="00960AD9">
        <w:rPr>
          <w:sz w:val="15"/>
          <w:szCs w:val="15"/>
        </w:rPr>
        <w:t xml:space="preserve">, 33(4), 1409-1453. </w:t>
      </w:r>
      <w:hyperlink r:id="rId52" w:history="1">
        <w:r w:rsidR="00797089" w:rsidRPr="00B43918">
          <w:rPr>
            <w:rStyle w:val="Hyperlink"/>
            <w:sz w:val="15"/>
            <w:szCs w:val="15"/>
          </w:rPr>
          <w:t>https://doi.org/10.1007/s10648-021-09595-9</w:t>
        </w:r>
      </w:hyperlink>
      <w:r w:rsidR="00797089">
        <w:rPr>
          <w:sz w:val="15"/>
          <w:szCs w:val="15"/>
        </w:rPr>
        <w:t xml:space="preserve"> </w:t>
      </w:r>
    </w:p>
  </w:footnote>
  <w:footnote w:id="53">
    <w:p w14:paraId="14BCBA8D" w14:textId="3FE4FF18" w:rsidR="00897CA0" w:rsidRPr="00747F9D" w:rsidRDefault="00897CA0" w:rsidP="00897CA0">
      <w:pPr>
        <w:pStyle w:val="FootnoteText"/>
        <w:rPr>
          <w:sz w:val="15"/>
          <w:szCs w:val="15"/>
        </w:rPr>
      </w:pPr>
      <w:r w:rsidRPr="00747F9D">
        <w:rPr>
          <w:rStyle w:val="FootnoteReference"/>
          <w:sz w:val="15"/>
          <w:szCs w:val="15"/>
        </w:rPr>
        <w:footnoteRef/>
      </w:r>
      <w:r w:rsidRPr="00747F9D">
        <w:rPr>
          <w:sz w:val="15"/>
          <w:szCs w:val="15"/>
        </w:rPr>
        <w:t xml:space="preserve"> </w:t>
      </w:r>
      <w:r w:rsidR="005102D8">
        <w:rPr>
          <w:sz w:val="15"/>
          <w:szCs w:val="15"/>
        </w:rPr>
        <w:tab/>
      </w:r>
      <w:r w:rsidRPr="00747F9D">
        <w:rPr>
          <w:sz w:val="15"/>
          <w:szCs w:val="15"/>
        </w:rPr>
        <w:t xml:space="preserve">Australian Government Department of Education. (2023). Strong Beginnings: Report of the Teacher Education Expert Panel. </w:t>
      </w:r>
      <w:r w:rsidRPr="00747F9D">
        <w:rPr>
          <w:i/>
          <w:sz w:val="15"/>
          <w:szCs w:val="15"/>
        </w:rPr>
        <w:t>Australian Government Department of Education</w:t>
      </w:r>
      <w:r w:rsidRPr="00747F9D">
        <w:rPr>
          <w:sz w:val="15"/>
          <w:szCs w:val="15"/>
        </w:rPr>
        <w:t xml:space="preserve">. </w:t>
      </w:r>
      <w:hyperlink r:id="rId53" w:history="1">
        <w:r w:rsidR="00C256C0" w:rsidRPr="00B43918">
          <w:rPr>
            <w:rStyle w:val="Hyperlink"/>
            <w:sz w:val="15"/>
            <w:szCs w:val="15"/>
          </w:rPr>
          <w:t>https://www.education.gov.au/quality-initial-teacher-education-review/resources/strong-beginnings-report-teacher-education-expert-panel</w:t>
        </w:r>
      </w:hyperlink>
      <w:r w:rsidR="00C256C0">
        <w:rPr>
          <w:sz w:val="15"/>
          <w:szCs w:val="15"/>
        </w:rPr>
        <w:t xml:space="preserve"> </w:t>
      </w:r>
    </w:p>
  </w:footnote>
  <w:footnote w:id="54">
    <w:p w14:paraId="274D65CD" w14:textId="51C1A44F" w:rsidR="00897CA0" w:rsidRDefault="00897CA0" w:rsidP="00897CA0">
      <w:pPr>
        <w:pStyle w:val="FootnoteText"/>
      </w:pPr>
      <w:r w:rsidRPr="00747F9D">
        <w:rPr>
          <w:rStyle w:val="FootnoteReference"/>
          <w:sz w:val="15"/>
          <w:szCs w:val="15"/>
        </w:rPr>
        <w:footnoteRef/>
      </w:r>
      <w:r w:rsidRPr="00747F9D">
        <w:rPr>
          <w:sz w:val="15"/>
          <w:szCs w:val="15"/>
        </w:rPr>
        <w:t xml:space="preserve"> </w:t>
      </w:r>
      <w:r w:rsidR="005102D8">
        <w:rPr>
          <w:sz w:val="15"/>
          <w:szCs w:val="15"/>
        </w:rPr>
        <w:tab/>
      </w:r>
      <w:r w:rsidRPr="00747F9D">
        <w:rPr>
          <w:sz w:val="15"/>
          <w:szCs w:val="15"/>
        </w:rPr>
        <w:t xml:space="preserve">Bastian K. C., Lys D. B. &amp; Whisenant W. R. L., (2022). Does Placement Predict Performance? Association Between Student Teaching Environments and Candidates’ Performance Assessment Scores. </w:t>
      </w:r>
      <w:r w:rsidRPr="00747F9D">
        <w:rPr>
          <w:i/>
          <w:sz w:val="15"/>
          <w:szCs w:val="15"/>
        </w:rPr>
        <w:t>Journal of Teacher Education</w:t>
      </w:r>
      <w:r w:rsidRPr="00747F9D">
        <w:rPr>
          <w:sz w:val="15"/>
          <w:szCs w:val="15"/>
        </w:rPr>
        <w:t xml:space="preserve">, 74(1), 40-54. </w:t>
      </w:r>
      <w:hyperlink r:id="rId54" w:history="1">
        <w:r w:rsidR="00C256C0" w:rsidRPr="00B43918">
          <w:rPr>
            <w:rStyle w:val="Hyperlink"/>
            <w:sz w:val="15"/>
            <w:szCs w:val="15"/>
          </w:rPr>
          <w:t>https://doi.org/10.1177/00224871221105814</w:t>
        </w:r>
      </w:hyperlink>
      <w:r w:rsidR="00C256C0">
        <w:rPr>
          <w:sz w:val="15"/>
          <w:szCs w:val="15"/>
        </w:rPr>
        <w:t xml:space="preserve"> </w:t>
      </w:r>
    </w:p>
  </w:footnote>
  <w:footnote w:id="55">
    <w:p w14:paraId="5F473440" w14:textId="1B0D6897" w:rsidR="00897CA0" w:rsidRPr="000E6B40" w:rsidRDefault="00897CA0" w:rsidP="00897CA0">
      <w:pPr>
        <w:pStyle w:val="FootnoteText"/>
        <w:rPr>
          <w:sz w:val="15"/>
          <w:szCs w:val="15"/>
        </w:rPr>
      </w:pPr>
      <w:r w:rsidRPr="00391B1C">
        <w:rPr>
          <w:rStyle w:val="FootnoteReference"/>
          <w:sz w:val="15"/>
          <w:szCs w:val="15"/>
        </w:rPr>
        <w:footnoteRef/>
      </w:r>
      <w:r w:rsidRPr="00391B1C">
        <w:rPr>
          <w:sz w:val="15"/>
          <w:szCs w:val="15"/>
        </w:rPr>
        <w:t xml:space="preserve"> </w:t>
      </w:r>
      <w:r w:rsidR="005102D8">
        <w:rPr>
          <w:sz w:val="15"/>
          <w:szCs w:val="15"/>
        </w:rPr>
        <w:tab/>
      </w:r>
      <w:r w:rsidRPr="00654A78">
        <w:rPr>
          <w:sz w:val="15"/>
          <w:szCs w:val="15"/>
        </w:rPr>
        <w:t xml:space="preserve">Department for Education. (2026). </w:t>
      </w:r>
      <w:r w:rsidRPr="00654A78">
        <w:rPr>
          <w:i/>
          <w:sz w:val="15"/>
          <w:szCs w:val="15"/>
        </w:rPr>
        <w:t>Initial teacher training</w:t>
      </w:r>
      <w:r>
        <w:rPr>
          <w:i/>
          <w:sz w:val="15"/>
          <w:szCs w:val="15"/>
        </w:rPr>
        <w:t xml:space="preserve"> and early careers framework. </w:t>
      </w:r>
      <w:r w:rsidRPr="00654A78">
        <w:rPr>
          <w:sz w:val="15"/>
          <w:szCs w:val="15"/>
        </w:rPr>
        <w:t>Government of United Kingdom Department for Education.</w:t>
      </w:r>
      <w:r>
        <w:rPr>
          <w:sz w:val="15"/>
          <w:szCs w:val="15"/>
        </w:rPr>
        <w:t xml:space="preserve"> </w:t>
      </w:r>
      <w:hyperlink r:id="rId55" w:history="1">
        <w:r w:rsidRPr="00016305">
          <w:rPr>
            <w:rStyle w:val="Hyperlink"/>
            <w:sz w:val="15"/>
            <w:szCs w:val="15"/>
          </w:rPr>
          <w:t>https://assets.publishing.service.gov.uk/media/661d24ac08c3be25cfbd3e61/Initial_Teacher_Training_and_Early_Career_Framework.pdf</w:t>
        </w:r>
      </w:hyperlink>
      <w:r>
        <w:rPr>
          <w:sz w:val="15"/>
          <w:szCs w:val="15"/>
        </w:rPr>
        <w:t xml:space="preserve">; Australian Institute for Teaching and School Leadership. (2024). </w:t>
      </w:r>
      <w:r>
        <w:rPr>
          <w:i/>
          <w:iCs/>
          <w:sz w:val="15"/>
          <w:szCs w:val="15"/>
        </w:rPr>
        <w:t xml:space="preserve">Australian Professional Experience Guidelines. </w:t>
      </w:r>
      <w:hyperlink r:id="rId56" w:history="1">
        <w:r w:rsidRPr="00016305">
          <w:rPr>
            <w:rStyle w:val="Hyperlink"/>
            <w:sz w:val="15"/>
            <w:szCs w:val="15"/>
          </w:rPr>
          <w:t>https://www.aitsl.edu.au/docs/default-source/initial-teacher-education-resources/professional-experience-guidelines/australian-professional-experience-guidelines-2024_10_18.pdf</w:t>
        </w:r>
      </w:hyperlink>
    </w:p>
  </w:footnote>
  <w:footnote w:id="56">
    <w:p w14:paraId="4643524E" w14:textId="13C955FD" w:rsidR="00BC716B" w:rsidRPr="00BC716B" w:rsidRDefault="00BC716B">
      <w:pPr>
        <w:pStyle w:val="FootnoteText"/>
        <w:rPr>
          <w:lang w:val="mi-NZ"/>
        </w:rPr>
      </w:pPr>
      <w:r>
        <w:rPr>
          <w:rStyle w:val="FootnoteReference"/>
        </w:rPr>
        <w:footnoteRef/>
      </w:r>
      <w:r>
        <w:t xml:space="preserve"> </w:t>
      </w:r>
      <w:r w:rsidR="00651998">
        <w:tab/>
      </w:r>
      <w:r>
        <w:t xml:space="preserve">The </w:t>
      </w:r>
      <w:r w:rsidR="000D5C60">
        <w:t xml:space="preserve">School Onsite Training Program is a Ministry-funded, school-based ITE pathway in which student teachers spend three days a week at a host school or kura while completing their qualification and receive support from experienced mentor teacher. </w:t>
      </w:r>
      <w:r w:rsidR="00412D55">
        <w:t xml:space="preserve">Host schools receive funding to help cover the cost of supporting them. In 2026, the Ministry boosted the number from 242 to 533 training places. </w:t>
      </w:r>
    </w:p>
  </w:footnote>
  <w:footnote w:id="57">
    <w:p w14:paraId="49AC5FBB" w14:textId="3C4789B1" w:rsidR="00897CA0" w:rsidRPr="00CA4FBB" w:rsidRDefault="00897CA0" w:rsidP="00897CA0">
      <w:pPr>
        <w:pStyle w:val="FootnoteText"/>
        <w:rPr>
          <w:sz w:val="15"/>
          <w:szCs w:val="15"/>
        </w:rPr>
      </w:pPr>
      <w:r w:rsidRPr="00CA4FBB">
        <w:rPr>
          <w:rStyle w:val="FootnoteReference"/>
          <w:sz w:val="15"/>
          <w:szCs w:val="15"/>
        </w:rPr>
        <w:footnoteRef/>
      </w:r>
      <w:r w:rsidRPr="00CA4FBB">
        <w:rPr>
          <w:sz w:val="15"/>
          <w:szCs w:val="15"/>
        </w:rPr>
        <w:t xml:space="preserve"> </w:t>
      </w:r>
      <w:r w:rsidR="00061B70">
        <w:rPr>
          <w:sz w:val="15"/>
          <w:szCs w:val="15"/>
        </w:rPr>
        <w:tab/>
      </w:r>
      <w:r w:rsidRPr="00CA4FBB">
        <w:rPr>
          <w:sz w:val="15"/>
          <w:szCs w:val="15"/>
        </w:rPr>
        <w:t>The Council may impose ‘conditions’ on the approval, this may include a date that the condition has to be met by, the evidence required to demonstrate that the condition has been met, a monitor to report on the progress.</w:t>
      </w:r>
    </w:p>
  </w:footnote>
  <w:footnote w:id="58">
    <w:p w14:paraId="74E152A9" w14:textId="1F7A2DD5" w:rsidR="00897CA0" w:rsidRPr="00491209" w:rsidRDefault="00897CA0" w:rsidP="00897CA0">
      <w:pPr>
        <w:pStyle w:val="FootnoteText"/>
      </w:pPr>
      <w:r w:rsidRPr="00CA4FBB">
        <w:rPr>
          <w:rStyle w:val="FootnoteReference"/>
          <w:sz w:val="15"/>
          <w:szCs w:val="15"/>
        </w:rPr>
        <w:footnoteRef/>
      </w:r>
      <w:r w:rsidRPr="00CA4FBB">
        <w:rPr>
          <w:sz w:val="15"/>
          <w:szCs w:val="15"/>
        </w:rPr>
        <w:t xml:space="preserve"> </w:t>
      </w:r>
      <w:r w:rsidR="00061B70">
        <w:rPr>
          <w:sz w:val="15"/>
          <w:szCs w:val="15"/>
        </w:rPr>
        <w:tab/>
      </w:r>
      <w:r w:rsidRPr="00BF3508">
        <w:rPr>
          <w:sz w:val="15"/>
          <w:szCs w:val="15"/>
        </w:rPr>
        <w:t xml:space="preserve">Teaching Council of Aotearoa New Zealand. (2022). </w:t>
      </w:r>
      <w:r w:rsidRPr="00BF3508">
        <w:rPr>
          <w:i/>
          <w:iCs/>
          <w:sz w:val="15"/>
          <w:szCs w:val="15"/>
        </w:rPr>
        <w:t xml:space="preserve">Creating an equitable focused Initial Teacher Education (ITE) system: The new ITE requirements – the journey so far. </w:t>
      </w:r>
      <w:r w:rsidRPr="00BF3508">
        <w:rPr>
          <w:sz w:val="15"/>
          <w:szCs w:val="15"/>
        </w:rPr>
        <w:t>Teaching Council of Aotearoa New Zealand.</w:t>
      </w:r>
      <w:r>
        <w:rPr>
          <w:sz w:val="15"/>
          <w:szCs w:val="15"/>
        </w:rPr>
        <w:t xml:space="preserve"> </w:t>
      </w:r>
    </w:p>
  </w:footnote>
  <w:footnote w:id="59">
    <w:p w14:paraId="032D1369" w14:textId="2D3D18C0" w:rsidR="00897CA0" w:rsidRPr="00AA37CB" w:rsidRDefault="00897CA0" w:rsidP="00897CA0">
      <w:pPr>
        <w:pStyle w:val="FootnoteText"/>
        <w:rPr>
          <w:sz w:val="15"/>
          <w:szCs w:val="15"/>
        </w:rPr>
      </w:pPr>
      <w:r w:rsidRPr="00AA37CB">
        <w:rPr>
          <w:rStyle w:val="FootnoteReference"/>
          <w:sz w:val="15"/>
          <w:szCs w:val="15"/>
        </w:rPr>
        <w:footnoteRef/>
      </w:r>
      <w:r w:rsidRPr="00AA37CB">
        <w:rPr>
          <w:sz w:val="15"/>
          <w:szCs w:val="15"/>
        </w:rPr>
        <w:t xml:space="preserve"> </w:t>
      </w:r>
      <w:r w:rsidR="00061B70">
        <w:rPr>
          <w:sz w:val="15"/>
          <w:szCs w:val="15"/>
        </w:rPr>
        <w:tab/>
      </w:r>
      <w:r w:rsidRPr="00AA37CB">
        <w:rPr>
          <w:sz w:val="15"/>
          <w:szCs w:val="15"/>
        </w:rPr>
        <w:t xml:space="preserve">Darling-Hammond, L. (2012). The right start: Creating a strong foundation for the teaching career. </w:t>
      </w:r>
      <w:r w:rsidRPr="00AA37CB">
        <w:rPr>
          <w:i/>
          <w:sz w:val="15"/>
          <w:szCs w:val="15"/>
        </w:rPr>
        <w:t>The Phi Delta Kappan</w:t>
      </w:r>
      <w:r w:rsidRPr="00AA37CB">
        <w:rPr>
          <w:sz w:val="15"/>
          <w:szCs w:val="15"/>
        </w:rPr>
        <w:t>, 94(3), 8-13</w:t>
      </w:r>
      <w:r>
        <w:rPr>
          <w:sz w:val="15"/>
          <w:szCs w:val="15"/>
        </w:rPr>
        <w:t>;</w:t>
      </w:r>
      <w:r w:rsidRPr="00AA37CB">
        <w:rPr>
          <w:sz w:val="15"/>
          <w:szCs w:val="15"/>
        </w:rPr>
        <w:t xml:space="preserve"> Stacey, M., Talbot, D., Buchanan, J., Mayer, D. (2020) The development of an Australian teacher performance assessment: lessons from the international literature. </w:t>
      </w:r>
      <w:r w:rsidRPr="00AA37CB">
        <w:rPr>
          <w:i/>
          <w:iCs/>
          <w:sz w:val="15"/>
          <w:szCs w:val="15"/>
        </w:rPr>
        <w:t>Asia Pacific Journal of Teacher Education</w:t>
      </w:r>
      <w:r w:rsidRPr="00AA37CB">
        <w:rPr>
          <w:sz w:val="15"/>
          <w:szCs w:val="15"/>
        </w:rPr>
        <w:t>, 48(5), 508-519.</w:t>
      </w:r>
    </w:p>
  </w:footnote>
  <w:footnote w:id="60">
    <w:p w14:paraId="734E59EA" w14:textId="0D72EE21" w:rsidR="00897CA0" w:rsidRDefault="00897CA0" w:rsidP="00897CA0">
      <w:pPr>
        <w:pStyle w:val="FootnoteText"/>
      </w:pPr>
      <w:r w:rsidRPr="00AA37CB">
        <w:rPr>
          <w:rStyle w:val="FootnoteReference"/>
          <w:sz w:val="15"/>
          <w:szCs w:val="15"/>
        </w:rPr>
        <w:footnoteRef/>
      </w:r>
      <w:r w:rsidRPr="00AA37CB">
        <w:rPr>
          <w:sz w:val="15"/>
          <w:szCs w:val="15"/>
        </w:rPr>
        <w:t xml:space="preserve"> </w:t>
      </w:r>
      <w:r w:rsidR="00061B70">
        <w:rPr>
          <w:sz w:val="15"/>
          <w:szCs w:val="15"/>
        </w:rPr>
        <w:tab/>
      </w:r>
      <w:r w:rsidRPr="00AA37CB">
        <w:rPr>
          <w:sz w:val="15"/>
          <w:szCs w:val="15"/>
        </w:rPr>
        <w:t xml:space="preserve">Wyatt -Smith, C., Adie, L., Haynes, M., &amp; Day, C. (2022). Professionalizing Teacher Education: Performance Assessment, Standards, Moderation, and Evidence. </w:t>
      </w:r>
      <w:r w:rsidRPr="00AA37CB">
        <w:rPr>
          <w:i/>
          <w:sz w:val="15"/>
          <w:szCs w:val="15"/>
        </w:rPr>
        <w:t>Routledge</w:t>
      </w:r>
      <w:r w:rsidRPr="00AA37CB">
        <w:rPr>
          <w:sz w:val="15"/>
          <w:szCs w:val="15"/>
        </w:rPr>
        <w:t xml:space="preserve">. </w:t>
      </w:r>
      <w:hyperlink r:id="rId57" w:history="1">
        <w:r w:rsidR="00D54638" w:rsidRPr="00D54638">
          <w:rPr>
            <w:rStyle w:val="Hyperlink"/>
            <w:sz w:val="15"/>
            <w:szCs w:val="15"/>
          </w:rPr>
          <w:t>https://doi.org/10.4324/9780429318504</w:t>
        </w:r>
      </w:hyperlink>
    </w:p>
  </w:footnote>
  <w:footnote w:id="61">
    <w:p w14:paraId="1FDC5DBF" w14:textId="04E9D47A" w:rsidR="00897CA0" w:rsidRPr="00311FAD" w:rsidRDefault="00897CA0" w:rsidP="00897CA0">
      <w:pPr>
        <w:pStyle w:val="FootnoteText"/>
        <w:rPr>
          <w:sz w:val="15"/>
          <w:szCs w:val="15"/>
        </w:rPr>
      </w:pPr>
      <w:r w:rsidRPr="00165CB5">
        <w:rPr>
          <w:rStyle w:val="FootnoteReference"/>
          <w:sz w:val="15"/>
          <w:szCs w:val="15"/>
        </w:rPr>
        <w:footnoteRef/>
      </w:r>
      <w:r w:rsidRPr="00165CB5">
        <w:rPr>
          <w:sz w:val="15"/>
          <w:szCs w:val="15"/>
        </w:rPr>
        <w:t xml:space="preserve"> </w:t>
      </w:r>
      <w:r w:rsidR="00061B70">
        <w:rPr>
          <w:sz w:val="15"/>
          <w:szCs w:val="15"/>
        </w:rPr>
        <w:tab/>
      </w:r>
      <w:r w:rsidRPr="00165CB5">
        <w:rPr>
          <w:sz w:val="15"/>
          <w:szCs w:val="15"/>
        </w:rPr>
        <w:t xml:space="preserve">Teaching Council of Aotearoa New Zealand. (n. d.). </w:t>
      </w:r>
      <w:r w:rsidRPr="00165CB5">
        <w:rPr>
          <w:i/>
          <w:iCs/>
          <w:sz w:val="15"/>
          <w:szCs w:val="15"/>
        </w:rPr>
        <w:t xml:space="preserve">Creating an induction and mentoring programme. </w:t>
      </w:r>
      <w:hyperlink r:id="rId58" w:history="1">
        <w:r w:rsidR="00C256C0" w:rsidRPr="00B43918">
          <w:rPr>
            <w:rStyle w:val="Hyperlink"/>
            <w:sz w:val="15"/>
            <w:szCs w:val="15"/>
          </w:rPr>
          <w:t>https://teachingcouncil.nz/en/for-principals-and-leaders/employer-obligations/creating-an-induction-and-mentoring-programme</w:t>
        </w:r>
      </w:hyperlink>
      <w:r w:rsidR="00C256C0">
        <w:rPr>
          <w:sz w:val="15"/>
          <w:szCs w:val="15"/>
        </w:rPr>
        <w:t xml:space="preserve"> </w:t>
      </w:r>
    </w:p>
  </w:footnote>
  <w:footnote w:id="62">
    <w:p w14:paraId="64053CFB" w14:textId="109A3BC0" w:rsidR="00897CA0" w:rsidRPr="00087FF0" w:rsidRDefault="00897CA0" w:rsidP="00897CA0">
      <w:pPr>
        <w:pStyle w:val="FootnoteText"/>
        <w:rPr>
          <w:sz w:val="15"/>
          <w:szCs w:val="15"/>
        </w:rPr>
      </w:pPr>
      <w:r w:rsidRPr="00311FAD">
        <w:rPr>
          <w:rStyle w:val="FootnoteReference"/>
          <w:sz w:val="15"/>
          <w:szCs w:val="15"/>
        </w:rPr>
        <w:footnoteRef/>
      </w:r>
      <w:r w:rsidRPr="00311FAD">
        <w:rPr>
          <w:sz w:val="15"/>
          <w:szCs w:val="15"/>
        </w:rPr>
        <w:t xml:space="preserve"> </w:t>
      </w:r>
      <w:r w:rsidR="00061B70">
        <w:rPr>
          <w:sz w:val="15"/>
          <w:szCs w:val="15"/>
        </w:rPr>
        <w:tab/>
      </w:r>
      <w:r w:rsidRPr="00311FAD">
        <w:rPr>
          <w:sz w:val="15"/>
          <w:szCs w:val="15"/>
        </w:rPr>
        <w:t xml:space="preserve">Waston, S., Boyd, S., &amp; Maguire, T. (2022). </w:t>
      </w:r>
      <w:r w:rsidRPr="00311FAD">
        <w:rPr>
          <w:i/>
          <w:iCs/>
          <w:sz w:val="15"/>
          <w:szCs w:val="15"/>
        </w:rPr>
        <w:t>Supporting early career teachers and kaiako: Experiences of mentoring, induction, and PLD.</w:t>
      </w:r>
      <w:r w:rsidRPr="00311FAD">
        <w:rPr>
          <w:sz w:val="15"/>
          <w:szCs w:val="15"/>
        </w:rPr>
        <w:t xml:space="preserve"> New Zealand</w:t>
      </w:r>
      <w:r>
        <w:rPr>
          <w:sz w:val="15"/>
          <w:szCs w:val="15"/>
        </w:rPr>
        <w:t xml:space="preserve"> Council of Educational Research. </w:t>
      </w:r>
      <w:hyperlink r:id="rId59" w:history="1">
        <w:r w:rsidR="00C256C0" w:rsidRPr="00B43918">
          <w:rPr>
            <w:rStyle w:val="Hyperlink"/>
            <w:sz w:val="15"/>
            <w:szCs w:val="15"/>
          </w:rPr>
          <w:t>https://www.nzcer.org.nz/sites/default/files/downloads/Supporting%20early%20career%20teachers%20and%20kaiako%20-%20Full%20Report.pdf</w:t>
        </w:r>
      </w:hyperlink>
      <w:r w:rsidR="00C256C0">
        <w:rPr>
          <w:sz w:val="15"/>
          <w:szCs w:val="15"/>
        </w:rPr>
        <w:t xml:space="preserve"> </w:t>
      </w:r>
    </w:p>
  </w:footnote>
  <w:footnote w:id="63">
    <w:p w14:paraId="380145CC" w14:textId="7B87B2E1" w:rsidR="00897CA0" w:rsidRPr="00087FF0" w:rsidRDefault="00897CA0" w:rsidP="00897CA0">
      <w:pPr>
        <w:pStyle w:val="FootnoteText"/>
        <w:rPr>
          <w:sz w:val="15"/>
          <w:szCs w:val="15"/>
        </w:rPr>
      </w:pPr>
      <w:r w:rsidRPr="00087FF0">
        <w:rPr>
          <w:rStyle w:val="FootnoteReference"/>
          <w:sz w:val="15"/>
          <w:szCs w:val="15"/>
        </w:rPr>
        <w:footnoteRef/>
      </w:r>
      <w:r w:rsidRPr="00087FF0">
        <w:rPr>
          <w:sz w:val="15"/>
          <w:szCs w:val="15"/>
        </w:rPr>
        <w:t xml:space="preserve"> </w:t>
      </w:r>
      <w:r w:rsidR="00061B70">
        <w:rPr>
          <w:sz w:val="15"/>
          <w:szCs w:val="15"/>
        </w:rPr>
        <w:tab/>
      </w:r>
      <w:r w:rsidRPr="00087FF0">
        <w:rPr>
          <w:sz w:val="15"/>
          <w:szCs w:val="15"/>
        </w:rPr>
        <w:t xml:space="preserve">Smith, T. M., &amp; Ingersoll, R. M. (2004). What are the effects of induction and mentoring on beginning teacher turnover? </w:t>
      </w:r>
      <w:r w:rsidRPr="00087FF0">
        <w:rPr>
          <w:i/>
          <w:sz w:val="15"/>
          <w:szCs w:val="15"/>
        </w:rPr>
        <w:t>American Educational Research Journal,</w:t>
      </w:r>
      <w:r w:rsidRPr="00087FF0">
        <w:rPr>
          <w:sz w:val="15"/>
          <w:szCs w:val="15"/>
        </w:rPr>
        <w:t xml:space="preserve"> 41(3), 681-714. </w:t>
      </w:r>
      <w:hyperlink r:id="rId60" w:history="1">
        <w:r w:rsidR="00B45D89">
          <w:rPr>
            <w:rStyle w:val="Hyperlink"/>
            <w:sz w:val="15"/>
            <w:szCs w:val="15"/>
          </w:rPr>
          <w:t>https://doi.org/10.3102/00028312041003681</w:t>
        </w:r>
      </w:hyperlink>
      <w:r w:rsidR="00C256C0">
        <w:rPr>
          <w:sz w:val="15"/>
          <w:szCs w:val="15"/>
        </w:rPr>
        <w:t xml:space="preserve"> </w:t>
      </w:r>
    </w:p>
  </w:footnote>
  <w:footnote w:id="64">
    <w:p w14:paraId="23DF6A12" w14:textId="2A196878" w:rsidR="00897CA0" w:rsidRPr="00087FF0" w:rsidRDefault="00897CA0" w:rsidP="00897CA0">
      <w:pPr>
        <w:pStyle w:val="FootnoteText"/>
        <w:rPr>
          <w:sz w:val="15"/>
          <w:szCs w:val="15"/>
        </w:rPr>
      </w:pPr>
      <w:r w:rsidRPr="00087FF0">
        <w:rPr>
          <w:rStyle w:val="FootnoteReference"/>
          <w:sz w:val="15"/>
          <w:szCs w:val="15"/>
        </w:rPr>
        <w:footnoteRef/>
      </w:r>
      <w:r w:rsidRPr="00087FF0">
        <w:rPr>
          <w:sz w:val="15"/>
          <w:szCs w:val="15"/>
        </w:rPr>
        <w:t xml:space="preserve"> </w:t>
      </w:r>
      <w:r w:rsidR="00061B70">
        <w:rPr>
          <w:sz w:val="15"/>
          <w:szCs w:val="15"/>
        </w:rPr>
        <w:tab/>
      </w:r>
      <w:r w:rsidRPr="00087FF0">
        <w:rPr>
          <w:sz w:val="15"/>
          <w:szCs w:val="15"/>
        </w:rPr>
        <w:t xml:space="preserve">Darling-Hammond, L. (2006). Powerful Teacher Education: Lessons from Exemplary Programs. </w:t>
      </w:r>
      <w:r w:rsidRPr="003E5BA4">
        <w:rPr>
          <w:i/>
          <w:sz w:val="15"/>
          <w:szCs w:val="15"/>
        </w:rPr>
        <w:t>Jossey-Bass</w:t>
      </w:r>
      <w:r>
        <w:rPr>
          <w:sz w:val="15"/>
          <w:szCs w:val="15"/>
        </w:rPr>
        <w:t xml:space="preserve">; </w:t>
      </w:r>
      <w:r w:rsidRPr="00087FF0">
        <w:rPr>
          <w:sz w:val="15"/>
          <w:szCs w:val="15"/>
        </w:rPr>
        <w:t>O</w:t>
      </w:r>
      <w:r>
        <w:rPr>
          <w:sz w:val="15"/>
          <w:szCs w:val="15"/>
        </w:rPr>
        <w:t>rganisation of Economic Co-Operation and Development.</w:t>
      </w:r>
      <w:r w:rsidRPr="00087FF0">
        <w:rPr>
          <w:sz w:val="15"/>
          <w:szCs w:val="15"/>
        </w:rPr>
        <w:t xml:space="preserve"> (2019). A Flying Start: Improving Initial Teacher Preparation Systems. </w:t>
      </w:r>
      <w:r w:rsidRPr="00087FF0">
        <w:rPr>
          <w:i/>
          <w:iCs/>
          <w:sz w:val="15"/>
          <w:szCs w:val="15"/>
        </w:rPr>
        <w:t>OECD Publishing</w:t>
      </w:r>
      <w:r w:rsidRPr="00087FF0">
        <w:rPr>
          <w:sz w:val="15"/>
          <w:szCs w:val="15"/>
        </w:rPr>
        <w:t xml:space="preserve">. </w:t>
      </w:r>
      <w:hyperlink r:id="rId61" w:history="1">
        <w:r w:rsidR="00C256C0" w:rsidRPr="00B43918">
          <w:rPr>
            <w:rStyle w:val="Hyperlink"/>
            <w:sz w:val="15"/>
            <w:szCs w:val="15"/>
          </w:rPr>
          <w:t>https://doi.org/10.1787/cf74e549-en</w:t>
        </w:r>
      </w:hyperlink>
      <w:r w:rsidR="00C256C0">
        <w:rPr>
          <w:sz w:val="15"/>
          <w:szCs w:val="15"/>
        </w:rPr>
        <w:t xml:space="preserve"> </w:t>
      </w:r>
    </w:p>
  </w:footnote>
  <w:footnote w:id="65">
    <w:p w14:paraId="700FFFC6" w14:textId="49F47E7A" w:rsidR="00B16F24" w:rsidRPr="0049634E" w:rsidRDefault="00B16F24" w:rsidP="00B16F24">
      <w:pPr>
        <w:pStyle w:val="FootnoteText"/>
        <w:rPr>
          <w:sz w:val="15"/>
          <w:szCs w:val="15"/>
          <w:lang w:val="mi-NZ"/>
        </w:rPr>
      </w:pPr>
      <w:r w:rsidRPr="0049634E">
        <w:rPr>
          <w:rStyle w:val="FootnoteReference"/>
          <w:sz w:val="15"/>
          <w:szCs w:val="15"/>
        </w:rPr>
        <w:footnoteRef/>
      </w:r>
      <w:r w:rsidRPr="0049634E">
        <w:rPr>
          <w:sz w:val="15"/>
          <w:szCs w:val="15"/>
        </w:rPr>
        <w:t xml:space="preserve"> </w:t>
      </w:r>
      <w:r w:rsidR="00061B70">
        <w:rPr>
          <w:sz w:val="15"/>
          <w:szCs w:val="15"/>
        </w:rPr>
        <w:tab/>
      </w:r>
      <w:r w:rsidRPr="0049634E">
        <w:rPr>
          <w:sz w:val="15"/>
          <w:szCs w:val="15"/>
          <w:lang w:val="mi-NZ"/>
        </w:rPr>
        <w:t xml:space="preserve">CUAP is </w:t>
      </w:r>
      <w:r>
        <w:rPr>
          <w:sz w:val="15"/>
          <w:szCs w:val="15"/>
          <w:lang w:val="mi-NZ"/>
        </w:rPr>
        <w:t>planned to be</w:t>
      </w:r>
      <w:r w:rsidRPr="0049634E">
        <w:rPr>
          <w:sz w:val="15"/>
          <w:szCs w:val="15"/>
          <w:lang w:val="mi-NZ"/>
        </w:rPr>
        <w:t xml:space="preserve"> disestablished by the end of 2027 as </w:t>
      </w:r>
      <w:r>
        <w:rPr>
          <w:sz w:val="15"/>
          <w:szCs w:val="15"/>
          <w:lang w:val="mi-NZ"/>
        </w:rPr>
        <w:t>the university sector transitions to a new model</w:t>
      </w:r>
      <w:r w:rsidRPr="0049634E">
        <w:rPr>
          <w:sz w:val="15"/>
          <w:szCs w:val="15"/>
          <w:lang w:val="mi-N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8DAF" w14:textId="22EC8F88" w:rsidR="00AE7A90" w:rsidRDefault="00AE7A90">
    <w:pPr>
      <w:pStyle w:val="Header"/>
    </w:pPr>
    <w:r>
      <w:rPr>
        <w:noProof/>
      </w:rPr>
      <mc:AlternateContent>
        <mc:Choice Requires="wps">
          <w:drawing>
            <wp:anchor distT="0" distB="0" distL="0" distR="0" simplePos="0" relativeHeight="251659780" behindDoc="0" locked="0" layoutInCell="1" allowOverlap="1" wp14:anchorId="684B2A59" wp14:editId="01DC1903">
              <wp:simplePos x="635" y="635"/>
              <wp:positionH relativeFrom="page">
                <wp:align>center</wp:align>
              </wp:positionH>
              <wp:positionV relativeFrom="page">
                <wp:align>top</wp:align>
              </wp:positionV>
              <wp:extent cx="2214245" cy="368300"/>
              <wp:effectExtent l="0" t="0" r="14605" b="12700"/>
              <wp:wrapNone/>
              <wp:docPr id="357745695" name="Text Box 5"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0233104A" w14:textId="7C04A9F1"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4B2A59" id="_x0000_t202" coordsize="21600,21600" o:spt="202" path="m,l,21600r21600,l21600,xe">
              <v:stroke joinstyle="miter"/>
              <v:path gradientshapeok="t" o:connecttype="rect"/>
            </v:shapetype>
            <v:shape id="Text Box 5" o:spid="_x0000_s1029" type="#_x0000_t202" alt="[IN-CONFIDENCE - RELEASE EXTERNAL]" style="position:absolute;left:0;text-align:left;margin-left:0;margin-top:0;width:174.35pt;height:29pt;z-index:2516597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" filled="f" stroked="f">
              <v:textbox style="mso-fit-shape-to-text:t" inset="0,15pt,0,0">
                <w:txbxContent>
                  <w:p w14:paraId="0233104A" w14:textId="7C04A9F1"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90"/>
      <w:gridCol w:w="3590"/>
      <w:gridCol w:w="3590"/>
    </w:tblGrid>
    <w:tr w:rsidR="3A9F1962" w14:paraId="2BD2B7ED" w14:textId="77777777" w:rsidTr="3A9F1962">
      <w:trPr>
        <w:trHeight w:val="300"/>
      </w:trPr>
      <w:tc>
        <w:tcPr>
          <w:tcW w:w="3590" w:type="dxa"/>
        </w:tcPr>
        <w:p w14:paraId="705D5372" w14:textId="545A6416" w:rsidR="3A9F1962" w:rsidRDefault="3A9F1962" w:rsidP="3A9F1962">
          <w:pPr>
            <w:pStyle w:val="Header"/>
            <w:ind w:left="-115"/>
            <w:jc w:val="left"/>
          </w:pPr>
        </w:p>
      </w:tc>
      <w:tc>
        <w:tcPr>
          <w:tcW w:w="3590" w:type="dxa"/>
        </w:tcPr>
        <w:p w14:paraId="7D8DFC17" w14:textId="55AD0B5E" w:rsidR="3A9F1962" w:rsidRDefault="3A9F1962" w:rsidP="3A9F1962">
          <w:pPr>
            <w:pStyle w:val="Header"/>
            <w:jc w:val="center"/>
          </w:pPr>
        </w:p>
      </w:tc>
      <w:tc>
        <w:tcPr>
          <w:tcW w:w="3590" w:type="dxa"/>
        </w:tcPr>
        <w:p w14:paraId="66DC973E" w14:textId="50124913" w:rsidR="3A9F1962" w:rsidRDefault="3A9F1962" w:rsidP="3A9F1962">
          <w:pPr>
            <w:pStyle w:val="Header"/>
            <w:ind w:right="-115"/>
          </w:pPr>
        </w:p>
      </w:tc>
    </w:tr>
  </w:tbl>
  <w:p w14:paraId="537CCBD5" w14:textId="27C2ED50" w:rsidR="00E2514A" w:rsidRDefault="00E251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CF8A" w14:textId="7057C3C7" w:rsidR="00AE7A90" w:rsidRDefault="00AE7A90">
    <w:pPr>
      <w:pStyle w:val="Header"/>
    </w:pPr>
    <w:r>
      <w:rPr>
        <w:noProof/>
      </w:rPr>
      <mc:AlternateContent>
        <mc:Choice Requires="wps">
          <w:drawing>
            <wp:anchor distT="0" distB="0" distL="0" distR="0" simplePos="0" relativeHeight="251659779" behindDoc="0" locked="0" layoutInCell="1" allowOverlap="1" wp14:anchorId="71FE9C28" wp14:editId="3FEA0BFA">
              <wp:simplePos x="635" y="635"/>
              <wp:positionH relativeFrom="page">
                <wp:align>center</wp:align>
              </wp:positionH>
              <wp:positionV relativeFrom="page">
                <wp:align>top</wp:align>
              </wp:positionV>
              <wp:extent cx="2214245" cy="368300"/>
              <wp:effectExtent l="0" t="0" r="14605" b="12700"/>
              <wp:wrapNone/>
              <wp:docPr id="299721835" name="Text Box 4"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4F7848C0" w14:textId="548BC2CB"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FE9C28" id="_x0000_t202" coordsize="21600,21600" o:spt="202" path="m,l,21600r21600,l21600,xe">
              <v:stroke joinstyle="miter"/>
              <v:path gradientshapeok="t" o:connecttype="rect"/>
            </v:shapetype>
            <v:shape id="Text Box 4" o:spid="_x0000_s1031" type="#_x0000_t202" alt="[IN-CONFIDENCE - RELEASE EXTERNAL]" style="position:absolute;left:0;text-align:left;margin-left:0;margin-top:0;width:174.35pt;height:29pt;z-index:25165977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" filled="f" stroked="f">
              <v:textbox style="mso-fit-shape-to-text:t" inset="0,15pt,0,0">
                <w:txbxContent>
                  <w:p w14:paraId="4F7848C0" w14:textId="548BC2CB"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36D77" w14:textId="4676CC41" w:rsidR="003F7B89" w:rsidRDefault="00AE7A90">
    <w:pPr>
      <w:pStyle w:val="Header"/>
    </w:pPr>
    <w:r>
      <w:rPr>
        <w:noProof/>
      </w:rPr>
      <mc:AlternateContent>
        <mc:Choice Requires="wps">
          <w:drawing>
            <wp:anchor distT="0" distB="0" distL="0" distR="0" simplePos="0" relativeHeight="251659783" behindDoc="0" locked="0" layoutInCell="1" allowOverlap="1" wp14:anchorId="5686AD75" wp14:editId="7C4FDFA8">
              <wp:simplePos x="635" y="635"/>
              <wp:positionH relativeFrom="page">
                <wp:align>center</wp:align>
              </wp:positionH>
              <wp:positionV relativeFrom="page">
                <wp:align>top</wp:align>
              </wp:positionV>
              <wp:extent cx="2214245" cy="368300"/>
              <wp:effectExtent l="0" t="0" r="14605" b="12700"/>
              <wp:wrapNone/>
              <wp:docPr id="1765991030" name="Text Box 8"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13C44CA6" w14:textId="6CBD2EE1"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86AD75" id="_x0000_t202" coordsize="21600,21600" o:spt="202" path="m,l,21600r21600,l21600,xe">
              <v:stroke joinstyle="miter"/>
              <v:path gradientshapeok="t" o:connecttype="rect"/>
            </v:shapetype>
            <v:shape id="Text Box 8" o:spid="_x0000_s1033" type="#_x0000_t202" alt="[IN-CONFIDENCE - RELEASE EXTERNAL]" style="position:absolute;left:0;text-align:left;margin-left:0;margin-top:0;width:174.35pt;height:29pt;z-index:25165978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" filled="f" stroked="f">
              <v:textbox style="mso-fit-shape-to-text:t" inset="0,15pt,0,0">
                <w:txbxContent>
                  <w:p w14:paraId="13C44CA6" w14:textId="6CBD2EE1"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r w:rsidR="00990680">
      <w:rPr>
        <w:noProof/>
      </w:rPr>
      <w:pict w14:anchorId="44483A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584" type="#_x0000_t136" alt="" style="position:absolute;left:0;text-align:left;margin-left:0;margin-top:0;width:474.6pt;height:284.75pt;rotation:315;z-index:-2516567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A23A744">
        <v:shape id="_x0000_s3583" type="#_x0000_t136" alt="" style="position:absolute;left:0;text-align:left;margin-left:0;margin-top:0;width:474.6pt;height:284.75pt;rotation:315;z-index:-2516567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508692A">
        <v:shape id="_x0000_s3582" type="#_x0000_t136" alt="" style="position:absolute;left:0;text-align:left;margin-left:0;margin-top:0;width:474.6pt;height:284.75pt;rotation:315;z-index:-2516567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7CECBF0">
        <v:shape id="_x0000_s3581" type="#_x0000_t136" alt="" style="position:absolute;left:0;text-align:left;margin-left:0;margin-top:0;width:474.6pt;height:284.75pt;rotation:315;z-index:-2516567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9883E50">
        <v:shape id="_x0000_s3580" type="#_x0000_t136" alt="" style="position:absolute;left:0;text-align:left;margin-left:0;margin-top:0;width:474.6pt;height:284.75pt;rotation:315;z-index:-2516567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1F01750">
        <v:shape id="_x0000_s3579" type="#_x0000_t136" alt="" style="position:absolute;left:0;text-align:left;margin-left:0;margin-top:0;width:474.6pt;height:284.75pt;rotation:315;z-index:-2516567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925519D">
        <v:shape id="_x0000_s3578" type="#_x0000_t136" alt="" style="position:absolute;left:0;text-align:left;margin-left:0;margin-top:0;width:474.6pt;height:284.75pt;rotation:315;z-index:-2516567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AB54B38">
        <v:shape id="_x0000_s3577" type="#_x0000_t136" alt="" style="position:absolute;left:0;text-align:left;margin-left:0;margin-top:0;width:474.6pt;height:284.75pt;rotation:315;z-index:-2516567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A7C2493">
        <v:shape id="_x0000_s3576" type="#_x0000_t136" alt="" style="position:absolute;left:0;text-align:left;margin-left:0;margin-top:0;width:474.6pt;height:284.75pt;rotation:315;z-index:-2516567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84B7B5E">
        <v:shape id="_x0000_s3575" type="#_x0000_t136" alt="" style="position:absolute;left:0;text-align:left;margin-left:0;margin-top:0;width:474.6pt;height:284.75pt;rotation:315;z-index:-2516567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F047C6">
        <v:shape id="_x0000_s3574" type="#_x0000_t136" alt="" style="position:absolute;left:0;text-align:left;margin-left:0;margin-top:0;width:474.6pt;height:284.75pt;rotation:315;z-index:-2516567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078BE16">
        <v:shape id="_x0000_s3573" type="#_x0000_t136" alt="" style="position:absolute;left:0;text-align:left;margin-left:0;margin-top:0;width:474.6pt;height:284.75pt;rotation:315;z-index:-2516567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9143B5">
        <v:shape id="_x0000_s3572" type="#_x0000_t136" alt="" style="position:absolute;left:0;text-align:left;margin-left:0;margin-top:0;width:474.6pt;height:284.75pt;rotation:315;z-index:-2516567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AA1EFF3">
        <v:shape id="_x0000_s3571" type="#_x0000_t136" alt="" style="position:absolute;left:0;text-align:left;margin-left:0;margin-top:0;width:474.6pt;height:284.75pt;rotation:315;z-index:-251656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AA391F2">
        <v:shape id="_x0000_s3570" type="#_x0000_t136" alt="" style="position:absolute;left:0;text-align:left;margin-left:0;margin-top:0;width:474.6pt;height:284.75pt;rotation:315;z-index:-2516567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9E082E7">
        <v:shape id="_x0000_s3569" type="#_x0000_t136" alt="" style="position:absolute;left:0;text-align:left;margin-left:0;margin-top:0;width:474.6pt;height:284.75pt;rotation:315;z-index:-2516567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42328BD">
        <v:shape id="_x0000_s3568" type="#_x0000_t136" alt="" style="position:absolute;left:0;text-align:left;margin-left:0;margin-top:0;width:474.6pt;height:284.75pt;rotation:315;z-index:-2516567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1C69A4">
        <v:shape id="_x0000_s3567" type="#_x0000_t136" alt="" style="position:absolute;left:0;text-align:left;margin-left:0;margin-top:0;width:474.6pt;height:284.75pt;rotation:315;z-index:-2516567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4EC41E">
        <v:shape id="_x0000_s3566" type="#_x0000_t136" alt="" style="position:absolute;left:0;text-align:left;margin-left:0;margin-top:0;width:474.6pt;height:284.75pt;rotation:315;z-index:-2516567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6109FC6">
        <v:shape id="_x0000_s3565" type="#_x0000_t136" alt="" style="position:absolute;left:0;text-align:left;margin-left:0;margin-top:0;width:474.6pt;height:284.75pt;rotation:315;z-index:-2516567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9B9D46">
        <v:shape id="_x0000_s3564" type="#_x0000_t136" alt="" style="position:absolute;left:0;text-align:left;margin-left:0;margin-top:0;width:474.6pt;height:284.75pt;rotation:315;z-index:-2516567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94F11E">
        <v:shape id="_x0000_s3563" type="#_x0000_t136" alt="" style="position:absolute;left:0;text-align:left;margin-left:0;margin-top:0;width:474.6pt;height:284.75pt;rotation:315;z-index:-2516567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A1FB471">
        <v:shape id="_x0000_s3562" type="#_x0000_t136" alt="" style="position:absolute;left:0;text-align:left;margin-left:0;margin-top:0;width:474.6pt;height:284.75pt;rotation:315;z-index:-2516567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FE748C">
        <v:shape id="_x0000_s3561" type="#_x0000_t136" alt="" style="position:absolute;left:0;text-align:left;margin-left:0;margin-top:0;width:474.6pt;height:284.75pt;rotation:315;z-index:-2516567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05568E2">
        <v:shape id="_x0000_s3560" type="#_x0000_t136" alt="" style="position:absolute;left:0;text-align:left;margin-left:0;margin-top:0;width:474.6pt;height:284.75pt;rotation:315;z-index:-2516567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9478381">
        <v:shape id="_x0000_s3559" type="#_x0000_t136" alt="" style="position:absolute;left:0;text-align:left;margin-left:0;margin-top:0;width:474.6pt;height:284.75pt;rotation:315;z-index:-251656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69DFA3">
        <v:shape id="_x0000_s3558" type="#_x0000_t136" alt="" style="position:absolute;left:0;text-align:left;margin-left:0;margin-top:0;width:474.6pt;height:284.75pt;rotation:315;z-index:-2516567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59B0B69">
        <v:shape id="_x0000_s3557" type="#_x0000_t136" alt="" style="position:absolute;left:0;text-align:left;margin-left:0;margin-top:0;width:474.6pt;height:284.75pt;rotation:315;z-index:-2516567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C59BC02">
        <v:shape id="_x0000_s3556" type="#_x0000_t136" alt="" style="position:absolute;left:0;text-align:left;margin-left:0;margin-top:0;width:474.6pt;height:284.75pt;rotation:315;z-index:-2516567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7D12A4">
        <v:shape id="_x0000_s3555" type="#_x0000_t136" alt="" style="position:absolute;left:0;text-align:left;margin-left:0;margin-top:0;width:474.6pt;height:284.75pt;rotation:315;z-index:-2516567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96BC61D">
        <v:shape id="_x0000_s3554" type="#_x0000_t136" alt="" style="position:absolute;left:0;text-align:left;margin-left:0;margin-top:0;width:474.6pt;height:284.75pt;rotation:315;z-index:-2516567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9F31B0C">
        <v:shape id="_x0000_s3553" type="#_x0000_t136" alt="" style="position:absolute;left:0;text-align:left;margin-left:0;margin-top:0;width:474.6pt;height:284.75pt;rotation:315;z-index:-2516567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B874536">
        <v:shape id="_x0000_s3552" type="#_x0000_t136" alt="" style="position:absolute;left:0;text-align:left;margin-left:0;margin-top:0;width:474.6pt;height:284.75pt;rotation:315;z-index:-2516567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A995771">
        <v:shape id="_x0000_s3551" type="#_x0000_t136" alt="" style="position:absolute;left:0;text-align:left;margin-left:0;margin-top:0;width:474.6pt;height:284.75pt;rotation:315;z-index:-2516567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71160F">
        <v:shape id="_x0000_s3550" type="#_x0000_t136" alt="" style="position:absolute;left:0;text-align:left;margin-left:0;margin-top:0;width:474.6pt;height:284.75pt;rotation:315;z-index:-2516567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95AF8C4">
        <v:shape id="_x0000_s3549" type="#_x0000_t136" alt="" style="position:absolute;left:0;text-align:left;margin-left:0;margin-top:0;width:474.6pt;height:284.75pt;rotation:315;z-index:-2516567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16585A">
        <v:shape id="_x0000_s3548" type="#_x0000_t136" alt="" style="position:absolute;left:0;text-align:left;margin-left:0;margin-top:0;width:474.6pt;height:284.75pt;rotation:315;z-index:-2516567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B83C3E2">
        <v:shape id="_x0000_s3547" type="#_x0000_t136" alt="" style="position:absolute;left:0;text-align:left;margin-left:0;margin-top:0;width:474.6pt;height:284.75pt;rotation:315;z-index:-2516567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882F298">
        <v:shape id="_x0000_s3546" type="#_x0000_t136" alt="" style="position:absolute;left:0;text-align:left;margin-left:0;margin-top:0;width:474.6pt;height:284.75pt;rotation:315;z-index:-2516567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9B017C7">
        <v:shape id="_x0000_s3545" type="#_x0000_t136" alt="" style="position:absolute;left:0;text-align:left;margin-left:0;margin-top:0;width:474.6pt;height:284.75pt;rotation:315;z-index:-2516567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FCDA3F5">
        <v:shape id="_x0000_s3544" type="#_x0000_t136" alt="" style="position:absolute;left:0;text-align:left;margin-left:0;margin-top:0;width:474.6pt;height:284.75pt;rotation:315;z-index:-2516567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5F9C0A">
        <v:shape id="_x0000_s3543" type="#_x0000_t136" alt="" style="position:absolute;left:0;text-align:left;margin-left:0;margin-top:0;width:474.6pt;height:284.75pt;rotation:315;z-index:-2516567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B3BF550">
        <v:shape id="_x0000_s3542" type="#_x0000_t136" alt="" style="position:absolute;left:0;text-align:left;margin-left:0;margin-top:0;width:474.6pt;height:284.75pt;rotation:315;z-index:-2516567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97A95A0">
        <v:shape id="_x0000_s3541" type="#_x0000_t136" alt="" style="position:absolute;left:0;text-align:left;margin-left:0;margin-top:0;width:474.6pt;height:284.75pt;rotation:315;z-index:-2516567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5E52F9C">
        <v:shape id="_x0000_s3540" type="#_x0000_t136" alt="" style="position:absolute;left:0;text-align:left;margin-left:0;margin-top:0;width:474.6pt;height:284.75pt;rotation:315;z-index:-2516567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61788C4">
        <v:shape id="_x0000_s3539" type="#_x0000_t136" alt="" style="position:absolute;left:0;text-align:left;margin-left:0;margin-top:0;width:474.6pt;height:284.75pt;rotation:315;z-index:-2516567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6BDF44">
        <v:shape id="_x0000_s3538" type="#_x0000_t136" alt="" style="position:absolute;left:0;text-align:left;margin-left:0;margin-top:0;width:474.6pt;height:284.75pt;rotation:315;z-index:-2516567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954C33">
        <v:shape id="_x0000_s3537" type="#_x0000_t136" alt="" style="position:absolute;left:0;text-align:left;margin-left:0;margin-top:0;width:474.6pt;height:284.75pt;rotation:315;z-index:-2516567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E262F56">
        <v:shape id="_x0000_s3536" type="#_x0000_t136" alt="" style="position:absolute;left:0;text-align:left;margin-left:0;margin-top:0;width:474.6pt;height:284.75pt;rotation:315;z-index:-2516568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C001C6D">
        <v:shape id="_x0000_s3535" type="#_x0000_t136" alt="" style="position:absolute;left:0;text-align:left;margin-left:0;margin-top:0;width:474.6pt;height:284.75pt;rotation:315;z-index:-2516568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AB59FB1">
        <v:shape id="_x0000_s3534" type="#_x0000_t136" alt="" style="position:absolute;left:0;text-align:left;margin-left:0;margin-top:0;width:474.6pt;height:284.75pt;rotation:315;z-index:-2516568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4FC1BC0">
        <v:shape id="_x0000_s3533" type="#_x0000_t136" alt="" style="position:absolute;left:0;text-align:left;margin-left:0;margin-top:0;width:474.6pt;height:284.75pt;rotation:315;z-index:-2516568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5F4C6F7">
        <v:shape id="_x0000_s3532" type="#_x0000_t136" alt="" style="position:absolute;left:0;text-align:left;margin-left:0;margin-top:0;width:474.6pt;height:284.75pt;rotation:315;z-index:-2516568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396666D">
        <v:shape id="_x0000_s3531" type="#_x0000_t136" alt="" style="position:absolute;left:0;text-align:left;margin-left:0;margin-top:0;width:474.6pt;height:284.75pt;rotation:315;z-index:-2516568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831E12B">
        <v:shape id="_x0000_s3530" type="#_x0000_t136" alt="" style="position:absolute;left:0;text-align:left;margin-left:0;margin-top:0;width:474.6pt;height:284.75pt;rotation:315;z-index:-2516568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64C8CE4">
        <v:shape id="_x0000_s3529" type="#_x0000_t136" alt="" style="position:absolute;left:0;text-align:left;margin-left:0;margin-top:0;width:474.6pt;height:284.75pt;rotation:315;z-index:-2516568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5BEAA92">
        <v:shape id="_x0000_s3528" type="#_x0000_t136" alt="" style="position:absolute;left:0;text-align:left;margin-left:0;margin-top:0;width:474.6pt;height:284.75pt;rotation:315;z-index:-2516568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1B7D93E">
        <v:shape id="_x0000_s3527" type="#_x0000_t136" alt="" style="position:absolute;left:0;text-align:left;margin-left:0;margin-top:0;width:474.6pt;height:284.75pt;rotation:315;z-index:-2516568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D94FF57">
        <v:shape id="_x0000_s3526" type="#_x0000_t136" alt="" style="position:absolute;left:0;text-align:left;margin-left:0;margin-top:0;width:474.6pt;height:284.75pt;rotation:315;z-index:-2516568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113BAFE">
        <v:shape id="_x0000_s3525" type="#_x0000_t136" alt="" style="position:absolute;left:0;text-align:left;margin-left:0;margin-top:0;width:474.6pt;height:284.75pt;rotation:315;z-index:-2516568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2173C17">
        <v:shape id="_x0000_s3524" type="#_x0000_t136" alt="" style="position:absolute;left:0;text-align:left;margin-left:0;margin-top:0;width:474.6pt;height:284.75pt;rotation:315;z-index:-2516568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69D4EBF">
        <v:shape id="_x0000_s3523" type="#_x0000_t136" alt="" style="position:absolute;left:0;text-align:left;margin-left:0;margin-top:0;width:474.6pt;height:284.75pt;rotation:315;z-index:-2516568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AFC257E">
        <v:shape id="_x0000_s3522" type="#_x0000_t136" alt="" style="position:absolute;left:0;text-align:left;margin-left:0;margin-top:0;width:474.6pt;height:284.75pt;rotation:315;z-index:-2516568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793D883">
        <v:shape id="_x0000_s3521" type="#_x0000_t136" alt="" style="position:absolute;left:0;text-align:left;margin-left:0;margin-top:0;width:474.6pt;height:284.75pt;rotation:315;z-index:-2516568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D0A64A">
        <v:shape id="_x0000_s3520" type="#_x0000_t136" alt="" style="position:absolute;left:0;text-align:left;margin-left:0;margin-top:0;width:474.6pt;height:284.75pt;rotation:315;z-index:-2516568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02D8B9A">
        <v:shape id="_x0000_s3519" type="#_x0000_t136" alt="" style="position:absolute;left:0;text-align:left;margin-left:0;margin-top:0;width:474.6pt;height:284.75pt;rotation:315;z-index:-2516568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21C3D6">
        <v:shape id="_x0000_s3518" type="#_x0000_t136" alt="" style="position:absolute;left:0;text-align:left;margin-left:0;margin-top:0;width:474.6pt;height:284.75pt;rotation:315;z-index:-2516568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7EDCC7">
        <v:shape id="_x0000_s3517" type="#_x0000_t136" alt="" style="position:absolute;left:0;text-align:left;margin-left:0;margin-top:0;width:474.6pt;height:284.75pt;rotation:315;z-index:-2516568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0929017">
        <v:shape id="_x0000_s3516" type="#_x0000_t136" alt="" style="position:absolute;left:0;text-align:left;margin-left:0;margin-top:0;width:474.6pt;height:284.75pt;rotation:315;z-index:-2516568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28A73CE">
        <v:shape id="_x0000_s3515" type="#_x0000_t136" alt="" style="position:absolute;left:0;text-align:left;margin-left:0;margin-top:0;width:474.6pt;height:284.75pt;rotation:315;z-index:-2516568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9F9DD32">
        <v:shape id="_x0000_s3514" type="#_x0000_t136" alt="" style="position:absolute;left:0;text-align:left;margin-left:0;margin-top:0;width:474.6pt;height:284.75pt;rotation:315;z-index:-2516568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6609C02">
        <v:shape id="_x0000_s3513" type="#_x0000_t136" alt="" style="position:absolute;left:0;text-align:left;margin-left:0;margin-top:0;width:474.6pt;height:284.75pt;rotation:315;z-index:-2516568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5249693">
        <v:shape id="_x0000_s3512" type="#_x0000_t136" alt="" style="position:absolute;left:0;text-align:left;margin-left:0;margin-top:0;width:474.6pt;height:284.75pt;rotation:315;z-index:-2516568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19D7106">
        <v:shape id="_x0000_s3511" type="#_x0000_t136" alt="" style="position:absolute;left:0;text-align:left;margin-left:0;margin-top:0;width:474.6pt;height:284.75pt;rotation:315;z-index:-2516568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2BDE171">
        <v:shape id="_x0000_s3510" type="#_x0000_t136" alt="" style="position:absolute;left:0;text-align:left;margin-left:0;margin-top:0;width:474.6pt;height:284.75pt;rotation:315;z-index:-2516568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7F6FFD">
        <v:shape id="_x0000_s3509" type="#_x0000_t136" alt="" style="position:absolute;left:0;text-align:left;margin-left:0;margin-top:0;width:474.6pt;height:284.75pt;rotation:315;z-index:-2516568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FC23257">
        <v:shape id="_x0000_s3508" type="#_x0000_t136" alt="" style="position:absolute;left:0;text-align:left;margin-left:0;margin-top:0;width:474.6pt;height:284.75pt;rotation:315;z-index:-2516568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81ED09E">
        <v:shape id="_x0000_s3507" type="#_x0000_t136" alt="" style="position:absolute;left:0;text-align:left;margin-left:0;margin-top:0;width:474.6pt;height:284.75pt;rotation:315;z-index:-2516568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6C355E7">
        <v:shape id="_x0000_s3506" type="#_x0000_t136" alt="" style="position:absolute;left:0;text-align:left;margin-left:0;margin-top:0;width:474.6pt;height:284.75pt;rotation:315;z-index:-2516568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9B852D">
        <v:shape id="_x0000_s3505" type="#_x0000_t136" alt="" style="position:absolute;left:0;text-align:left;margin-left:0;margin-top:0;width:474.6pt;height:284.75pt;rotation:315;z-index:-2516568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9968278">
        <v:shape id="_x0000_s3504" type="#_x0000_t136" alt="" style="position:absolute;left:0;text-align:left;margin-left:0;margin-top:0;width:474.6pt;height:284.75pt;rotation:315;z-index:-2516568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8353DBE">
        <v:shape id="_x0000_s3503" type="#_x0000_t136" alt="" style="position:absolute;left:0;text-align:left;margin-left:0;margin-top:0;width:474.6pt;height:284.75pt;rotation:315;z-index:-2516568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BF3A75">
        <v:shape id="_x0000_s3502" type="#_x0000_t136" alt="" style="position:absolute;left:0;text-align:left;margin-left:0;margin-top:0;width:474.6pt;height:284.75pt;rotation:315;z-index:-2516568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253AB31">
        <v:shape id="_x0000_s3501" type="#_x0000_t136" alt="" style="position:absolute;left:0;text-align:left;margin-left:0;margin-top:0;width:474.6pt;height:284.75pt;rotation:315;z-index:-2516568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23F8564">
        <v:shape id="_x0000_s3500" type="#_x0000_t136" alt="" style="position:absolute;left:0;text-align:left;margin-left:0;margin-top:0;width:474.6pt;height:284.75pt;rotation:315;z-index:-2516568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DEBFB77">
        <v:shape id="_x0000_s3499" type="#_x0000_t136" alt="" style="position:absolute;left:0;text-align:left;margin-left:0;margin-top:0;width:474.6pt;height:284.75pt;rotation:315;z-index:-2516568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E63238E">
        <v:shape id="_x0000_s3498" type="#_x0000_t136" alt="" style="position:absolute;left:0;text-align:left;margin-left:0;margin-top:0;width:474.6pt;height:284.75pt;rotation:315;z-index:-2516568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DC56BB6">
        <v:shape id="_x0000_s3497" type="#_x0000_t136" alt="" style="position:absolute;left:0;text-align:left;margin-left:0;margin-top:0;width:474.6pt;height:284.75pt;rotation:315;z-index:-2516568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875499D">
        <v:shape id="_x0000_s3496" type="#_x0000_t136" alt="" style="position:absolute;left:0;text-align:left;margin-left:0;margin-top:0;width:474.6pt;height:284.75pt;rotation:315;z-index:-2516568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BBCA665">
        <v:shape id="_x0000_s3495" type="#_x0000_t136" alt="" style="position:absolute;left:0;text-align:left;margin-left:0;margin-top:0;width:474.6pt;height:284.75pt;rotation:315;z-index:-2516568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423198E">
        <v:shape id="_x0000_s3494" type="#_x0000_t136" alt="" style="position:absolute;left:0;text-align:left;margin-left:0;margin-top:0;width:474.6pt;height:284.75pt;rotation:315;z-index:-2516568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B58DF2">
        <v:shape id="_x0000_s3493" type="#_x0000_t136" alt="" style="position:absolute;left:0;text-align:left;margin-left:0;margin-top:0;width:474.6pt;height:284.75pt;rotation:315;z-index:-2516568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37EE48">
        <v:shape id="_x0000_s3492" type="#_x0000_t136" alt="" style="position:absolute;left:0;text-align:left;margin-left:0;margin-top:0;width:474.6pt;height:284.75pt;rotation:315;z-index:-2516568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F6E41E">
        <v:shape id="_x0000_s3491" type="#_x0000_t136" alt="" style="position:absolute;left:0;text-align:left;margin-left:0;margin-top:0;width:474.6pt;height:284.75pt;rotation:315;z-index:-2516568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754AB6">
        <v:shape id="_x0000_s3490" type="#_x0000_t136" alt="" style="position:absolute;left:0;text-align:left;margin-left:0;margin-top:0;width:474.6pt;height:284.75pt;rotation:315;z-index:-2516568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6ACC4C7">
        <v:shape id="_x0000_s3489" type="#_x0000_t136" alt="" style="position:absolute;left:0;text-align:left;margin-left:0;margin-top:0;width:474.6pt;height:284.75pt;rotation:315;z-index:-2516568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624D6A">
        <v:shape id="_x0000_s3488" type="#_x0000_t136" alt="" style="position:absolute;left:0;text-align:left;margin-left:0;margin-top:0;width:474.6pt;height:284.75pt;rotation:315;z-index:-2516569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1A7D1F">
        <v:shape id="_x0000_s3487" type="#_x0000_t136" alt="" style="position:absolute;left:0;text-align:left;margin-left:0;margin-top:0;width:474.6pt;height:284.75pt;rotation:315;z-index:-2516569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919D680">
        <v:shape id="_x0000_s3486" type="#_x0000_t136" alt="" style="position:absolute;left:0;text-align:left;margin-left:0;margin-top:0;width:474.6pt;height:284.75pt;rotation:315;z-index:-2516569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B3FC32">
        <v:shape id="_x0000_s3485" type="#_x0000_t136" alt="" style="position:absolute;left:0;text-align:left;margin-left:0;margin-top:0;width:474.6pt;height:284.75pt;rotation:315;z-index:-2516569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8BB4054">
        <v:shape id="_x0000_s3484" type="#_x0000_t136" alt="" style="position:absolute;left:0;text-align:left;margin-left:0;margin-top:0;width:474.6pt;height:284.75pt;rotation:315;z-index:-2516569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F6C0FBD">
        <v:shape id="_x0000_s3483" type="#_x0000_t136" alt="" style="position:absolute;left:0;text-align:left;margin-left:0;margin-top:0;width:474.6pt;height:284.75pt;rotation:315;z-index:-2516569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AEF113B">
        <v:shape id="_x0000_s3482" type="#_x0000_t136" alt="" style="position:absolute;left:0;text-align:left;margin-left:0;margin-top:0;width:474.6pt;height:284.75pt;rotation:315;z-index:-2516569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7B9BCE7">
        <v:shape id="_x0000_s3481" type="#_x0000_t136" alt="" style="position:absolute;left:0;text-align:left;margin-left:0;margin-top:0;width:474.6pt;height:284.75pt;rotation:315;z-index:-2516569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CBBF80E">
        <v:shape id="_x0000_s3480" type="#_x0000_t136" alt="" style="position:absolute;left:0;text-align:left;margin-left:0;margin-top:0;width:474.6pt;height:284.75pt;rotation:315;z-index:-2516569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3478A91">
        <v:shape id="_x0000_s3479" type="#_x0000_t136" alt="" style="position:absolute;left:0;text-align:left;margin-left:0;margin-top:0;width:474.6pt;height:284.75pt;rotation:315;z-index:-2516569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397C211">
        <v:shape id="_x0000_s3478" type="#_x0000_t136" alt="" style="position:absolute;left:0;text-align:left;margin-left:0;margin-top:0;width:474.6pt;height:284.75pt;rotation:315;z-index:-2516569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4C7B783">
        <v:shape id="_x0000_s3477" type="#_x0000_t136" alt="" style="position:absolute;left:0;text-align:left;margin-left:0;margin-top:0;width:474.6pt;height:284.75pt;rotation:315;z-index:-2516569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6CE66A">
        <v:shape id="_x0000_s3476" type="#_x0000_t136" alt="" style="position:absolute;left:0;text-align:left;margin-left:0;margin-top:0;width:474.6pt;height:284.75pt;rotation:315;z-index:-2516569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378C443">
        <v:shape id="_x0000_s3475" type="#_x0000_t136" alt="" style="position:absolute;left:0;text-align:left;margin-left:0;margin-top:0;width:474.6pt;height:284.75pt;rotation:315;z-index:-2516569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639780F">
        <v:shape id="_x0000_s3474" type="#_x0000_t136" alt="" style="position:absolute;left:0;text-align:left;margin-left:0;margin-top:0;width:474.6pt;height:284.75pt;rotation:315;z-index:-2516569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E026963">
        <v:shape id="_x0000_s3473" type="#_x0000_t136" alt="" style="position:absolute;left:0;text-align:left;margin-left:0;margin-top:0;width:474.6pt;height:284.75pt;rotation:315;z-index:-2516569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C796E21">
        <v:shape id="_x0000_s3472" type="#_x0000_t136" alt="" style="position:absolute;left:0;text-align:left;margin-left:0;margin-top:0;width:474.6pt;height:284.75pt;rotation:315;z-index:-2516569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07BCC1">
        <v:shape id="_x0000_s3471" type="#_x0000_t136" alt="" style="position:absolute;left:0;text-align:left;margin-left:0;margin-top:0;width:474.6pt;height:284.75pt;rotation:315;z-index:-2516569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AD90963">
        <v:shape id="_x0000_s3470" type="#_x0000_t136" alt="" style="position:absolute;left:0;text-align:left;margin-left:0;margin-top:0;width:474.6pt;height:284.75pt;rotation:315;z-index:-2516569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7290B2C">
        <v:shape id="_x0000_s3469" type="#_x0000_t136" alt="" style="position:absolute;left:0;text-align:left;margin-left:0;margin-top:0;width:474.6pt;height:284.75pt;rotation:315;z-index:-2516569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6EC1014">
        <v:shape id="_x0000_s3468" type="#_x0000_t136" alt="" style="position:absolute;left:0;text-align:left;margin-left:0;margin-top:0;width:474.6pt;height:284.75pt;rotation:315;z-index:-2516569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444AC52">
        <v:shape id="_x0000_s3467" type="#_x0000_t136" alt="" style="position:absolute;left:0;text-align:left;margin-left:0;margin-top:0;width:474.6pt;height:284.75pt;rotation:315;z-index:-2516569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E178144">
        <v:shape id="_x0000_s3466" type="#_x0000_t136" alt="" style="position:absolute;left:0;text-align:left;margin-left:0;margin-top:0;width:474.6pt;height:284.75pt;rotation:315;z-index:-2516569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74A75D9">
        <v:shape id="_x0000_s3465" type="#_x0000_t136" alt="" style="position:absolute;left:0;text-align:left;margin-left:0;margin-top:0;width:474.6pt;height:284.75pt;rotation:315;z-index:-2516569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5F758D1">
        <v:shape id="_x0000_s3464" type="#_x0000_t136" alt="" style="position:absolute;left:0;text-align:left;margin-left:0;margin-top:0;width:474.6pt;height:284.75pt;rotation:315;z-index:-2516569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96D0A75">
        <v:shape id="_x0000_s3463" type="#_x0000_t136" alt="" style="position:absolute;left:0;text-align:left;margin-left:0;margin-top:0;width:474.6pt;height:284.75pt;rotation:315;z-index:-2516569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F0EEF68">
        <v:shape id="_x0000_s3462" type="#_x0000_t136" alt="" style="position:absolute;left:0;text-align:left;margin-left:0;margin-top:0;width:474.6pt;height:284.75pt;rotation:315;z-index:-2516569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DA177CE">
        <v:shape id="_x0000_s3461" type="#_x0000_t136" alt="" style="position:absolute;left:0;text-align:left;margin-left:0;margin-top:0;width:474.6pt;height:284.75pt;rotation:315;z-index:-2516569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0336B80">
        <v:shape id="_x0000_s3460" type="#_x0000_t136" alt="" style="position:absolute;left:0;text-align:left;margin-left:0;margin-top:0;width:474.6pt;height:284.75pt;rotation:315;z-index:-2516569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D18008">
        <v:shape id="_x0000_s3459" type="#_x0000_t136" alt="" style="position:absolute;left:0;text-align:left;margin-left:0;margin-top:0;width:474.6pt;height:284.75pt;rotation:315;z-index:-2516569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FDEF1E6">
        <v:shape id="_x0000_s3458" type="#_x0000_t136" alt="" style="position:absolute;left:0;text-align:left;margin-left:0;margin-top:0;width:474.6pt;height:284.75pt;rotation:315;z-index:-2516569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73E52E0">
        <v:shape id="_x0000_s3457" type="#_x0000_t136" alt="" style="position:absolute;left:0;text-align:left;margin-left:0;margin-top:0;width:474.6pt;height:284.75pt;rotation:315;z-index:-2516569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151310">
        <v:shape id="_x0000_s3456" type="#_x0000_t136" alt="" style="position:absolute;left:0;text-align:left;margin-left:0;margin-top:0;width:474.6pt;height:284.75pt;rotation:315;z-index:-2516569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37D7E92">
        <v:shape id="_x0000_s3455" type="#_x0000_t136" alt="" style="position:absolute;left:0;text-align:left;margin-left:0;margin-top:0;width:474.6pt;height:284.75pt;rotation:315;z-index:-2516569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F47EF5">
        <v:shape id="_x0000_s3454" type="#_x0000_t136" alt="" style="position:absolute;left:0;text-align:left;margin-left:0;margin-top:0;width:474.6pt;height:284.75pt;rotation:315;z-index:-2516569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3A8376">
        <v:shape id="_x0000_s3453" type="#_x0000_t136" alt="" style="position:absolute;left:0;text-align:left;margin-left:0;margin-top:0;width:474.6pt;height:284.75pt;rotation:315;z-index:-2516569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75B1AE4">
        <v:shape id="_x0000_s3452" type="#_x0000_t136" alt="" style="position:absolute;left:0;text-align:left;margin-left:0;margin-top:0;width:474.6pt;height:284.75pt;rotation:315;z-index:-2516569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22FEA56">
        <v:shape id="_x0000_s3451" type="#_x0000_t136" alt="" style="position:absolute;left:0;text-align:left;margin-left:0;margin-top:0;width:474.6pt;height:284.75pt;rotation:315;z-index:-2516569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AC0C894">
        <v:shape id="_x0000_s3450" type="#_x0000_t136" alt="" style="position:absolute;left:0;text-align:left;margin-left:0;margin-top:0;width:474.6pt;height:284.75pt;rotation:315;z-index:-2516569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9736FA4">
        <v:shape id="_x0000_s3449" type="#_x0000_t136" alt="" style="position:absolute;left:0;text-align:left;margin-left:0;margin-top:0;width:474.6pt;height:284.75pt;rotation:315;z-index:-2516569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764AD1A">
        <v:shape id="_x0000_s3448" type="#_x0000_t136" alt="" style="position:absolute;left:0;text-align:left;margin-left:0;margin-top:0;width:474.6pt;height:284.75pt;rotation:315;z-index:-2516569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4BA2BE0">
        <v:shape id="_x0000_s3447" type="#_x0000_t136" alt="" style="position:absolute;left:0;text-align:left;margin-left:0;margin-top:0;width:474.6pt;height:284.75pt;rotation:315;z-index:-251656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D6CEECE">
        <v:shape id="_x0000_s3446" type="#_x0000_t136" alt="" style="position:absolute;left:0;text-align:left;margin-left:0;margin-top:0;width:474.6pt;height:284.75pt;rotation:315;z-index:-2516569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6330FFA">
        <v:shape id="_x0000_s3445" type="#_x0000_t136" alt="" style="position:absolute;left:0;text-align:left;margin-left:0;margin-top:0;width:474.6pt;height:284.75pt;rotation:315;z-index:-2516569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81AADD">
        <v:shape id="_x0000_s3444" type="#_x0000_t136" alt="" style="position:absolute;left:0;text-align:left;margin-left:0;margin-top:0;width:474.6pt;height:284.75pt;rotation:315;z-index:-2516569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3F45465">
        <v:shape id="_x0000_s3443" type="#_x0000_t136" alt="" style="position:absolute;left:0;text-align:left;margin-left:0;margin-top:0;width:474.6pt;height:284.75pt;rotation:315;z-index:-2516569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877131">
        <v:shape id="_x0000_s3442" type="#_x0000_t136" alt="" style="position:absolute;left:0;text-align:left;margin-left:0;margin-top:0;width:474.6pt;height:284.75pt;rotation:315;z-index:-2516569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C360C1">
        <v:shape id="_x0000_s3441" type="#_x0000_t136" alt="" style="position:absolute;left:0;text-align:left;margin-left:0;margin-top:0;width:474.6pt;height:284.75pt;rotation:315;z-index:-2516569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9569DBE">
        <v:shape id="_x0000_s3440" type="#_x0000_t136" alt="" style="position:absolute;left:0;text-align:left;margin-left:0;margin-top:0;width:474.6pt;height:284.75pt;rotation:315;z-index:-2516570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D81EB5">
        <v:shape id="_x0000_s3439" type="#_x0000_t136" alt="" style="position:absolute;left:0;text-align:left;margin-left:0;margin-top:0;width:474.6pt;height:284.75pt;rotation:315;z-index:-2516570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23BCB0">
        <v:shape id="_x0000_s3438" type="#_x0000_t136" alt="" style="position:absolute;left:0;text-align:left;margin-left:0;margin-top:0;width:474.6pt;height:284.75pt;rotation:315;z-index:-2516570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98D7123">
        <v:shape id="_x0000_s3437" type="#_x0000_t136" alt="" style="position:absolute;left:0;text-align:left;margin-left:0;margin-top:0;width:474.6pt;height:284.75pt;rotation:315;z-index:-2516570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70E881">
        <v:shape id="_x0000_s3436" type="#_x0000_t136" alt="" style="position:absolute;left:0;text-align:left;margin-left:0;margin-top:0;width:474.6pt;height:284.75pt;rotation:315;z-index:-2516570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1CC73D5">
        <v:shape id="_x0000_s3435" type="#_x0000_t136" alt="" style="position:absolute;left:0;text-align:left;margin-left:0;margin-top:0;width:474.6pt;height:284.75pt;rotation:315;z-index:-2516570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AE908A">
        <v:shape id="_x0000_s3434" type="#_x0000_t136" alt="" style="position:absolute;left:0;text-align:left;margin-left:0;margin-top:0;width:474.6pt;height:284.75pt;rotation:315;z-index:-2516569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D2AEC4">
        <v:shape id="_x0000_s3433" type="#_x0000_t136" alt="" style="position:absolute;left:0;text-align:left;margin-left:0;margin-top:0;width:474.6pt;height:284.75pt;rotation:315;z-index:-2516569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3DA0A36">
        <v:shape id="_x0000_s3432" type="#_x0000_t136" alt="" style="position:absolute;left:0;text-align:left;margin-left:0;margin-top:0;width:474.6pt;height:284.75pt;rotation:315;z-index:-2516570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021B8E9">
        <v:shape id="_x0000_s3431" type="#_x0000_t136" alt="" style="position:absolute;left:0;text-align:left;margin-left:0;margin-top:0;width:474.6pt;height:284.75pt;rotation:315;z-index:-2516570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7F5C6E8">
        <v:shape id="_x0000_s3430" type="#_x0000_t136" alt="" style="position:absolute;left:0;text-align:left;margin-left:0;margin-top:0;width:474.6pt;height:284.75pt;rotation:315;z-index:-2516570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4BD833">
        <v:shape id="_x0000_s3429" type="#_x0000_t136" alt="" style="position:absolute;left:0;text-align:left;margin-left:0;margin-top:0;width:474.6pt;height:284.75pt;rotation:315;z-index:-2516570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8767106">
        <v:shape id="_x0000_s3428" type="#_x0000_t136" alt="" style="position:absolute;left:0;text-align:left;margin-left:0;margin-top:0;width:474.6pt;height:284.75pt;rotation:315;z-index:-2516570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F26603">
        <v:shape id="_x0000_s3427" type="#_x0000_t136" alt="" style="position:absolute;left:0;text-align:left;margin-left:0;margin-top:0;width:474.6pt;height:284.75pt;rotation:315;z-index:-2516570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BD150B0">
        <v:shape id="_x0000_s3426" type="#_x0000_t136" alt="" style="position:absolute;left:0;text-align:left;margin-left:0;margin-top:0;width:474.6pt;height:284.75pt;rotation:315;z-index:-2516570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D17FBD1">
        <v:shape id="_x0000_s3425" type="#_x0000_t136" alt="" style="position:absolute;left:0;text-align:left;margin-left:0;margin-top:0;width:474.6pt;height:284.75pt;rotation:315;z-index:-2516570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6F18AC">
        <v:shape id="_x0000_s3424" type="#_x0000_t136" alt="" style="position:absolute;left:0;text-align:left;margin-left:0;margin-top:0;width:474.6pt;height:284.75pt;rotation:315;z-index:-2516570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1DC4E36">
        <v:shape id="_x0000_s3423" type="#_x0000_t136" alt="" style="position:absolute;left:0;text-align:left;margin-left:0;margin-top:0;width:474.6pt;height:284.75pt;rotation:315;z-index:-2516570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7C6D709">
        <v:shape id="_x0000_s3422" type="#_x0000_t136" alt="" style="position:absolute;left:0;text-align:left;margin-left:0;margin-top:0;width:474.6pt;height:284.75pt;rotation:315;z-index:-2516570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0514F1">
        <v:shape id="_x0000_s3421" type="#_x0000_t136" alt="" style="position:absolute;left:0;text-align:left;margin-left:0;margin-top:0;width:474.6pt;height:284.75pt;rotation:315;z-index:-2516570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A28BFBF">
        <v:shape id="_x0000_s3420" type="#_x0000_t136" alt="" style="position:absolute;left:0;text-align:left;margin-left:0;margin-top:0;width:474.6pt;height:284.75pt;rotation:315;z-index:-2516570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8230433">
        <v:shape id="_x0000_s3419" type="#_x0000_t136" alt="" style="position:absolute;left:0;text-align:left;margin-left:0;margin-top:0;width:474.6pt;height:284.75pt;rotation:315;z-index:-2516570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D61DF2">
        <v:shape id="_x0000_s3418" type="#_x0000_t136" alt="" style="position:absolute;left:0;text-align:left;margin-left:0;margin-top:0;width:474.6pt;height:284.75pt;rotation:315;z-index:-2516570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DE07E05">
        <v:shape id="_x0000_s3417" type="#_x0000_t136" alt="" style="position:absolute;left:0;text-align:left;margin-left:0;margin-top:0;width:474.6pt;height:284.75pt;rotation:315;z-index:-2516570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337E982">
        <v:shape id="_x0000_s3416" type="#_x0000_t136" alt="" style="position:absolute;left:0;text-align:left;margin-left:0;margin-top:0;width:474.6pt;height:284.75pt;rotation:315;z-index:-2516570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7B12DA">
        <v:shape id="_x0000_s3415" type="#_x0000_t136" alt="" style="position:absolute;left:0;text-align:left;margin-left:0;margin-top:0;width:474.6pt;height:284.75pt;rotation:315;z-index:-2516570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D5762E1">
        <v:shape id="_x0000_s3414" type="#_x0000_t136" alt="" style="position:absolute;left:0;text-align:left;margin-left:0;margin-top:0;width:474.6pt;height:284.75pt;rotation:315;z-index:-2516570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30C617">
        <v:shape id="_x0000_s3413" type="#_x0000_t136" alt="" style="position:absolute;left:0;text-align:left;margin-left:0;margin-top:0;width:474.6pt;height:284.75pt;rotation:315;z-index:-2516570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F1C233C">
        <v:shape id="_x0000_s3412" type="#_x0000_t136" alt="" style="position:absolute;left:0;text-align:left;margin-left:0;margin-top:0;width:474.6pt;height:284.75pt;rotation:315;z-index:-2516570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62B713">
        <v:shape id="_x0000_s3411" type="#_x0000_t136" alt="" style="position:absolute;left:0;text-align:left;margin-left:0;margin-top:0;width:474.6pt;height:284.75pt;rotation:315;z-index:-2516570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DEC864">
        <v:shape id="_x0000_s3410" type="#_x0000_t136" alt="" style="position:absolute;left:0;text-align:left;margin-left:0;margin-top:0;width:474.6pt;height:284.75pt;rotation:315;z-index:-2516570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1FB096D">
        <v:shape id="_x0000_s3409" type="#_x0000_t136" alt="" style="position:absolute;left:0;text-align:left;margin-left:0;margin-top:0;width:474.6pt;height:284.75pt;rotation:315;z-index:-2516570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80A4BC9">
        <v:shape id="_x0000_s3408" type="#_x0000_t136" alt="" style="position:absolute;left:0;text-align:left;margin-left:0;margin-top:0;width:474.6pt;height:284.75pt;rotation:315;z-index:-2516570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68AE642">
        <v:shape id="_x0000_s3407" type="#_x0000_t136" alt="" style="position:absolute;left:0;text-align:left;margin-left:0;margin-top:0;width:474.6pt;height:284.75pt;rotation:315;z-index:-2516570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9EAB1D">
        <v:shape id="_x0000_s3406" type="#_x0000_t136" alt="" style="position:absolute;left:0;text-align:left;margin-left:0;margin-top:0;width:474.6pt;height:284.75pt;rotation:315;z-index:-2516570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3C9A067">
        <v:shape id="_x0000_s3405" type="#_x0000_t136" alt="" style="position:absolute;left:0;text-align:left;margin-left:0;margin-top:0;width:474.6pt;height:284.75pt;rotation:315;z-index:-2516570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EA00E8E">
        <v:shape id="_x0000_s3404" type="#_x0000_t136" alt="" style="position:absolute;left:0;text-align:left;margin-left:0;margin-top:0;width:474.6pt;height:284.75pt;rotation:315;z-index:-2516570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1CDE2FB">
        <v:shape id="_x0000_s3403" type="#_x0000_t136" alt="" style="position:absolute;left:0;text-align:left;margin-left:0;margin-top:0;width:474.6pt;height:284.75pt;rotation:315;z-index:-2516570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A5A85C2">
        <v:shape id="_x0000_s3402" type="#_x0000_t136" alt="" style="position:absolute;left:0;text-align:left;margin-left:0;margin-top:0;width:474.6pt;height:284.75pt;rotation:315;z-index:-2516570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7D4496">
        <v:shape id="_x0000_s3401" type="#_x0000_t136" alt="" style="position:absolute;left:0;text-align:left;margin-left:0;margin-top:0;width:474.6pt;height:284.75pt;rotation:315;z-index:-2516570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41F49C0">
        <v:shape id="_x0000_s3400" type="#_x0000_t136" alt="" style="position:absolute;left:0;text-align:left;margin-left:0;margin-top:0;width:474.6pt;height:284.75pt;rotation:315;z-index:-2516570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E5841E">
        <v:shape id="_x0000_s3399" type="#_x0000_t136" alt="" style="position:absolute;left:0;text-align:left;margin-left:0;margin-top:0;width:474.6pt;height:284.75pt;rotation:315;z-index:-2516570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977C92C">
        <v:shape id="_x0000_s3398" type="#_x0000_t136" alt="" style="position:absolute;left:0;text-align:left;margin-left:0;margin-top:0;width:474.6pt;height:284.75pt;rotation:315;z-index:-2516570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9E9F30C">
        <v:shape id="_x0000_s3397" type="#_x0000_t136" alt="" style="position:absolute;left:0;text-align:left;margin-left:0;margin-top:0;width:474.6pt;height:284.75pt;rotation:315;z-index:-2516570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18A5ECC">
        <v:shape id="_x0000_s3396" type="#_x0000_t136" alt="" style="position:absolute;left:0;text-align:left;margin-left:0;margin-top:0;width:474.6pt;height:284.75pt;rotation:315;z-index:-2516570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7E32456">
        <v:shape id="_x0000_s3395" type="#_x0000_t136" alt="" style="position:absolute;left:0;text-align:left;margin-left:0;margin-top:0;width:474.6pt;height:284.75pt;rotation:315;z-index:-2516570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7FF3BD">
        <v:shape id="_x0000_s3394" type="#_x0000_t136" alt="" style="position:absolute;left:0;text-align:left;margin-left:0;margin-top:0;width:474.6pt;height:284.75pt;rotation:315;z-index:-2516570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A14F5D7">
        <v:shape id="_x0000_s3393" type="#_x0000_t136" alt="" style="position:absolute;left:0;text-align:left;margin-left:0;margin-top:0;width:474.6pt;height:284.75pt;rotation:315;z-index:-2516570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D6BC840">
        <v:shape id="_x0000_s3392" type="#_x0000_t136" alt="" style="position:absolute;left:0;text-align:left;margin-left:0;margin-top:0;width:474.6pt;height:284.75pt;rotation:315;z-index:-2516571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2F506F">
        <v:shape id="_x0000_s3391" type="#_x0000_t136" alt="" style="position:absolute;left:0;text-align:left;margin-left:0;margin-top:0;width:474.6pt;height:284.75pt;rotation:315;z-index:-2516571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C9379D9">
        <v:shape id="_x0000_s3390" type="#_x0000_t136" alt="" style="position:absolute;left:0;text-align:left;margin-left:0;margin-top:0;width:474.6pt;height:284.75pt;rotation:315;z-index:-2516570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52DCD2F">
        <v:shape id="_x0000_s3389" type="#_x0000_t136" alt="" style="position:absolute;left:0;text-align:left;margin-left:0;margin-top:0;width:474.6pt;height:284.75pt;rotation:315;z-index:-2516570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106D27A">
        <v:shape id="_x0000_s3388" type="#_x0000_t136" alt="" style="position:absolute;left:0;text-align:left;margin-left:0;margin-top:0;width:474.6pt;height:284.75pt;rotation:315;z-index:-2516570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1F3A6C4">
        <v:shape id="_x0000_s3387" type="#_x0000_t136" alt="" style="position:absolute;left:0;text-align:left;margin-left:0;margin-top:0;width:474.6pt;height:284.75pt;rotation:315;z-index:-2516570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0A300BD">
        <v:shape id="_x0000_s3386" type="#_x0000_t136" alt="" style="position:absolute;left:0;text-align:left;margin-left:0;margin-top:0;width:474.6pt;height:284.75pt;rotation:315;z-index:-2516570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132724">
        <v:shape id="_x0000_s3385" type="#_x0000_t136" alt="" style="position:absolute;left:0;text-align:left;margin-left:0;margin-top:0;width:474.6pt;height:284.75pt;rotation:315;z-index:-2516570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F3C01E">
        <v:shape id="_x0000_s3384" type="#_x0000_t136" alt="" style="position:absolute;left:0;text-align:left;margin-left:0;margin-top:0;width:474.6pt;height:284.75pt;rotation:315;z-index:-2516571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3E511C">
        <v:shape id="_x0000_s3383" type="#_x0000_t136" alt="" style="position:absolute;left:0;text-align:left;margin-left:0;margin-top:0;width:474.6pt;height:284.75pt;rotation:315;z-index:-2516571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8E63C2F">
        <v:shape id="_x0000_s3382" type="#_x0000_t136" alt="" style="position:absolute;left:0;text-align:left;margin-left:0;margin-top:0;width:474.6pt;height:284.75pt;rotation:315;z-index:-2516571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9A29A04">
        <v:shape id="_x0000_s3381" type="#_x0000_t136" alt="" style="position:absolute;left:0;text-align:left;margin-left:0;margin-top:0;width:474.6pt;height:284.75pt;rotation:315;z-index:-2516571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014324F">
        <v:shape id="_x0000_s3380" type="#_x0000_t136" alt="" style="position:absolute;left:0;text-align:left;margin-left:0;margin-top:0;width:474.6pt;height:284.75pt;rotation:315;z-index:-2516571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A437137">
        <v:shape id="_x0000_s3379" type="#_x0000_t136" alt="" style="position:absolute;left:0;text-align:left;margin-left:0;margin-top:0;width:474.6pt;height:284.75pt;rotation:315;z-index:-2516571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8745098">
        <v:shape id="_x0000_s3378" type="#_x0000_t136" alt="" style="position:absolute;left:0;text-align:left;margin-left:0;margin-top:0;width:474.6pt;height:284.75pt;rotation:315;z-index:-2516571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16CC8DC">
        <v:shape id="_x0000_s3377" type="#_x0000_t136" alt="" style="position:absolute;left:0;text-align:left;margin-left:0;margin-top:0;width:474.6pt;height:284.75pt;rotation:315;z-index:-2516571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24EE578">
        <v:shape id="_x0000_s3376" type="#_x0000_t136" alt="" style="position:absolute;left:0;text-align:left;margin-left:0;margin-top:0;width:474.6pt;height:284.75pt;rotation:315;z-index:-2516571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049F4F0">
        <v:shape id="_x0000_s3375" type="#_x0000_t136" alt="" style="position:absolute;left:0;text-align:left;margin-left:0;margin-top:0;width:474.6pt;height:284.75pt;rotation:315;z-index:-2516571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94C2E34">
        <v:shape id="_x0000_s3374" type="#_x0000_t136" alt="" style="position:absolute;left:0;text-align:left;margin-left:0;margin-top:0;width:474.6pt;height:284.75pt;rotation:315;z-index:-2516571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1D07E7">
        <v:shape id="_x0000_s3373" type="#_x0000_t136" alt="" style="position:absolute;left:0;text-align:left;margin-left:0;margin-top:0;width:474.6pt;height:284.75pt;rotation:315;z-index:-2516571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315A2E">
        <v:shape id="_x0000_s3372" type="#_x0000_t136" alt="" style="position:absolute;left:0;text-align:left;margin-left:0;margin-top:0;width:474.6pt;height:284.75pt;rotation:315;z-index:-2516571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4D1BB4">
        <v:shape id="_x0000_s3371" type="#_x0000_t136" alt="" style="position:absolute;left:0;text-align:left;margin-left:0;margin-top:0;width:474.6pt;height:284.75pt;rotation:315;z-index:-2516571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3B1E6D">
        <v:shape id="_x0000_s3370" type="#_x0000_t136" alt="" style="position:absolute;left:0;text-align:left;margin-left:0;margin-top:0;width:474.6pt;height:284.75pt;rotation:315;z-index:-2516571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3659480">
        <v:shape id="_x0000_s3369" type="#_x0000_t136" alt="" style="position:absolute;left:0;text-align:left;margin-left:0;margin-top:0;width:474.6pt;height:284.75pt;rotation:315;z-index:-2516571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925FE8">
        <v:shape id="_x0000_s3368" type="#_x0000_t136" alt="" style="position:absolute;left:0;text-align:left;margin-left:0;margin-top:0;width:474.6pt;height:284.75pt;rotation:315;z-index:-2516571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B6A3C58">
        <v:shape id="_x0000_s3367" type="#_x0000_t136" alt="" style="position:absolute;left:0;text-align:left;margin-left:0;margin-top:0;width:474.6pt;height:284.75pt;rotation:315;z-index:-2516571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969FF38">
        <v:shape id="_x0000_s3366" type="#_x0000_t136" alt="" style="position:absolute;left:0;text-align:left;margin-left:0;margin-top:0;width:474.6pt;height:284.75pt;rotation:315;z-index:-2516571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EE8543">
        <v:shape id="_x0000_s3365" type="#_x0000_t136" alt="" style="position:absolute;left:0;text-align:left;margin-left:0;margin-top:0;width:474.6pt;height:284.75pt;rotation:315;z-index:-2516571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5612F0D">
        <v:shape id="_x0000_s3364" type="#_x0000_t136" alt="" style="position:absolute;left:0;text-align:left;margin-left:0;margin-top:0;width:474.6pt;height:284.75pt;rotation:315;z-index:-2516571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DC386B4">
        <v:shape id="_x0000_s3363" type="#_x0000_t136" alt="" style="position:absolute;left:0;text-align:left;margin-left:0;margin-top:0;width:474.6pt;height:284.75pt;rotation:315;z-index:-2516571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9B92E6B">
        <v:shape id="_x0000_s3362" type="#_x0000_t136" alt="" style="position:absolute;left:0;text-align:left;margin-left:0;margin-top:0;width:474.6pt;height:284.75pt;rotation:315;z-index:-2516571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AB1AE5">
        <v:shape id="_x0000_s3361" type="#_x0000_t136" alt="" style="position:absolute;left:0;text-align:left;margin-left:0;margin-top:0;width:474.6pt;height:284.75pt;rotation:315;z-index:-2516571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EB768D">
        <v:shape id="_x0000_s3360" type="#_x0000_t136" alt="" style="position:absolute;left:0;text-align:left;margin-left:0;margin-top:0;width:474.6pt;height:284.75pt;rotation:315;z-index:-2516571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F8916A">
        <v:shape id="_x0000_s3359" type="#_x0000_t136" alt="" style="position:absolute;left:0;text-align:left;margin-left:0;margin-top:0;width:474.6pt;height:284.75pt;rotation:315;z-index:-2516571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597F43A">
        <v:shape id="_x0000_s3358" type="#_x0000_t136" alt="" style="position:absolute;left:0;text-align:left;margin-left:0;margin-top:0;width:474.6pt;height:284.75pt;rotation:315;z-index:-2516571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AF9723F">
        <v:shape id="_x0000_s3357" type="#_x0000_t136" alt="" style="position:absolute;left:0;text-align:left;margin-left:0;margin-top:0;width:474.6pt;height:284.75pt;rotation:315;z-index:-2516571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EAE60ED">
        <v:shape id="_x0000_s3356" type="#_x0000_t136" alt="" style="position:absolute;left:0;text-align:left;margin-left:0;margin-top:0;width:474.6pt;height:284.75pt;rotation:315;z-index:-2516571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5E9DB5">
        <v:shape id="_x0000_s3355" type="#_x0000_t136" alt="" style="position:absolute;left:0;text-align:left;margin-left:0;margin-top:0;width:474.6pt;height:284.75pt;rotation:315;z-index:-2516571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4179C2">
        <v:shape id="_x0000_s3354" type="#_x0000_t136" alt="" style="position:absolute;left:0;text-align:left;margin-left:0;margin-top:0;width:474.6pt;height:284.75pt;rotation:315;z-index:-2516571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BC9DDA">
        <v:shape id="_x0000_s3353" type="#_x0000_t136" alt="" style="position:absolute;left:0;text-align:left;margin-left:0;margin-top:0;width:474.6pt;height:284.75pt;rotation:315;z-index:-2516571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839088">
        <v:shape id="_x0000_s3352" type="#_x0000_t136" alt="" style="position:absolute;left:0;text-align:left;margin-left:0;margin-top:0;width:474.6pt;height:284.75pt;rotation:315;z-index:-2516571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2517DB">
        <v:shape id="_x0000_s3351" type="#_x0000_t136" alt="" style="position:absolute;left:0;text-align:left;margin-left:0;margin-top:0;width:474.6pt;height:284.75pt;rotation:315;z-index:-251657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E21FAA">
        <v:shape id="_x0000_s3350" type="#_x0000_t136" alt="" style="position:absolute;left:0;text-align:left;margin-left:0;margin-top:0;width:474.6pt;height:284.75pt;rotation:315;z-index:-2516571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FF24116">
        <v:shape id="_x0000_s3349" type="#_x0000_t136" alt="" style="position:absolute;left:0;text-align:left;margin-left:0;margin-top:0;width:474.6pt;height:284.75pt;rotation:315;z-index:-2516571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77BD2F">
        <v:shape id="_x0000_s3348" type="#_x0000_t136" alt="" style="position:absolute;left:0;text-align:left;margin-left:0;margin-top:0;width:474.6pt;height:284.75pt;rotation:315;z-index:-2516571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AB9F87A">
        <v:shape id="_x0000_s3347" type="#_x0000_t136" alt="" style="position:absolute;left:0;text-align:left;margin-left:0;margin-top:0;width:474.6pt;height:284.75pt;rotation:315;z-index:-2516571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9E03B27">
        <v:shape id="_x0000_s3346" type="#_x0000_t136" alt="" style="position:absolute;left:0;text-align:left;margin-left:0;margin-top:0;width:474.6pt;height:284.75pt;rotation:315;z-index:-2516571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634AD87">
        <v:shape id="_x0000_s3345" type="#_x0000_t136" alt="" style="position:absolute;left:0;text-align:left;margin-left:0;margin-top:0;width:474.6pt;height:284.75pt;rotation:315;z-index:-2516571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CFC86C8">
        <v:shape id="_x0000_s3344" type="#_x0000_t136" alt="" style="position:absolute;left:0;text-align:left;margin-left:0;margin-top:0;width:474.6pt;height:284.75pt;rotation:315;z-index:-2516571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1DD069F">
        <v:shape id="_x0000_s3343" type="#_x0000_t136" alt="" style="position:absolute;left:0;text-align:left;margin-left:0;margin-top:0;width:474.6pt;height:284.75pt;rotation:315;z-index:-2516571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51834C9">
        <v:shape id="_x0000_s3342" type="#_x0000_t136" alt="" style="position:absolute;left:0;text-align:left;margin-left:0;margin-top:0;width:474.6pt;height:284.75pt;rotation:315;z-index:-2516571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5DD38F">
        <v:shape id="_x0000_s3341" type="#_x0000_t136" alt="" style="position:absolute;left:0;text-align:left;margin-left:0;margin-top:0;width:474.6pt;height:284.75pt;rotation:315;z-index:-2516571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7A6A77B">
        <v:shape id="_x0000_s3340" type="#_x0000_t136" alt="" style="position:absolute;left:0;text-align:left;margin-left:0;margin-top:0;width:474.6pt;height:284.75pt;rotation:315;z-index:-2516571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4347FC5">
        <v:shape id="_x0000_s3339" type="#_x0000_t136" alt="" style="position:absolute;left:0;text-align:left;margin-left:0;margin-top:0;width:474.6pt;height:284.75pt;rotation:315;z-index:-2516571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25D1355">
        <v:shape id="_x0000_s3338" type="#_x0000_t136" alt="" style="position:absolute;left:0;text-align:left;margin-left:0;margin-top:0;width:474.6pt;height:284.75pt;rotation:315;z-index:-2516571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EC4EBEE">
        <v:shape id="_x0000_s3337" type="#_x0000_t136" alt="" style="position:absolute;left:0;text-align:left;margin-left:0;margin-top:0;width:474.6pt;height:284.75pt;rotation:315;z-index:-2516571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E4C522">
        <v:shape id="_x0000_s3336" type="#_x0000_t136" alt="" style="position:absolute;left:0;text-align:left;margin-left:0;margin-top:0;width:474.6pt;height:284.75pt;rotation:315;z-index:-2516571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6EB4C42">
        <v:shape id="_x0000_s3335" type="#_x0000_t136" alt="" style="position:absolute;left:0;text-align:left;margin-left:0;margin-top:0;width:474.6pt;height:284.75pt;rotation:315;z-index:-2516572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D0A997">
        <v:shape id="_x0000_s3334" type="#_x0000_t136" alt="" style="position:absolute;left:0;text-align:left;margin-left:0;margin-top:0;width:474.6pt;height:284.75pt;rotation:315;z-index:-2516572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108AC7">
        <v:shape id="_x0000_s3333" type="#_x0000_t136" alt="" style="position:absolute;left:0;text-align:left;margin-left:0;margin-top:0;width:474.6pt;height:284.75pt;rotation:315;z-index:-2516572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1989845">
        <v:shape id="_x0000_s3332" type="#_x0000_t136" alt="" style="position:absolute;left:0;text-align:left;margin-left:0;margin-top:0;width:474.6pt;height:284.75pt;rotation:315;z-index:-2516572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3BD13E1">
        <v:shape id="_x0000_s3331" type="#_x0000_t136" alt="" style="position:absolute;left:0;text-align:left;margin-left:0;margin-top:0;width:474.6pt;height:284.75pt;rotation:315;z-index:-2516572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D463D8B">
        <v:shape id="_x0000_s3330" type="#_x0000_t136" alt="" style="position:absolute;left:0;text-align:left;margin-left:0;margin-top:0;width:474.6pt;height:284.75pt;rotation:315;z-index:-2516572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96F9CC9">
        <v:shape id="_x0000_s3329" type="#_x0000_t136" alt="" style="position:absolute;left:0;text-align:left;margin-left:0;margin-top:0;width:474.6pt;height:284.75pt;rotation:315;z-index:-2516572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A15587D">
        <v:shape id="_x0000_s3328" type="#_x0000_t136" alt="" style="position:absolute;left:0;text-align:left;margin-left:0;margin-top:0;width:474.6pt;height:284.75pt;rotation:315;z-index:-2516572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897BBB3">
        <v:shape id="_x0000_s3327" type="#_x0000_t136" alt="" style="position:absolute;left:0;text-align:left;margin-left:0;margin-top:0;width:474.6pt;height:284.75pt;rotation:315;z-index:-2516572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A40180C">
        <v:shape id="_x0000_s3326" type="#_x0000_t136" alt="" style="position:absolute;left:0;text-align:left;margin-left:0;margin-top:0;width:474.6pt;height:284.75pt;rotation:315;z-index:-2516572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3FDE4CB">
        <v:shape id="_x0000_s3325" type="#_x0000_t136" alt="" style="position:absolute;left:0;text-align:left;margin-left:0;margin-top:0;width:474.6pt;height:284.75pt;rotation:315;z-index:-2516572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22A58A8">
        <v:shape id="_x0000_s3324" type="#_x0000_t136" alt="" style="position:absolute;left:0;text-align:left;margin-left:0;margin-top:0;width:474.6pt;height:284.75pt;rotation:315;z-index:-2516572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AC6DDE1">
        <v:shape id="_x0000_s3323" type="#_x0000_t136" alt="" style="position:absolute;left:0;text-align:left;margin-left:0;margin-top:0;width:474.6pt;height:284.75pt;rotation:315;z-index:-2516572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8EE08C9">
        <v:shape id="_x0000_s3322" type="#_x0000_t136" alt="" style="position:absolute;left:0;text-align:left;margin-left:0;margin-top:0;width:474.6pt;height:284.75pt;rotation:315;z-index:-2516572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9222DDD">
        <v:shape id="_x0000_s3321" type="#_x0000_t136" alt="" style="position:absolute;left:0;text-align:left;margin-left:0;margin-top:0;width:474.6pt;height:284.75pt;rotation:315;z-index:-2516572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2266A15">
        <v:shape id="_x0000_s3320" type="#_x0000_t136" alt="" style="position:absolute;left:0;text-align:left;margin-left:0;margin-top:0;width:474.6pt;height:284.75pt;rotation:315;z-index:-2516572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C779628">
        <v:shape id="_x0000_s3319" type="#_x0000_t136" alt="" style="position:absolute;left:0;text-align:left;margin-left:0;margin-top:0;width:474.6pt;height:284.75pt;rotation:315;z-index:-2516572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DF2276F">
        <v:shape id="_x0000_s3318" type="#_x0000_t136" alt="" style="position:absolute;left:0;text-align:left;margin-left:0;margin-top:0;width:474.6pt;height:284.75pt;rotation:315;z-index:-2516572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95424BE">
        <v:shape id="_x0000_s3317" type="#_x0000_t136" alt="" style="position:absolute;left:0;text-align:left;margin-left:0;margin-top:0;width:474.6pt;height:284.75pt;rotation:315;z-index:-2516572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647C62">
        <v:shape id="_x0000_s3316" type="#_x0000_t136" alt="" style="position:absolute;left:0;text-align:left;margin-left:0;margin-top:0;width:474.6pt;height:284.75pt;rotation:315;z-index:-2516572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78AFEB">
        <v:shape id="_x0000_s3315" type="#_x0000_t136" alt="" style="position:absolute;left:0;text-align:left;margin-left:0;margin-top:0;width:474.6pt;height:284.75pt;rotation:315;z-index:-251657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0845B1F">
        <v:shape id="_x0000_s3314" type="#_x0000_t136" alt="" style="position:absolute;left:0;text-align:left;margin-left:0;margin-top:0;width:474.6pt;height:284.75pt;rotation:315;z-index:-2516572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1675A0">
        <v:shape id="_x0000_s3313" type="#_x0000_t136" alt="" style="position:absolute;left:0;text-align:left;margin-left:0;margin-top:0;width:474.6pt;height:284.75pt;rotation:315;z-index:-2516572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F536390">
        <v:shape id="_x0000_s3312" type="#_x0000_t136" alt="" style="position:absolute;left:0;text-align:left;margin-left:0;margin-top:0;width:474.6pt;height:284.75pt;rotation:315;z-index:-2516572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1C5AF21">
        <v:shape id="_x0000_s3311" type="#_x0000_t136" alt="" style="position:absolute;left:0;text-align:left;margin-left:0;margin-top:0;width:474.6pt;height:284.75pt;rotation:315;z-index:-2516572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857827">
        <v:shape id="_x0000_s3310" type="#_x0000_t136" alt="" style="position:absolute;left:0;text-align:left;margin-left:0;margin-top:0;width:474.6pt;height:284.75pt;rotation:315;z-index:-2516572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C6BF5EB">
        <v:shape id="_x0000_s3309" type="#_x0000_t136" alt="" style="position:absolute;left:0;text-align:left;margin-left:0;margin-top:0;width:474.6pt;height:284.75pt;rotation:315;z-index:-2516572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5E82280">
        <v:shape id="_x0000_s3308" type="#_x0000_t136" alt="" style="position:absolute;left:0;text-align:left;margin-left:0;margin-top:0;width:474.6pt;height:284.75pt;rotation:315;z-index:-2516572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A7C3AB8">
        <v:shape id="_x0000_s3307" type="#_x0000_t136" alt="" style="position:absolute;left:0;text-align:left;margin-left:0;margin-top:0;width:474.6pt;height:284.75pt;rotation:315;z-index:-2516572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8ED1583">
        <v:shape id="_x0000_s3306" type="#_x0000_t136" alt="" style="position:absolute;left:0;text-align:left;margin-left:0;margin-top:0;width:474.6pt;height:284.75pt;rotation:315;z-index:-2516572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D2B510">
        <v:shape id="_x0000_s3305" type="#_x0000_t136" alt="" style="position:absolute;left:0;text-align:left;margin-left:0;margin-top:0;width:474.6pt;height:284.75pt;rotation:315;z-index:-2516572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FF8CB11">
        <v:shape id="_x0000_s3304" type="#_x0000_t136" alt="" style="position:absolute;left:0;text-align:left;margin-left:0;margin-top:0;width:474.6pt;height:284.75pt;rotation:315;z-index:-2516572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9D9B350">
        <v:shape id="_x0000_s3303" type="#_x0000_t136" alt="" style="position:absolute;left:0;text-align:left;margin-left:0;margin-top:0;width:474.6pt;height:284.75pt;rotation:315;z-index:-2516572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ECBF77">
        <v:shape id="_x0000_s3302" type="#_x0000_t136" alt="" style="position:absolute;left:0;text-align:left;margin-left:0;margin-top:0;width:474.6pt;height:284.75pt;rotation:315;z-index:-2516572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6D4F936">
        <v:shape id="_x0000_s3301" type="#_x0000_t136" alt="" style="position:absolute;left:0;text-align:left;margin-left:0;margin-top:0;width:474.6pt;height:284.75pt;rotation:315;z-index:-2516572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0A6472">
        <v:shape id="_x0000_s3300" type="#_x0000_t136" alt="" style="position:absolute;left:0;text-align:left;margin-left:0;margin-top:0;width:474.6pt;height:284.75pt;rotation:315;z-index:-2516572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174C1AC">
        <v:shape id="_x0000_s3299" type="#_x0000_t136" alt="" style="position:absolute;left:0;text-align:left;margin-left:0;margin-top:0;width:474.6pt;height:284.75pt;rotation:315;z-index:-2516572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EB981A">
        <v:shape id="_x0000_s3298" type="#_x0000_t136" alt="" style="position:absolute;left:0;text-align:left;margin-left:0;margin-top:0;width:474.6pt;height:284.75pt;rotation:315;z-index:-2516572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12502BB">
        <v:shape id="_x0000_s3297" type="#_x0000_t136" alt="" style="position:absolute;left:0;text-align:left;margin-left:0;margin-top:0;width:474.6pt;height:284.75pt;rotation:315;z-index:-2516572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92D3320">
        <v:shape id="_x0000_s3296" type="#_x0000_t136" alt="" style="position:absolute;left:0;text-align:left;margin-left:0;margin-top:0;width:474.6pt;height:284.75pt;rotation:315;z-index:-2516572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2E77CB">
        <v:shape id="_x0000_s3295" type="#_x0000_t136" alt="" style="position:absolute;left:0;text-align:left;margin-left:0;margin-top:0;width:474.6pt;height:284.75pt;rotation:315;z-index:-2516572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1999175">
        <v:shape id="_x0000_s3294" type="#_x0000_t136" alt="" style="position:absolute;left:0;text-align:left;margin-left:0;margin-top:0;width:474.6pt;height:284.75pt;rotation:315;z-index:-2516572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9EDD748">
        <v:shape id="_x0000_s3293" type="#_x0000_t136" alt="" style="position:absolute;left:0;text-align:left;margin-left:0;margin-top:0;width:474.6pt;height:284.75pt;rotation:315;z-index:-2516572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A9AC2E1">
        <v:shape id="_x0000_s3292" type="#_x0000_t136" alt="" style="position:absolute;left:0;text-align:left;margin-left:0;margin-top:0;width:474.6pt;height:284.75pt;rotation:315;z-index:-2516572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8C16648">
        <v:shape id="_x0000_s3291" type="#_x0000_t136" alt="" style="position:absolute;left:0;text-align:left;margin-left:0;margin-top:0;width:474.6pt;height:284.75pt;rotation:315;z-index:-2516572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CA46BAD">
        <v:shape id="_x0000_s3290" type="#_x0000_t136" alt="" style="position:absolute;left:0;text-align:left;margin-left:0;margin-top:0;width:474.6pt;height:284.75pt;rotation:315;z-index:-2516572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DE75E0A">
        <v:shape id="_x0000_s3289" type="#_x0000_t136" alt="" style="position:absolute;left:0;text-align:left;margin-left:0;margin-top:0;width:474.6pt;height:284.75pt;rotation:315;z-index:-2516572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6474CFD">
        <v:shape id="_x0000_s3288" type="#_x0000_t136" alt="" style="position:absolute;left:0;text-align:left;margin-left:0;margin-top:0;width:474.6pt;height:284.75pt;rotation:315;z-index:-2516572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ED46227">
        <v:shape id="_x0000_s3287" type="#_x0000_t136" alt="" style="position:absolute;left:0;text-align:left;margin-left:0;margin-top:0;width:474.6pt;height:284.75pt;rotation:315;z-index:-2516572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BF1E100">
        <v:shape id="_x0000_s3286" type="#_x0000_t136" alt="" style="position:absolute;left:0;text-align:left;margin-left:0;margin-top:0;width:474.6pt;height:284.75pt;rotation:315;z-index:-2516572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0AF390B">
        <v:shape id="_x0000_s3285" type="#_x0000_t136" alt="" style="position:absolute;left:0;text-align:left;margin-left:0;margin-top:0;width:474.6pt;height:284.75pt;rotation:315;z-index:-2516573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A89BC70">
        <v:shape id="_x0000_s3284" type="#_x0000_t136" alt="" style="position:absolute;left:0;text-align:left;margin-left:0;margin-top:0;width:474.6pt;height:284.75pt;rotation:315;z-index:-2516573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E9086F2">
        <v:shape id="_x0000_s3283" type="#_x0000_t136" alt="" style="position:absolute;left:0;text-align:left;margin-left:0;margin-top:0;width:474.6pt;height:284.75pt;rotation:315;z-index:-2516573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DE94FC0">
        <v:shape id="_x0000_s3282" type="#_x0000_t136" alt="" style="position:absolute;left:0;text-align:left;margin-left:0;margin-top:0;width:474.6pt;height:284.75pt;rotation:315;z-index:-2516573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F838D8C">
        <v:shape id="_x0000_s3281" type="#_x0000_t136" alt="" style="position:absolute;left:0;text-align:left;margin-left:0;margin-top:0;width:474.6pt;height:284.75pt;rotation:315;z-index:-2516573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1255C0C">
        <v:shape id="_x0000_s3280" type="#_x0000_t136" alt="" style="position:absolute;left:0;text-align:left;margin-left:0;margin-top:0;width:474.6pt;height:284.75pt;rotation:315;z-index:-2516573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711C764">
        <v:shape id="_x0000_s3279" type="#_x0000_t136" alt="" style="position:absolute;left:0;text-align:left;margin-left:0;margin-top:0;width:474.6pt;height:284.75pt;rotation:315;z-index:-2516573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108E416">
        <v:shape id="_x0000_s3278" type="#_x0000_t136" alt="" style="position:absolute;left:0;text-align:left;margin-left:0;margin-top:0;width:474.6pt;height:284.75pt;rotation:315;z-index:-2516573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A29221D">
        <v:shape id="_x0000_s3277" type="#_x0000_t136" alt="" style="position:absolute;left:0;text-align:left;margin-left:0;margin-top:0;width:474.6pt;height:284.75pt;rotation:315;z-index:-2516573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C0D58ED">
        <v:shape id="_x0000_s3276" type="#_x0000_t136" alt="" style="position:absolute;left:0;text-align:left;margin-left:0;margin-top:0;width:474.6pt;height:284.75pt;rotation:315;z-index:-2516573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9C90D1D">
        <v:shape id="_x0000_s3275" type="#_x0000_t136" alt="" style="position:absolute;left:0;text-align:left;margin-left:0;margin-top:0;width:474.6pt;height:284.75pt;rotation:315;z-index:-2516573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335A493">
        <v:shape id="_x0000_s3274" type="#_x0000_t136" alt="" style="position:absolute;left:0;text-align:left;margin-left:0;margin-top:0;width:474.6pt;height:284.75pt;rotation:315;z-index:-2516573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713E5DF">
        <v:shape id="_x0000_s3273" type="#_x0000_t136" alt="" style="position:absolute;left:0;text-align:left;margin-left:0;margin-top:0;width:474.6pt;height:284.75pt;rotation:315;z-index:-2516573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074836">
        <v:shape id="_x0000_s3272" type="#_x0000_t136" alt="" style="position:absolute;left:0;text-align:left;margin-left:0;margin-top:0;width:474.6pt;height:284.75pt;rotation:315;z-index:-2516573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E1E594">
        <v:shape id="_x0000_s3271" type="#_x0000_t136" alt="" style="position:absolute;left:0;text-align:left;margin-left:0;margin-top:0;width:474.6pt;height:284.75pt;rotation:315;z-index:-2516573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3E6CA52">
        <v:shape id="_x0000_s3270" type="#_x0000_t136" alt="" style="position:absolute;left:0;text-align:left;margin-left:0;margin-top:0;width:474.6pt;height:284.75pt;rotation:315;z-index:-2516573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287929D">
        <v:shape id="_x0000_s3269" type="#_x0000_t136" alt="" style="position:absolute;left:0;text-align:left;margin-left:0;margin-top:0;width:474.6pt;height:284.75pt;rotation:315;z-index:-2516573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0FD5FBD">
        <v:shape id="_x0000_s3268" type="#_x0000_t136" alt="" style="position:absolute;left:0;text-align:left;margin-left:0;margin-top:0;width:474.6pt;height:284.75pt;rotation:315;z-index:-2516573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3B4C4E">
        <v:shape id="_x0000_s3267" type="#_x0000_t136" alt="" style="position:absolute;left:0;text-align:left;margin-left:0;margin-top:0;width:474.6pt;height:284.75pt;rotation:315;z-index:-2516573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ADDD97D">
        <v:shape id="_x0000_s3266" type="#_x0000_t136" alt="" style="position:absolute;left:0;text-align:left;margin-left:0;margin-top:0;width:474.6pt;height:284.75pt;rotation:315;z-index:-2516573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E651ECC">
        <v:shape id="_x0000_s3265" type="#_x0000_t136" alt="" style="position:absolute;left:0;text-align:left;margin-left:0;margin-top:0;width:474.6pt;height:284.75pt;rotation:315;z-index:-2516573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0111A63">
        <v:shape id="_x0000_s3264" type="#_x0000_t136" alt="" style="position:absolute;left:0;text-align:left;margin-left:0;margin-top:0;width:474.6pt;height:284.75pt;rotation:315;z-index:-2516573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3E7D56F">
        <v:shape id="_x0000_s3263" type="#_x0000_t136" alt="" style="position:absolute;left:0;text-align:left;margin-left:0;margin-top:0;width:474.6pt;height:284.75pt;rotation:315;z-index:-2516573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1F1290">
        <v:shape id="_x0000_s3262" type="#_x0000_t136" alt="" style="position:absolute;left:0;text-align:left;margin-left:0;margin-top:0;width:474.6pt;height:284.75pt;rotation:315;z-index:-2516573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96DBAA">
        <v:shape id="_x0000_s3261" type="#_x0000_t136" alt="" style="position:absolute;left:0;text-align:left;margin-left:0;margin-top:0;width:474.6pt;height:284.75pt;rotation:315;z-index:-2516573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6ACD44E">
        <v:shape id="_x0000_s3260" type="#_x0000_t136" alt="" style="position:absolute;left:0;text-align:left;margin-left:0;margin-top:0;width:474.6pt;height:284.75pt;rotation:315;z-index:-2516573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3D5102B">
        <v:shape id="_x0000_s3259" type="#_x0000_t136" alt="" style="position:absolute;left:0;text-align:left;margin-left:0;margin-top:0;width:474.6pt;height:284.75pt;rotation:315;z-index:-2516573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A2F7969">
        <v:shape id="_x0000_s3258" type="#_x0000_t136" alt="" style="position:absolute;left:0;text-align:left;margin-left:0;margin-top:0;width:474.6pt;height:284.75pt;rotation:315;z-index:-2516573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1EF7B1">
        <v:shape id="_x0000_s3257" type="#_x0000_t136" alt="" style="position:absolute;left:0;text-align:left;margin-left:0;margin-top:0;width:474.6pt;height:284.75pt;rotation:315;z-index:-2516573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5B82EC4">
        <v:shape id="_x0000_s3256" type="#_x0000_t136" alt="" style="position:absolute;left:0;text-align:left;margin-left:0;margin-top:0;width:474.6pt;height:284.75pt;rotation:315;z-index:-2516573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834A1CF">
        <v:shape id="_x0000_s3255" type="#_x0000_t136" alt="" style="position:absolute;left:0;text-align:left;margin-left:0;margin-top:0;width:474.6pt;height:284.75pt;rotation:315;z-index:-2516573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C9F68D">
        <v:shape id="_x0000_s3254" type="#_x0000_t136" alt="" style="position:absolute;left:0;text-align:left;margin-left:0;margin-top:0;width:474.6pt;height:284.75pt;rotation:315;z-index:-2516573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7B1793D">
        <v:shape id="_x0000_s3253" type="#_x0000_t136" alt="" style="position:absolute;left:0;text-align:left;margin-left:0;margin-top:0;width:474.6pt;height:284.75pt;rotation:315;z-index:-2516573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FAE5FB7">
        <v:shape id="_x0000_s3252" type="#_x0000_t136" alt="" style="position:absolute;left:0;text-align:left;margin-left:0;margin-top:0;width:474.6pt;height:284.75pt;rotation:315;z-index:-2516573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5AE5BE2">
        <v:shape id="_x0000_s3251" type="#_x0000_t136" alt="" style="position:absolute;left:0;text-align:left;margin-left:0;margin-top:0;width:474.6pt;height:284.75pt;rotation:315;z-index:-2516573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AF5FD7C">
        <v:shape id="_x0000_s3250" type="#_x0000_t136" alt="" style="position:absolute;left:0;text-align:left;margin-left:0;margin-top:0;width:474.6pt;height:284.75pt;rotation:315;z-index:-2516573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F38A9D0">
        <v:shape id="_x0000_s3249" type="#_x0000_t136" alt="" style="position:absolute;left:0;text-align:left;margin-left:0;margin-top:0;width:474.6pt;height:284.75pt;rotation:315;z-index:-2516573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BAC2F7D">
        <v:shape id="_x0000_s3248" type="#_x0000_t136" alt="" style="position:absolute;left:0;text-align:left;margin-left:0;margin-top:0;width:474.6pt;height:284.75pt;rotation:315;z-index:-2516573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404A8B">
        <v:shape id="_x0000_s3247" type="#_x0000_t136" alt="" style="position:absolute;left:0;text-align:left;margin-left:0;margin-top:0;width:474.6pt;height:284.75pt;rotation:315;z-index:-2516573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641A6F">
        <v:shape id="_x0000_s3246" type="#_x0000_t136" alt="" style="position:absolute;left:0;text-align:left;margin-left:0;margin-top:0;width:474.6pt;height:284.75pt;rotation:315;z-index:-2516573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52880B">
        <v:shape id="_x0000_s3245" type="#_x0000_t136" alt="" style="position:absolute;left:0;text-align:left;margin-left:0;margin-top:0;width:474.6pt;height:284.75pt;rotation:315;z-index:-2516573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4FB37F9">
        <v:shape id="_x0000_s3244" type="#_x0000_t136" alt="" style="position:absolute;left:0;text-align:left;margin-left:0;margin-top:0;width:474.6pt;height:284.75pt;rotation:315;z-index:-2516573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DA4F135">
        <v:shape id="_x0000_s3243" type="#_x0000_t136" alt="" style="position:absolute;left:0;text-align:left;margin-left:0;margin-top:0;width:474.6pt;height:284.75pt;rotation:315;z-index:-2516573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F72F48D">
        <v:shape id="_x0000_s3242" type="#_x0000_t136" alt="" style="position:absolute;left:0;text-align:left;margin-left:0;margin-top:0;width:474.6pt;height:284.75pt;rotation:315;z-index:-2516573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250803D">
        <v:shape id="_x0000_s3241" type="#_x0000_t136" alt="" style="position:absolute;left:0;text-align:left;margin-left:0;margin-top:0;width:474.6pt;height:284.75pt;rotation:315;z-index:-2516573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C891DA9">
        <v:shape id="_x0000_s3240" type="#_x0000_t136" alt="" style="position:absolute;left:0;text-align:left;margin-left:0;margin-top:0;width:474.6pt;height:284.75pt;rotation:315;z-index:-2516573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4164491">
        <v:shape id="_x0000_s3239" type="#_x0000_t136" alt="" style="position:absolute;left:0;text-align:left;margin-left:0;margin-top:0;width:474.6pt;height:284.75pt;rotation:315;z-index:-2516573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5D14B6D">
        <v:shape id="_x0000_s3238" type="#_x0000_t136" alt="" style="position:absolute;left:0;text-align:left;margin-left:0;margin-top:0;width:474.6pt;height:284.75pt;rotation:315;z-index:-2516573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5B9954">
        <v:shape id="_x0000_s3237" type="#_x0000_t136" alt="" style="position:absolute;left:0;text-align:left;margin-left:0;margin-top:0;width:474.6pt;height:284.75pt;rotation:315;z-index:-2516573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13C24C">
        <v:shape id="_x0000_s3236" type="#_x0000_t136" alt="" style="position:absolute;left:0;text-align:left;margin-left:0;margin-top:0;width:474.6pt;height:284.75pt;rotation:315;z-index:-2516573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9DB6448">
        <v:shape id="_x0000_s3235" type="#_x0000_t136" alt="" style="position:absolute;left:0;text-align:left;margin-left:0;margin-top:0;width:474.6pt;height:284.75pt;rotation:315;z-index:-2516574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B41D0F2">
        <v:shape id="_x0000_s3234" type="#_x0000_t136" alt="" style="position:absolute;left:0;text-align:left;margin-left:0;margin-top:0;width:474.6pt;height:284.75pt;rotation:315;z-index:-2516574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08565A0">
        <v:shape id="_x0000_s3233" type="#_x0000_t136" alt="" style="position:absolute;left:0;text-align:left;margin-left:0;margin-top:0;width:474.6pt;height:284.75pt;rotation:315;z-index:-2516574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A015A5">
        <v:shape id="_x0000_s3232" type="#_x0000_t136" alt="" style="position:absolute;left:0;text-align:left;margin-left:0;margin-top:0;width:474.6pt;height:284.75pt;rotation:315;z-index:-2516574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CA3A38">
        <v:shape id="_x0000_s3231" type="#_x0000_t136" alt="" style="position:absolute;left:0;text-align:left;margin-left:0;margin-top:0;width:474.6pt;height:284.75pt;rotation:315;z-index:-2516574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EA9607">
        <v:shape id="_x0000_s3230" type="#_x0000_t136" alt="" style="position:absolute;left:0;text-align:left;margin-left:0;margin-top:0;width:474.6pt;height:284.75pt;rotation:315;z-index:-2516574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66FED9B">
        <v:shape id="_x0000_s3229" type="#_x0000_t136" alt="" style="position:absolute;left:0;text-align:left;margin-left:0;margin-top:0;width:474.6pt;height:284.75pt;rotation:315;z-index:-2516574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92A654">
        <v:shape id="_x0000_s3228" type="#_x0000_t136" alt="" style="position:absolute;left:0;text-align:left;margin-left:0;margin-top:0;width:474.6pt;height:284.75pt;rotation:315;z-index:-2516574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CA71A0D">
        <v:shape id="_x0000_s3227" type="#_x0000_t136" alt="" style="position:absolute;left:0;text-align:left;margin-left:0;margin-top:0;width:474.6pt;height:284.75pt;rotation:315;z-index:-2516574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9E7234">
        <v:shape id="_x0000_s3226" type="#_x0000_t136" alt="" style="position:absolute;left:0;text-align:left;margin-left:0;margin-top:0;width:474.6pt;height:284.75pt;rotation:315;z-index:-2516574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A9F6749">
        <v:shape id="_x0000_s3225" type="#_x0000_t136" alt="" style="position:absolute;left:0;text-align:left;margin-left:0;margin-top:0;width:474.6pt;height:284.75pt;rotation:315;z-index:-2516574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95F281">
        <v:shape id="_x0000_s3224" type="#_x0000_t136" alt="" style="position:absolute;left:0;text-align:left;margin-left:0;margin-top:0;width:474.6pt;height:284.75pt;rotation:315;z-index:-2516574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FBAA4F6">
        <v:shape id="_x0000_s3223" type="#_x0000_t136" alt="" style="position:absolute;left:0;text-align:left;margin-left:0;margin-top:0;width:474.6pt;height:284.75pt;rotation:315;z-index:-2516574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E5292AE">
        <v:shape id="_x0000_s3222" type="#_x0000_t136" alt="" style="position:absolute;left:0;text-align:left;margin-left:0;margin-top:0;width:474.6pt;height:284.75pt;rotation:315;z-index:-2516574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C7610AB">
        <v:shape id="_x0000_s3221" type="#_x0000_t136" alt="" style="position:absolute;left:0;text-align:left;margin-left:0;margin-top:0;width:474.6pt;height:284.75pt;rotation:315;z-index:-2516574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C1C733">
        <v:shape id="_x0000_s3220" type="#_x0000_t136" alt="" style="position:absolute;left:0;text-align:left;margin-left:0;margin-top:0;width:474.6pt;height:284.75pt;rotation:315;z-index:-2516574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7F1B44C">
        <v:shape id="_x0000_s3219" type="#_x0000_t136" alt="" style="position:absolute;left:0;text-align:left;margin-left:0;margin-top:0;width:474.6pt;height:284.75pt;rotation:315;z-index:-2516574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FC70EC8">
        <v:shape id="_x0000_s3218" type="#_x0000_t136" alt="" style="position:absolute;left:0;text-align:left;margin-left:0;margin-top:0;width:474.6pt;height:284.75pt;rotation:315;z-index:-2516574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E67EEDA">
        <v:shape id="_x0000_s3217" type="#_x0000_t136" alt="" style="position:absolute;left:0;text-align:left;margin-left:0;margin-top:0;width:474.6pt;height:284.75pt;rotation:315;z-index:-2516574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D74DDC6">
        <v:shape id="_x0000_s3216" type="#_x0000_t136" alt="" style="position:absolute;left:0;text-align:left;margin-left:0;margin-top:0;width:474.6pt;height:284.75pt;rotation:315;z-index:-2516574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323CA4">
        <v:shape id="_x0000_s3215" type="#_x0000_t136" alt="" style="position:absolute;left:0;text-align:left;margin-left:0;margin-top:0;width:474.6pt;height:284.75pt;rotation:315;z-index:-2516574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047A77D">
        <v:shape id="_x0000_s3214" type="#_x0000_t136" alt="" style="position:absolute;left:0;text-align:left;margin-left:0;margin-top:0;width:474.6pt;height:284.75pt;rotation:315;z-index:-2516574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6C0000">
        <v:shape id="_x0000_s3213" type="#_x0000_t136" alt="" style="position:absolute;left:0;text-align:left;margin-left:0;margin-top:0;width:474.6pt;height:284.75pt;rotation:315;z-index:-2516574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ECEA1E6">
        <v:shape id="_x0000_s3212" type="#_x0000_t136" alt="" style="position:absolute;left:0;text-align:left;margin-left:0;margin-top:0;width:474.6pt;height:284.75pt;rotation:315;z-index:-2516574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1B29F9E">
        <v:shape id="_x0000_s3211" type="#_x0000_t136" alt="" style="position:absolute;left:0;text-align:left;margin-left:0;margin-top:0;width:474.6pt;height:284.75pt;rotation:315;z-index:-2516574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31CDDE4">
        <v:shape id="_x0000_s3210" type="#_x0000_t136" alt="" style="position:absolute;left:0;text-align:left;margin-left:0;margin-top:0;width:474.6pt;height:284.75pt;rotation:315;z-index:-2516574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952CF6">
        <v:shape id="_x0000_s3209" type="#_x0000_t136" alt="" style="position:absolute;left:0;text-align:left;margin-left:0;margin-top:0;width:474.6pt;height:284.75pt;rotation:315;z-index:-2516574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8EC6F17">
        <v:shape id="_x0000_s3208" type="#_x0000_t136" alt="" style="position:absolute;left:0;text-align:left;margin-left:0;margin-top:0;width:474.6pt;height:284.75pt;rotation:315;z-index:-2516574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1B3D8B4">
        <v:shape id="_x0000_s3207" type="#_x0000_t136" alt="" style="position:absolute;left:0;text-align:left;margin-left:0;margin-top:0;width:474.6pt;height:284.75pt;rotation:315;z-index:-2516574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CADD6BF">
        <v:shape id="_x0000_s3206" type="#_x0000_t136" alt="" style="position:absolute;left:0;text-align:left;margin-left:0;margin-top:0;width:474.6pt;height:284.75pt;rotation:315;z-index:-2516574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1B95F3">
        <v:shape id="_x0000_s3205" type="#_x0000_t136" alt="" style="position:absolute;left:0;text-align:left;margin-left:0;margin-top:0;width:474.6pt;height:284.75pt;rotation:315;z-index:-2516574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740F2A">
        <v:shape id="_x0000_s3204" type="#_x0000_t136" alt="" style="position:absolute;left:0;text-align:left;margin-left:0;margin-top:0;width:474.6pt;height:284.75pt;rotation:315;z-index:-2516574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D13D7E6">
        <v:shape id="_x0000_s3203" type="#_x0000_t136" alt="" style="position:absolute;left:0;text-align:left;margin-left:0;margin-top:0;width:474.6pt;height:284.75pt;rotation:315;z-index:-2516574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5362AA">
        <v:shape id="_x0000_s3202" type="#_x0000_t136" alt="" style="position:absolute;left:0;text-align:left;margin-left:0;margin-top:0;width:474.6pt;height:284.75pt;rotation:315;z-index:-2516574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2ED9B5">
        <v:shape id="_x0000_s3201" type="#_x0000_t136" alt="" style="position:absolute;left:0;text-align:left;margin-left:0;margin-top:0;width:474.6pt;height:284.75pt;rotation:315;z-index:-2516574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8286DA">
        <v:shape id="_x0000_s3200" type="#_x0000_t136" alt="" style="position:absolute;left:0;text-align:left;margin-left:0;margin-top:0;width:474.6pt;height:284.75pt;rotation:315;z-index:-2516574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33FC572">
        <v:shape id="_x0000_s3199" type="#_x0000_t136" alt="" style="position:absolute;left:0;text-align:left;margin-left:0;margin-top:0;width:474.6pt;height:284.75pt;rotation:315;z-index:-2516574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F663D9E">
        <v:shape id="_x0000_s3198" type="#_x0000_t136" alt="" style="position:absolute;left:0;text-align:left;margin-left:0;margin-top:0;width:474.6pt;height:284.75pt;rotation:315;z-index:-2516574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BC95032">
        <v:shape id="_x0000_s3197" type="#_x0000_t136" alt="" style="position:absolute;left:0;text-align:left;margin-left:0;margin-top:0;width:474.6pt;height:284.75pt;rotation:315;z-index:-2516574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FC67966">
        <v:shape id="_x0000_s3196" type="#_x0000_t136" alt="" style="position:absolute;left:0;text-align:left;margin-left:0;margin-top:0;width:474.6pt;height:284.75pt;rotation:315;z-index:-2516574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9ECC025">
        <v:shape id="_x0000_s3195" type="#_x0000_t136" alt="" style="position:absolute;left:0;text-align:left;margin-left:0;margin-top:0;width:474.6pt;height:284.75pt;rotation:315;z-index:-2516574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CEB22A">
        <v:shape id="_x0000_s3194" type="#_x0000_t136" alt="" style="position:absolute;left:0;text-align:left;margin-left:0;margin-top:0;width:474.6pt;height:284.75pt;rotation:315;z-index:-2516574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592AD9C">
        <v:shape id="_x0000_s3193" type="#_x0000_t136" alt="" style="position:absolute;left:0;text-align:left;margin-left:0;margin-top:0;width:474.6pt;height:284.75pt;rotation:315;z-index:-2516574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5AF122E">
        <v:shape id="_x0000_s3192" type="#_x0000_t136" alt="" style="position:absolute;left:0;text-align:left;margin-left:0;margin-top:0;width:474.6pt;height:284.75pt;rotation:315;z-index:-2516574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6FE294A">
        <v:shape id="_x0000_s3191" type="#_x0000_t136" alt="" style="position:absolute;left:0;text-align:left;margin-left:0;margin-top:0;width:474.6pt;height:284.75pt;rotation:315;z-index:-2516574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458D9B">
        <v:shape id="_x0000_s3190" type="#_x0000_t136" alt="" style="position:absolute;left:0;text-align:left;margin-left:0;margin-top:0;width:474.6pt;height:284.75pt;rotation:315;z-index:-2516574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D158E1B">
        <v:shape id="_x0000_s3189" type="#_x0000_t136" alt="" style="position:absolute;left:0;text-align:left;margin-left:0;margin-top:0;width:474.6pt;height:284.75pt;rotation:315;z-index:-2516574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FB402C7">
        <v:shape id="_x0000_s3188" type="#_x0000_t136" alt="" style="position:absolute;left:0;text-align:left;margin-left:0;margin-top:0;width:474.6pt;height:284.75pt;rotation:315;z-index:-2516574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DEC3F5A">
        <v:shape id="_x0000_s3187" type="#_x0000_t136" alt="" style="position:absolute;left:0;text-align:left;margin-left:0;margin-top:0;width:474.6pt;height:284.75pt;rotation:315;z-index:-2516574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E52A6F">
        <v:shape id="_x0000_s3186" type="#_x0000_t136" alt="" style="position:absolute;left:0;text-align:left;margin-left:0;margin-top:0;width:474.6pt;height:284.75pt;rotation:315;z-index:-2516574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7D11FBC">
        <v:shape id="_x0000_s3185" type="#_x0000_t136" alt="" style="position:absolute;left:0;text-align:left;margin-left:0;margin-top:0;width:474.6pt;height:284.75pt;rotation:315;z-index:-2516575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44CA7E">
        <v:shape id="_x0000_s3184" type="#_x0000_t136" alt="" style="position:absolute;left:0;text-align:left;margin-left:0;margin-top:0;width:474.6pt;height:284.75pt;rotation:315;z-index:-2516575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F0236B">
        <v:shape id="_x0000_s3183" type="#_x0000_t136" alt="" style="position:absolute;left:0;text-align:left;margin-left:0;margin-top:0;width:474.6pt;height:284.75pt;rotation:315;z-index:-2516575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3D363FD">
        <v:shape id="_x0000_s3182" type="#_x0000_t136" alt="" style="position:absolute;left:0;text-align:left;margin-left:0;margin-top:0;width:474.6pt;height:284.75pt;rotation:315;z-index:-2516575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D05C1F">
        <v:shape id="_x0000_s3181" type="#_x0000_t136" alt="" style="position:absolute;left:0;text-align:left;margin-left:0;margin-top:0;width:474.6pt;height:284.75pt;rotation:315;z-index:-2516575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9FD6FC9">
        <v:shape id="_x0000_s3180" type="#_x0000_t136" alt="" style="position:absolute;left:0;text-align:left;margin-left:0;margin-top:0;width:474.6pt;height:284.75pt;rotation:315;z-index:-2516575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6B1255">
        <v:shape id="_x0000_s3179" type="#_x0000_t136" alt="" style="position:absolute;left:0;text-align:left;margin-left:0;margin-top:0;width:474.6pt;height:284.75pt;rotation:315;z-index:-2516575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E26B11">
        <v:shape id="_x0000_s3178" type="#_x0000_t136" alt="" style="position:absolute;left:0;text-align:left;margin-left:0;margin-top:0;width:474.6pt;height:284.75pt;rotation:315;z-index:-2516575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0F3B07">
        <v:shape id="_x0000_s3177" type="#_x0000_t136" alt="" style="position:absolute;left:0;text-align:left;margin-left:0;margin-top:0;width:474.6pt;height:284.75pt;rotation:315;z-index:-2516575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41CE98C">
        <v:shape id="_x0000_s3176" type="#_x0000_t136" alt="" style="position:absolute;left:0;text-align:left;margin-left:0;margin-top:0;width:474.6pt;height:284.75pt;rotation:315;z-index:-2516575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1475F58">
        <v:shape id="_x0000_s3175" type="#_x0000_t136" alt="" style="position:absolute;left:0;text-align:left;margin-left:0;margin-top:0;width:474.6pt;height:284.75pt;rotation:315;z-index:-2516575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BA6B425">
        <v:shape id="_x0000_s3174" type="#_x0000_t136" alt="" style="position:absolute;left:0;text-align:left;margin-left:0;margin-top:0;width:474.6pt;height:284.75pt;rotation:315;z-index:-2516575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320FAA1">
        <v:shape id="_x0000_s3173" type="#_x0000_t136" alt="" style="position:absolute;left:0;text-align:left;margin-left:0;margin-top:0;width:474.6pt;height:284.75pt;rotation:315;z-index:-2516575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90CB97">
        <v:shape id="_x0000_s3172" type="#_x0000_t136" alt="" style="position:absolute;left:0;text-align:left;margin-left:0;margin-top:0;width:474.6pt;height:284.75pt;rotation:315;z-index:-2516575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1A1D6D9">
        <v:shape id="_x0000_s3171" type="#_x0000_t136" alt="" style="position:absolute;left:0;text-align:left;margin-left:0;margin-top:0;width:474.6pt;height:284.75pt;rotation:315;z-index:-2516575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346A53">
        <v:shape id="_x0000_s3170" type="#_x0000_t136" alt="" style="position:absolute;left:0;text-align:left;margin-left:0;margin-top:0;width:474.6pt;height:284.75pt;rotation:315;z-index:-2516575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034671F">
        <v:shape id="_x0000_s3169" type="#_x0000_t136" alt="" style="position:absolute;left:0;text-align:left;margin-left:0;margin-top:0;width:474.6pt;height:284.75pt;rotation:315;z-index:-2516575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17B525A">
        <v:shape id="_x0000_s3168" type="#_x0000_t136" alt="" style="position:absolute;left:0;text-align:left;margin-left:0;margin-top:0;width:474.6pt;height:284.75pt;rotation:315;z-index:-2516575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DD36C8E">
        <v:shape id="_x0000_s3167" type="#_x0000_t136" alt="" style="position:absolute;left:0;text-align:left;margin-left:0;margin-top:0;width:474.6pt;height:284.75pt;rotation:315;z-index:-2516575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DFD274">
        <v:shape id="_x0000_s3166" type="#_x0000_t136" alt="" style="position:absolute;left:0;text-align:left;margin-left:0;margin-top:0;width:474.6pt;height:284.75pt;rotation:315;z-index:-2516575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0B637C0">
        <v:shape id="_x0000_s3165" type="#_x0000_t136" alt="" style="position:absolute;left:0;text-align:left;margin-left:0;margin-top:0;width:474.6pt;height:284.75pt;rotation:315;z-index:-2516575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9987D5">
        <v:shape id="_x0000_s3164" type="#_x0000_t136" alt="" style="position:absolute;left:0;text-align:left;margin-left:0;margin-top:0;width:474.6pt;height:284.75pt;rotation:315;z-index:-2516575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52D653A">
        <v:shape id="_x0000_s3163" type="#_x0000_t136" alt="" style="position:absolute;left:0;text-align:left;margin-left:0;margin-top:0;width:474.6pt;height:284.75pt;rotation:315;z-index:-2516575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6D6EEB">
        <v:shape id="_x0000_s3162" type="#_x0000_t136" alt="" style="position:absolute;left:0;text-align:left;margin-left:0;margin-top:0;width:474.6pt;height:284.75pt;rotation:315;z-index:-2516575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C18281">
        <v:shape id="_x0000_s3161" type="#_x0000_t136" alt="" style="position:absolute;left:0;text-align:left;margin-left:0;margin-top:0;width:474.6pt;height:284.75pt;rotation:315;z-index:-2516575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DAA91B">
        <v:shape id="_x0000_s3160" type="#_x0000_t136" alt="" style="position:absolute;left:0;text-align:left;margin-left:0;margin-top:0;width:474.6pt;height:284.75pt;rotation:315;z-index:-2516575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92E0D3E">
        <v:shape id="_x0000_s3159" type="#_x0000_t136" alt="" style="position:absolute;left:0;text-align:left;margin-left:0;margin-top:0;width:474.6pt;height:284.75pt;rotation:315;z-index:-2516575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7D8BC89">
        <v:shape id="_x0000_s3158" type="#_x0000_t136" alt="" style="position:absolute;left:0;text-align:left;margin-left:0;margin-top:0;width:474.6pt;height:284.75pt;rotation:315;z-index:-2516575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A4DBDF2">
        <v:shape id="_x0000_s3157" type="#_x0000_t136" alt="" style="position:absolute;left:0;text-align:left;margin-left:0;margin-top:0;width:474.6pt;height:284.75pt;rotation:315;z-index:-2516575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6325EB">
        <v:shape id="_x0000_s3156" type="#_x0000_t136" alt="" style="position:absolute;left:0;text-align:left;margin-left:0;margin-top:0;width:474.6pt;height:284.75pt;rotation:315;z-index:-2516575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B9B12A6">
        <v:shape id="_x0000_s3155" type="#_x0000_t136" alt="" style="position:absolute;left:0;text-align:left;margin-left:0;margin-top:0;width:474.6pt;height:284.75pt;rotation:315;z-index:-2516575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185C6D">
        <v:shape id="_x0000_s3154" type="#_x0000_t136" alt="" style="position:absolute;left:0;text-align:left;margin-left:0;margin-top:0;width:474.6pt;height:284.75pt;rotation:315;z-index:-2516575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91281C">
        <v:shape id="_x0000_s3153" type="#_x0000_t136" alt="" style="position:absolute;left:0;text-align:left;margin-left:0;margin-top:0;width:474.6pt;height:284.75pt;rotation:315;z-index:-2516575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CB023AE">
        <v:shape id="_x0000_s3152" type="#_x0000_t136" alt="" style="position:absolute;left:0;text-align:left;margin-left:0;margin-top:0;width:474.6pt;height:284.75pt;rotation:315;z-index:-2516575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6EA7506">
        <v:shape id="_x0000_s3151" type="#_x0000_t136" alt="" style="position:absolute;left:0;text-align:left;margin-left:0;margin-top:0;width:474.6pt;height:284.75pt;rotation:315;z-index:-2516575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3299A24">
        <v:shape id="_x0000_s3150" type="#_x0000_t136" alt="" style="position:absolute;left:0;text-align:left;margin-left:0;margin-top:0;width:474.6pt;height:284.75pt;rotation:315;z-index:-2516575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1C94DFF">
        <v:shape id="_x0000_s3149" type="#_x0000_t136" alt="" style="position:absolute;left:0;text-align:left;margin-left:0;margin-top:0;width:474.6pt;height:284.75pt;rotation:315;z-index:-2516575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2BE8AE5">
        <v:shape id="_x0000_s3148" type="#_x0000_t136" alt="" style="position:absolute;left:0;text-align:left;margin-left:0;margin-top:0;width:474.6pt;height:284.75pt;rotation:315;z-index:-2516575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54441B9">
        <v:shape id="_x0000_s3147" type="#_x0000_t136" alt="" style="position:absolute;left:0;text-align:left;margin-left:0;margin-top:0;width:474.6pt;height:284.75pt;rotation:315;z-index:-2516575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D4932A">
        <v:shape id="_x0000_s3146" type="#_x0000_t136" alt="" style="position:absolute;left:0;text-align:left;margin-left:0;margin-top:0;width:474.6pt;height:284.75pt;rotation:315;z-index:-2516575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BB4F9B8">
        <v:shape id="_x0000_s3145" type="#_x0000_t136" alt="" style="position:absolute;left:0;text-align:left;margin-left:0;margin-top:0;width:474.6pt;height:284.75pt;rotation:315;z-index:-2516575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20E31B8">
        <v:shape id="_x0000_s3144" type="#_x0000_t136" alt="" style="position:absolute;left:0;text-align:left;margin-left:0;margin-top:0;width:474.6pt;height:284.75pt;rotation:315;z-index:-2516575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D07A97F">
        <v:shape id="_x0000_s3143" type="#_x0000_t136" alt="" style="position:absolute;left:0;text-align:left;margin-left:0;margin-top:0;width:474.6pt;height:284.75pt;rotation:315;z-index:-2516575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AC5B489">
        <v:shape id="_x0000_s3142" type="#_x0000_t136" alt="" style="position:absolute;left:0;text-align:left;margin-left:0;margin-top:0;width:474.6pt;height:284.75pt;rotation:315;z-index:-2516575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D697E6B">
        <v:shape id="_x0000_s3141" type="#_x0000_t136" alt="" style="position:absolute;left:0;text-align:left;margin-left:0;margin-top:0;width:474.6pt;height:284.75pt;rotation:315;z-index:-2516575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9988978">
        <v:shape id="_x0000_s3140" type="#_x0000_t136" alt="" style="position:absolute;left:0;text-align:left;margin-left:0;margin-top:0;width:474.6pt;height:284.75pt;rotation:315;z-index:-2516575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4111B08">
        <v:shape id="_x0000_s3139" type="#_x0000_t136" alt="" style="position:absolute;left:0;text-align:left;margin-left:0;margin-top:0;width:474.6pt;height:284.75pt;rotation:315;z-index:-2516575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33423AD">
        <v:shape id="_x0000_s3138" type="#_x0000_t136" alt="" style="position:absolute;left:0;text-align:left;margin-left:0;margin-top:0;width:474.6pt;height:284.75pt;rotation:315;z-index:-2516575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114EAEC">
        <v:shape id="_x0000_s3137" type="#_x0000_t136" alt="" style="position:absolute;left:0;text-align:left;margin-left:0;margin-top:0;width:474.6pt;height:284.75pt;rotation:315;z-index:-2516575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6D0CEEE">
        <v:shape id="_x0000_s3136" type="#_x0000_t136" alt="" style="position:absolute;left:0;text-align:left;margin-left:0;margin-top:0;width:474.6pt;height:284.75pt;rotation:315;z-index:-2516576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221702F">
        <v:shape id="_x0000_s3135" type="#_x0000_t136" alt="" style="position:absolute;left:0;text-align:left;margin-left:0;margin-top:0;width:474.6pt;height:284.75pt;rotation:315;z-index:-2516576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B72665">
        <v:shape id="_x0000_s3134" type="#_x0000_t136" alt="" style="position:absolute;left:0;text-align:left;margin-left:0;margin-top:0;width:474.6pt;height:284.75pt;rotation:315;z-index:-2516576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AFE89D">
        <v:shape id="_x0000_s3133" type="#_x0000_t136" alt="" style="position:absolute;left:0;text-align:left;margin-left:0;margin-top:0;width:474.6pt;height:284.75pt;rotation:315;z-index:-2516576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03D5255">
        <v:shape id="_x0000_s3132" type="#_x0000_t136" alt="" style="position:absolute;left:0;text-align:left;margin-left:0;margin-top:0;width:474.6pt;height:284.75pt;rotation:315;z-index:-2516576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356599">
        <v:shape id="_x0000_s3131" type="#_x0000_t136" alt="" style="position:absolute;left:0;text-align:left;margin-left:0;margin-top:0;width:474.6pt;height:284.75pt;rotation:315;z-index:-2516576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06A90A7">
        <v:shape id="_x0000_s3130" type="#_x0000_t136" alt="" style="position:absolute;left:0;text-align:left;margin-left:0;margin-top:0;width:474.6pt;height:284.75pt;rotation:315;z-index:-2516576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5353F20">
        <v:shape id="_x0000_s3129" type="#_x0000_t136" alt="" style="position:absolute;left:0;text-align:left;margin-left:0;margin-top:0;width:474.6pt;height:284.75pt;rotation:315;z-index:-2516576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F89FBFD">
        <v:shape id="_x0000_s3128" type="#_x0000_t136" alt="" style="position:absolute;left:0;text-align:left;margin-left:0;margin-top:0;width:474.6pt;height:284.75pt;rotation:315;z-index:-2516576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767B77">
        <v:shape id="_x0000_s3127" type="#_x0000_t136" alt="" style="position:absolute;left:0;text-align:left;margin-left:0;margin-top:0;width:474.6pt;height:284.75pt;rotation:315;z-index:-2516576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998AD07">
        <v:shape id="_x0000_s3126" type="#_x0000_t136" alt="" style="position:absolute;left:0;text-align:left;margin-left:0;margin-top:0;width:474.6pt;height:284.75pt;rotation:315;z-index:-2516576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DF86092">
        <v:shape id="_x0000_s3125" type="#_x0000_t136" alt="" style="position:absolute;left:0;text-align:left;margin-left:0;margin-top:0;width:474.6pt;height:284.75pt;rotation:315;z-index:-2516576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19EC734">
        <v:shape id="_x0000_s3124" type="#_x0000_t136" alt="" style="position:absolute;left:0;text-align:left;margin-left:0;margin-top:0;width:474.6pt;height:284.75pt;rotation:315;z-index:-2516576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003C23">
        <v:shape id="_x0000_s3123" type="#_x0000_t136" alt="" style="position:absolute;left:0;text-align:left;margin-left:0;margin-top:0;width:474.6pt;height:284.75pt;rotation:315;z-index:-2516576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57A21AC">
        <v:shape id="_x0000_s3122" type="#_x0000_t136" alt="" style="position:absolute;left:0;text-align:left;margin-left:0;margin-top:0;width:474.6pt;height:284.75pt;rotation:315;z-index:-2516576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378660F">
        <v:shape id="_x0000_s3121" type="#_x0000_t136" alt="" style="position:absolute;left:0;text-align:left;margin-left:0;margin-top:0;width:474.6pt;height:284.75pt;rotation:315;z-index:-2516576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4E39FD">
        <v:shape id="_x0000_s3120" type="#_x0000_t136" alt="" style="position:absolute;left:0;text-align:left;margin-left:0;margin-top:0;width:474.6pt;height:284.75pt;rotation:315;z-index:-2516576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0AA467">
        <v:shape id="_x0000_s3119" type="#_x0000_t136" alt="" style="position:absolute;left:0;text-align:left;margin-left:0;margin-top:0;width:474.6pt;height:284.75pt;rotation:315;z-index:-2516576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AFAE19">
        <v:shape id="_x0000_s3118" type="#_x0000_t136" alt="" style="position:absolute;left:0;text-align:left;margin-left:0;margin-top:0;width:474.6pt;height:284.75pt;rotation:315;z-index:-2516576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A4D78E7">
        <v:shape id="_x0000_s3117" type="#_x0000_t136" alt="" style="position:absolute;left:0;text-align:left;margin-left:0;margin-top:0;width:474.6pt;height:284.75pt;rotation:315;z-index:-2516576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209551D">
        <v:shape id="_x0000_s3116" type="#_x0000_t136" alt="" style="position:absolute;left:0;text-align:left;margin-left:0;margin-top:0;width:474.6pt;height:284.75pt;rotation:315;z-index:-2516576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ED26E7">
        <v:shape id="_x0000_s3115" type="#_x0000_t136" alt="" style="position:absolute;left:0;text-align:left;margin-left:0;margin-top:0;width:474.6pt;height:284.75pt;rotation:315;z-index:-2516576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F1CAB76">
        <v:shape id="_x0000_s3114" type="#_x0000_t136" alt="" style="position:absolute;left:0;text-align:left;margin-left:0;margin-top:0;width:474.6pt;height:284.75pt;rotation:315;z-index:-2516576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E220389">
        <v:shape id="_x0000_s3113" type="#_x0000_t136" alt="" style="position:absolute;left:0;text-align:left;margin-left:0;margin-top:0;width:474.6pt;height:284.75pt;rotation:315;z-index:-2516576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20899D6">
        <v:shape id="_x0000_s3112" type="#_x0000_t136" alt="" style="position:absolute;left:0;text-align:left;margin-left:0;margin-top:0;width:474.6pt;height:284.75pt;rotation:315;z-index:-2516576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0F07495">
        <v:shape id="_x0000_s3111" type="#_x0000_t136" alt="" style="position:absolute;left:0;text-align:left;margin-left:0;margin-top:0;width:474.6pt;height:284.75pt;rotation:315;z-index:-2516576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C2D3F37">
        <v:shape id="_x0000_s3110" type="#_x0000_t136" alt="" style="position:absolute;left:0;text-align:left;margin-left:0;margin-top:0;width:474.6pt;height:284.75pt;rotation:315;z-index:-2516576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7091400">
        <v:shape id="_x0000_s3109" type="#_x0000_t136" alt="" style="position:absolute;left:0;text-align:left;margin-left:0;margin-top:0;width:474.6pt;height:284.75pt;rotation:315;z-index:-2516576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2E872E">
        <v:shape id="_x0000_s3108" type="#_x0000_t136" alt="" style="position:absolute;left:0;text-align:left;margin-left:0;margin-top:0;width:474.6pt;height:284.75pt;rotation:315;z-index:-2516576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A6B03A0">
        <v:shape id="_x0000_s3107" type="#_x0000_t136" alt="" style="position:absolute;left:0;text-align:left;margin-left:0;margin-top:0;width:474.6pt;height:284.75pt;rotation:315;z-index:-2516576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10D0CE">
        <v:shape id="_x0000_s3106" type="#_x0000_t136" alt="" style="position:absolute;left:0;text-align:left;margin-left:0;margin-top:0;width:474.6pt;height:284.75pt;rotation:315;z-index:-2516576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63F952E">
        <v:shape id="_x0000_s3105" type="#_x0000_t136" alt="" style="position:absolute;left:0;text-align:left;margin-left:0;margin-top:0;width:474.6pt;height:284.75pt;rotation:315;z-index:-2516576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1463CB0">
        <v:shape id="_x0000_s3104" type="#_x0000_t136" alt="" style="position:absolute;left:0;text-align:left;margin-left:0;margin-top:0;width:474.6pt;height:284.75pt;rotation:315;z-index:-2516576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9316630">
        <v:shape id="_x0000_s3103" type="#_x0000_t136" alt="" style="position:absolute;left:0;text-align:left;margin-left:0;margin-top:0;width:474.6pt;height:284.75pt;rotation:315;z-index:-2516576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B224399">
        <v:shape id="_x0000_s3102" type="#_x0000_t136" alt="" style="position:absolute;left:0;text-align:left;margin-left:0;margin-top:0;width:474.6pt;height:284.75pt;rotation:315;z-index:-2516576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FF41D7">
        <v:shape id="_x0000_s3101" type="#_x0000_t136" alt="" style="position:absolute;left:0;text-align:left;margin-left:0;margin-top:0;width:474.6pt;height:284.75pt;rotation:315;z-index:-2516576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5C7D0B">
        <v:shape id="_x0000_s3100" type="#_x0000_t136" alt="" style="position:absolute;left:0;text-align:left;margin-left:0;margin-top:0;width:474.6pt;height:284.75pt;rotation:315;z-index:-2516576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3FA1C7E">
        <v:shape id="_x0000_s3099" type="#_x0000_t136" alt="" style="position:absolute;left:0;text-align:left;margin-left:0;margin-top:0;width:474.6pt;height:284.75pt;rotation:315;z-index:-2516576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A65C3A">
        <v:shape id="_x0000_s3098" type="#_x0000_t136" alt="" style="position:absolute;left:0;text-align:left;margin-left:0;margin-top:0;width:474.6pt;height:284.75pt;rotation:315;z-index:-2516576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391C6C8">
        <v:shape id="_x0000_s3097" type="#_x0000_t136" alt="" style="position:absolute;left:0;text-align:left;margin-left:0;margin-top:0;width:474.6pt;height:284.75pt;rotation:315;z-index:-2516576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C1B4542">
        <v:shape id="_x0000_s3096" type="#_x0000_t136" alt="" style="position:absolute;left:0;text-align:left;margin-left:0;margin-top:0;width:474.6pt;height:284.75pt;rotation:315;z-index:-2516576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CD3955D">
        <v:shape id="_x0000_s3095" type="#_x0000_t136" alt="" style="position:absolute;left:0;text-align:left;margin-left:0;margin-top:0;width:474.6pt;height:284.75pt;rotation:315;z-index:-2516576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0F1EB70">
        <v:shape id="_x0000_s3094" type="#_x0000_t136" alt="" style="position:absolute;left:0;text-align:left;margin-left:0;margin-top:0;width:474.6pt;height:284.75pt;rotation:315;z-index:-2516576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A63DA6B">
        <v:shape id="_x0000_s3093" type="#_x0000_t136" alt="" style="position:absolute;left:0;text-align:left;margin-left:0;margin-top:0;width:474.6pt;height:284.75pt;rotation:315;z-index:-2516576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440D81E">
        <v:shape id="_x0000_s3092" type="#_x0000_t136" alt="" style="position:absolute;left:0;text-align:left;margin-left:0;margin-top:0;width:474.6pt;height:284.75pt;rotation:315;z-index:-2516576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4229BC5">
        <v:shape id="_x0000_s3091" type="#_x0000_t136" alt="" style="position:absolute;left:0;text-align:left;margin-left:0;margin-top:0;width:474.6pt;height:284.75pt;rotation:315;z-index:-2516576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5F5FE84">
        <v:shape id="_x0000_s3090" type="#_x0000_t136" alt="" style="position:absolute;left:0;text-align:left;margin-left:0;margin-top:0;width:474.6pt;height:284.75pt;rotation:315;z-index:-2516576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D4ED551">
        <v:shape id="_x0000_s3089" type="#_x0000_t136" alt="" style="position:absolute;left:0;text-align:left;margin-left:0;margin-top:0;width:474.6pt;height:284.75pt;rotation:315;z-index:-2516576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D03AF65">
        <v:shape id="_x0000_s3088" type="#_x0000_t136" alt="" style="position:absolute;left:0;text-align:left;margin-left:0;margin-top:0;width:474.6pt;height:284.75pt;rotation:315;z-index:-2516577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7CA6F9D">
        <v:shape id="_x0000_s3087" type="#_x0000_t136" alt="" style="position:absolute;left:0;text-align:left;margin-left:0;margin-top:0;width:474.6pt;height:284.75pt;rotation:315;z-index:-2516577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6580DB">
        <v:shape id="_x0000_s3086" type="#_x0000_t136" alt="" style="position:absolute;left:0;text-align:left;margin-left:0;margin-top:0;width:474.6pt;height:284.75pt;rotation:315;z-index:-2516577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C6842D5">
        <v:shape id="_x0000_s3085" type="#_x0000_t136" alt="" style="position:absolute;left:0;text-align:left;margin-left:0;margin-top:0;width:474.6pt;height:284.75pt;rotation:315;z-index:-2516577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58251E7">
        <v:shape id="_x0000_s3084" type="#_x0000_t136" alt="" style="position:absolute;left:0;text-align:left;margin-left:0;margin-top:0;width:474.6pt;height:284.75pt;rotation:315;z-index:-2516577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9E6583">
        <v:shape id="_x0000_s3083" type="#_x0000_t136" alt="" style="position:absolute;left:0;text-align:left;margin-left:0;margin-top:0;width:474.6pt;height:284.75pt;rotation:315;z-index:-2516577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1099164">
        <v:shape id="_x0000_s3082" type="#_x0000_t136" alt="" style="position:absolute;left:0;text-align:left;margin-left:0;margin-top:0;width:474.6pt;height:284.75pt;rotation:315;z-index:-2516577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996D02">
        <v:shape id="_x0000_s3081" type="#_x0000_t136" alt="" style="position:absolute;left:0;text-align:left;margin-left:0;margin-top:0;width:474.6pt;height:284.75pt;rotation:315;z-index:-2516577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365E3A">
        <v:shape id="_x0000_s3080" type="#_x0000_t136" alt="" style="position:absolute;left:0;text-align:left;margin-left:0;margin-top:0;width:474.6pt;height:284.75pt;rotation:315;z-index:-2516577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32F0EC0">
        <v:shape id="_x0000_s3079" type="#_x0000_t136" alt="" style="position:absolute;left:0;text-align:left;margin-left:0;margin-top:0;width:474.6pt;height:284.75pt;rotation:315;z-index:-2516577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3B6AC3B">
        <v:shape id="_x0000_s3078" type="#_x0000_t136" alt="" style="position:absolute;left:0;text-align:left;margin-left:0;margin-top:0;width:474.6pt;height:284.75pt;rotation:315;z-index:-2516577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4661C6C">
        <v:shape id="_x0000_s3077" type="#_x0000_t136" alt="" style="position:absolute;left:0;text-align:left;margin-left:0;margin-top:0;width:474.6pt;height:284.75pt;rotation:315;z-index:-2516577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36D955A">
        <v:shape id="_x0000_s3076" type="#_x0000_t136" alt="" style="position:absolute;left:0;text-align:left;margin-left:0;margin-top:0;width:474.6pt;height:284.75pt;rotation:315;z-index:-2516577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CCB595">
        <v:shape id="_x0000_s3075" type="#_x0000_t136" alt="" style="position:absolute;left:0;text-align:left;margin-left:0;margin-top:0;width:474.6pt;height:284.75pt;rotation:315;z-index:-2516577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53E8A32">
        <v:shape id="_x0000_s3074" type="#_x0000_t136" alt="" style="position:absolute;left:0;text-align:left;margin-left:0;margin-top:0;width:474.6pt;height:284.75pt;rotation:315;z-index:-2516577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E962103">
        <v:shape id="_x0000_s3073" type="#_x0000_t136" alt="" style="position:absolute;left:0;text-align:left;margin-left:0;margin-top:0;width:474.6pt;height:284.75pt;rotation:315;z-index:-2516577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6A09D7">
        <v:shape id="_x0000_s3072" type="#_x0000_t136" alt="" style="position:absolute;left:0;text-align:left;margin-left:0;margin-top:0;width:474.6pt;height:284.75pt;rotation:315;z-index:-2516577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06FCFED">
        <v:shape id="_x0000_s2047" type="#_x0000_t136" alt="" style="position:absolute;left:0;text-align:left;margin-left:0;margin-top:0;width:474.6pt;height:284.75pt;rotation:315;z-index:-2516577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15BA98C">
        <v:shape id="_x0000_s2046" type="#_x0000_t136" alt="" style="position:absolute;left:0;text-align:left;margin-left:0;margin-top:0;width:474.6pt;height:284.75pt;rotation:315;z-index:-2516577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B745EAA">
        <v:shape id="_x0000_s2045" type="#_x0000_t136" alt="" style="position:absolute;left:0;text-align:left;margin-left:0;margin-top:0;width:474.6pt;height:284.75pt;rotation:315;z-index:-2516577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7BE4E19">
        <v:shape id="_x0000_s2044" type="#_x0000_t136" alt="" style="position:absolute;left:0;text-align:left;margin-left:0;margin-top:0;width:474.6pt;height:284.75pt;rotation:315;z-index:-2516577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CED37E5">
        <v:shape id="_x0000_s2043" type="#_x0000_t136" alt="" style="position:absolute;left:0;text-align:left;margin-left:0;margin-top:0;width:474.6pt;height:284.75pt;rotation:315;z-index:-2516577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CDAF00">
        <v:shape id="_x0000_s2042" type="#_x0000_t136" alt="" style="position:absolute;left:0;text-align:left;margin-left:0;margin-top:0;width:474.6pt;height:284.75pt;rotation:315;z-index:-2516577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4188F1">
        <v:shape id="_x0000_s2041" type="#_x0000_t136" alt="" style="position:absolute;left:0;text-align:left;margin-left:0;margin-top:0;width:474.6pt;height:284.75pt;rotation:315;z-index:-2516577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36457A">
        <v:shape id="_x0000_s2040" type="#_x0000_t136" alt="" style="position:absolute;left:0;text-align:left;margin-left:0;margin-top:0;width:474.6pt;height:284.75pt;rotation:315;z-index:-2516577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4BC4933">
        <v:shape id="_x0000_s2039" type="#_x0000_t136" alt="" style="position:absolute;left:0;text-align:left;margin-left:0;margin-top:0;width:474.6pt;height:284.75pt;rotation:315;z-index:-2516577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A413033">
        <v:shape id="_x0000_s2038" type="#_x0000_t136" alt="" style="position:absolute;left:0;text-align:left;margin-left:0;margin-top:0;width:474.6pt;height:284.75pt;rotation:315;z-index:-2516577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538BF9">
        <v:shape id="_x0000_s2037" type="#_x0000_t136" alt="" style="position:absolute;left:0;text-align:left;margin-left:0;margin-top:0;width:474.6pt;height:284.75pt;rotation:315;z-index:-2516577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8C1EBCB">
        <v:shape id="_x0000_s2036" type="#_x0000_t136" alt="" style="position:absolute;left:0;text-align:left;margin-left:0;margin-top:0;width:474.6pt;height:284.75pt;rotation:315;z-index:-2516577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979F13F">
        <v:shape id="_x0000_s2035" type="#_x0000_t136" alt="" style="position:absolute;left:0;text-align:left;margin-left:0;margin-top:0;width:474.6pt;height:284.75pt;rotation:315;z-index:-251657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264E94">
        <v:shape id="_x0000_s2034" type="#_x0000_t136" alt="" style="position:absolute;left:0;text-align:left;margin-left:0;margin-top:0;width:474.6pt;height:284.75pt;rotation:315;z-index:-2516577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1EC8C2E">
        <v:shape id="_x0000_s2033" type="#_x0000_t136" alt="" style="position:absolute;left:0;text-align:left;margin-left:0;margin-top:0;width:474.6pt;height:284.75pt;rotation:315;z-index:-2516577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2A7D56">
        <v:shape id="_x0000_s2032" type="#_x0000_t136" alt="" style="position:absolute;left:0;text-align:left;margin-left:0;margin-top:0;width:474.6pt;height:284.75pt;rotation:315;z-index:-2516577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35235E">
        <v:shape id="_x0000_s2031" type="#_x0000_t136" alt="" style="position:absolute;left:0;text-align:left;margin-left:0;margin-top:0;width:474.6pt;height:284.75pt;rotation:315;z-index:-2516577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381F1AC">
        <v:shape id="_x0000_s2030" type="#_x0000_t136" alt="" style="position:absolute;left:0;text-align:left;margin-left:0;margin-top:0;width:474.6pt;height:284.75pt;rotation:315;z-index:-2516577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6E9EC5E">
        <v:shape id="_x0000_s2029" type="#_x0000_t136" alt="" style="position:absolute;left:0;text-align:left;margin-left:0;margin-top:0;width:474.6pt;height:284.75pt;rotation:315;z-index:-2516577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1484FF">
        <v:shape id="_x0000_s2028" type="#_x0000_t136" alt="" style="position:absolute;left:0;text-align:left;margin-left:0;margin-top:0;width:474.6pt;height:284.75pt;rotation:315;z-index:-2516577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12FF123">
        <v:shape id="_x0000_s2027" type="#_x0000_t136" alt="" style="position:absolute;left:0;text-align:left;margin-left:0;margin-top:0;width:474.6pt;height:284.75pt;rotation:315;z-index:-2516577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0BBEC5">
        <v:shape id="_x0000_s2026" type="#_x0000_t136" alt="" style="position:absolute;left:0;text-align:left;margin-left:0;margin-top:0;width:474.6pt;height:284.75pt;rotation:315;z-index:-2516577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855158">
        <v:shape id="_x0000_s2025" type="#_x0000_t136" alt="" style="position:absolute;left:0;text-align:left;margin-left:0;margin-top:0;width:474.6pt;height:284.75pt;rotation:315;z-index:-2516577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71A35B5">
        <v:shape id="_x0000_s2024" type="#_x0000_t136" alt="" style="position:absolute;left:0;text-align:left;margin-left:0;margin-top:0;width:474.6pt;height:284.75pt;rotation:315;z-index:-2516577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94C6730">
        <v:shape id="_x0000_s2023" type="#_x0000_t136" alt="" style="position:absolute;left:0;text-align:left;margin-left:0;margin-top:0;width:474.6pt;height:284.75pt;rotation:315;z-index:-2516577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51F8366">
        <v:shape id="_x0000_s2022" type="#_x0000_t136" alt="" style="position:absolute;left:0;text-align:left;margin-left:0;margin-top:0;width:474.6pt;height:284.75pt;rotation:315;z-index:-2516577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8EC51A7">
        <v:shape id="_x0000_s2021" type="#_x0000_t136" alt="" style="position:absolute;left:0;text-align:left;margin-left:0;margin-top:0;width:474.6pt;height:284.75pt;rotation:315;z-index:-2516577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88FB7C">
        <v:shape id="_x0000_s2020" type="#_x0000_t136" alt="" style="position:absolute;left:0;text-align:left;margin-left:0;margin-top:0;width:474.6pt;height:284.75pt;rotation:315;z-index:-2516577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A6D8478">
        <v:shape id="_x0000_s2019" type="#_x0000_t136" alt="" style="position:absolute;left:0;text-align:left;margin-left:0;margin-top:0;width:474.6pt;height:284.75pt;rotation:315;z-index:-2516577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D4FF7E">
        <v:shape id="_x0000_s2018" type="#_x0000_t136" alt="" style="position:absolute;left:0;text-align:left;margin-left:0;margin-top:0;width:474.6pt;height:284.75pt;rotation:315;z-index:-2516577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50EB52A">
        <v:shape id="_x0000_s2017" type="#_x0000_t136" alt="" style="position:absolute;left:0;text-align:left;margin-left:0;margin-top:0;width:474.6pt;height:284.75pt;rotation:315;z-index:-2516577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5AD5AD5">
        <v:shape id="_x0000_s2016" type="#_x0000_t136" alt="" style="position:absolute;left:0;text-align:left;margin-left:0;margin-top:0;width:474.6pt;height:284.75pt;rotation:315;z-index:-2516578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335C0C">
        <v:shape id="_x0000_s2015" type="#_x0000_t136" alt="" style="position:absolute;left:0;text-align:left;margin-left:0;margin-top:0;width:474.6pt;height:284.75pt;rotation:315;z-index:-2516578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FE00184">
        <v:shape id="_x0000_s2014" type="#_x0000_t136" alt="" style="position:absolute;left:0;text-align:left;margin-left:0;margin-top:0;width:474.6pt;height:284.75pt;rotation:315;z-index:-2516578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0E19F39">
        <v:shape id="_x0000_s2013" type="#_x0000_t136" alt="" style="position:absolute;left:0;text-align:left;margin-left:0;margin-top:0;width:474.6pt;height:284.75pt;rotation:315;z-index:-2516578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D75588">
        <v:shape id="_x0000_s2012" type="#_x0000_t136" alt="" style="position:absolute;left:0;text-align:left;margin-left:0;margin-top:0;width:474.6pt;height:284.75pt;rotation:315;z-index:-2516578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CCD9020">
        <v:shape id="_x0000_s2011" type="#_x0000_t136" alt="" style="position:absolute;left:0;text-align:left;margin-left:0;margin-top:0;width:474.6pt;height:284.75pt;rotation:315;z-index:-2516578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6BAEF2D">
        <v:shape id="_x0000_s2010" type="#_x0000_t136" alt="" style="position:absolute;left:0;text-align:left;margin-left:0;margin-top:0;width:474.6pt;height:284.75pt;rotation:315;z-index:-2516577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035C3C7">
        <v:shape id="_x0000_s2009" type="#_x0000_t136" alt="" style="position:absolute;left:0;text-align:left;margin-left:0;margin-top:0;width:474.6pt;height:284.75pt;rotation:315;z-index:-2516577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8505FF7">
        <v:shape id="_x0000_s2008" type="#_x0000_t136" alt="" style="position:absolute;left:0;text-align:left;margin-left:0;margin-top:0;width:474.6pt;height:284.75pt;rotation:315;z-index:-2516578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B291E60">
        <v:shape id="_x0000_s2007" type="#_x0000_t136" alt="" style="position:absolute;left:0;text-align:left;margin-left:0;margin-top:0;width:474.6pt;height:284.75pt;rotation:315;z-index:-2516578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D7C1A0">
        <v:shape id="_x0000_s2006" type="#_x0000_t136" alt="" style="position:absolute;left:0;text-align:left;margin-left:0;margin-top:0;width:474.6pt;height:284.75pt;rotation:315;z-index:-2516578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35E2624">
        <v:shape id="_x0000_s2005" type="#_x0000_t136" alt="" style="position:absolute;left:0;text-align:left;margin-left:0;margin-top:0;width:474.6pt;height:284.75pt;rotation:315;z-index:-2516578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3EF32E4">
        <v:shape id="_x0000_s2004" type="#_x0000_t136" alt="" style="position:absolute;left:0;text-align:left;margin-left:0;margin-top:0;width:474.6pt;height:284.75pt;rotation:315;z-index:-2516578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D7F8BCD">
        <v:shape id="_x0000_s2003" type="#_x0000_t136" alt="" style="position:absolute;left:0;text-align:left;margin-left:0;margin-top:0;width:474.6pt;height:284.75pt;rotation:315;z-index:-2516578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E2D8624">
        <v:shape id="_x0000_s2002" type="#_x0000_t136" alt="" style="position:absolute;left:0;text-align:left;margin-left:0;margin-top:0;width:474.6pt;height:284.75pt;rotation:315;z-index:-2516578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BDA2C0">
        <v:shape id="_x0000_s2001" type="#_x0000_t136" alt="" style="position:absolute;left:0;text-align:left;margin-left:0;margin-top:0;width:474.6pt;height:284.75pt;rotation:315;z-index:-2516578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8D8B745">
        <v:shape id="_x0000_s2000" type="#_x0000_t136" alt="" style="position:absolute;left:0;text-align:left;margin-left:0;margin-top:0;width:474.6pt;height:284.75pt;rotation:315;z-index:-2516578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E1691D7">
        <v:shape id="_x0000_s1999" type="#_x0000_t136" alt="" style="position:absolute;left:0;text-align:left;margin-left:0;margin-top:0;width:474.6pt;height:284.75pt;rotation:315;z-index:-2516578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94957E9">
        <v:shape id="_x0000_s1998" type="#_x0000_t136" alt="" style="position:absolute;left:0;text-align:left;margin-left:0;margin-top:0;width:474.6pt;height:284.75pt;rotation:315;z-index:-2516578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B648483">
        <v:shape id="_x0000_s1997" type="#_x0000_t136" alt="" style="position:absolute;left:0;text-align:left;margin-left:0;margin-top:0;width:474.6pt;height:284.75pt;rotation:315;z-index:-2516578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6D163B4">
        <v:shape id="_x0000_s1996" type="#_x0000_t136" alt="" style="position:absolute;left:0;text-align:left;margin-left:0;margin-top:0;width:474.6pt;height:284.75pt;rotation:315;z-index:-2516578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547EC52">
        <v:shape id="_x0000_s1995" type="#_x0000_t136" alt="" style="position:absolute;left:0;text-align:left;margin-left:0;margin-top:0;width:474.6pt;height:284.75pt;rotation:315;z-index:-2516578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C1A68B4">
        <v:shape id="_x0000_s1994" type="#_x0000_t136" alt="" style="position:absolute;left:0;text-align:left;margin-left:0;margin-top:0;width:474.6pt;height:284.75pt;rotation:315;z-index:-2516578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1CF0659">
        <v:shape id="_x0000_s1993" type="#_x0000_t136" alt="" style="position:absolute;left:0;text-align:left;margin-left:0;margin-top:0;width:474.6pt;height:284.75pt;rotation:315;z-index:-2516578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5CCE380">
        <v:shape id="_x0000_s1992" type="#_x0000_t136" alt="" style="position:absolute;left:0;text-align:left;margin-left:0;margin-top:0;width:474.6pt;height:284.75pt;rotation:315;z-index:-2516578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2130393">
        <v:shape id="_x0000_s1991" type="#_x0000_t136" alt="" style="position:absolute;left:0;text-align:left;margin-left:0;margin-top:0;width:474.6pt;height:284.75pt;rotation:315;z-index:-2516578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A58990">
        <v:shape id="_x0000_s1990" type="#_x0000_t136" alt="" style="position:absolute;left:0;text-align:left;margin-left:0;margin-top:0;width:474.6pt;height:284.75pt;rotation:315;z-index:-2516578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1A13110">
        <v:shape id="_x0000_s1989" type="#_x0000_t136" alt="" style="position:absolute;left:0;text-align:left;margin-left:0;margin-top:0;width:474.6pt;height:284.75pt;rotation:315;z-index:-2516578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17107F1">
        <v:shape id="_x0000_s1988" type="#_x0000_t136" alt="" style="position:absolute;left:0;text-align:left;margin-left:0;margin-top:0;width:474.6pt;height:284.75pt;rotation:315;z-index:-2516578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5F092B">
        <v:shape id="_x0000_s1987" type="#_x0000_t136" alt="" style="position:absolute;left:0;text-align:left;margin-left:0;margin-top:0;width:474.6pt;height:284.75pt;rotation:315;z-index:-2516578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DB8F3D9">
        <v:shape id="_x0000_s1986" type="#_x0000_t136" alt="" style="position:absolute;left:0;text-align:left;margin-left:0;margin-top:0;width:474.6pt;height:284.75pt;rotation:315;z-index:-2516578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D9D038F">
        <v:shape id="_x0000_s1985" type="#_x0000_t136" alt="" style="position:absolute;left:0;text-align:left;margin-left:0;margin-top:0;width:474.6pt;height:284.75pt;rotation:315;z-index:-2516578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17FAEAE">
        <v:shape id="_x0000_s1984" type="#_x0000_t136" alt="" style="position:absolute;left:0;text-align:left;margin-left:0;margin-top:0;width:474.6pt;height:284.75pt;rotation:315;z-index:-2516578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D07775">
        <v:shape id="_x0000_s1983" type="#_x0000_t136" alt="" style="position:absolute;left:0;text-align:left;margin-left:0;margin-top:0;width:474.6pt;height:284.75pt;rotation:315;z-index:-2516578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A63028">
        <v:shape id="_x0000_s1982" type="#_x0000_t136" alt="" style="position:absolute;left:0;text-align:left;margin-left:0;margin-top:0;width:474.6pt;height:284.75pt;rotation:315;z-index:-2516578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5F7AC56">
        <v:shape id="_x0000_s1981" type="#_x0000_t136" alt="" style="position:absolute;left:0;text-align:left;margin-left:0;margin-top:0;width:474.6pt;height:284.75pt;rotation:315;z-index:-2516578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939F21B">
        <v:shape id="_x0000_s1980" type="#_x0000_t136" alt="" style="position:absolute;left:0;text-align:left;margin-left:0;margin-top:0;width:474.6pt;height:284.75pt;rotation:315;z-index:-2516578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369532B">
        <v:shape id="_x0000_s1979" type="#_x0000_t136" alt="" style="position:absolute;left:0;text-align:left;margin-left:0;margin-top:0;width:474.6pt;height:284.75pt;rotation:315;z-index:-2516578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8BA2B2D">
        <v:shape id="_x0000_s1978" type="#_x0000_t136" alt="" style="position:absolute;left:0;text-align:left;margin-left:0;margin-top:0;width:474.6pt;height:284.75pt;rotation:315;z-index:-2516578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0F73C7C">
        <v:shape id="_x0000_s1977" type="#_x0000_t136" alt="" style="position:absolute;left:0;text-align:left;margin-left:0;margin-top:0;width:474.6pt;height:284.75pt;rotation:315;z-index:-2516578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6564BE6">
        <v:shape id="_x0000_s1976" type="#_x0000_t136" alt="" style="position:absolute;left:0;text-align:left;margin-left:0;margin-top:0;width:474.6pt;height:284.75pt;rotation:315;z-index:-2516578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8266732">
        <v:shape id="_x0000_s1975" type="#_x0000_t136" alt="" style="position:absolute;left:0;text-align:left;margin-left:0;margin-top:0;width:474.6pt;height:284.75pt;rotation:315;z-index:-2516578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F82EB0C">
        <v:shape id="_x0000_s1974" type="#_x0000_t136" alt="" style="position:absolute;left:0;text-align:left;margin-left:0;margin-top:0;width:474.6pt;height:284.75pt;rotation:315;z-index:-2516578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C7C324F">
        <v:shape id="_x0000_s1973" type="#_x0000_t136" alt="" style="position:absolute;left:0;text-align:left;margin-left:0;margin-top:0;width:474.6pt;height:284.75pt;rotation:315;z-index:-2516578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0CDDD5C">
        <v:shape id="_x0000_s1972" type="#_x0000_t136" alt="" style="position:absolute;left:0;text-align:left;margin-left:0;margin-top:0;width:474.6pt;height:284.75pt;rotation:315;z-index:-2516578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8292883">
        <v:shape id="_x0000_s1971" type="#_x0000_t136" alt="" style="position:absolute;left:0;text-align:left;margin-left:0;margin-top:0;width:474.6pt;height:284.75pt;rotation:315;z-index:-2516578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2DFC2D0">
        <v:shape id="_x0000_s1970" type="#_x0000_t136" alt="" style="position:absolute;left:0;text-align:left;margin-left:0;margin-top:0;width:474.6pt;height:284.75pt;rotation:315;z-index:-2516578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09F393">
        <v:shape id="_x0000_s1969" type="#_x0000_t136" alt="" style="position:absolute;left:0;text-align:left;margin-left:0;margin-top:0;width:474.6pt;height:284.75pt;rotation:315;z-index:-2516578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8A534DE">
        <v:shape id="_x0000_s1968" type="#_x0000_t136" alt="" style="position:absolute;left:0;text-align:left;margin-left:0;margin-top:0;width:474.6pt;height:284.75pt;rotation:315;z-index:-2516579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079B86">
        <v:shape id="_x0000_s1967" type="#_x0000_t136" alt="" style="position:absolute;left:0;text-align:left;margin-left:0;margin-top:0;width:474.6pt;height:284.75pt;rotation:315;z-index:-2516579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8632848">
        <v:shape id="_x0000_s1966" type="#_x0000_t136" alt="" style="position:absolute;left:0;text-align:left;margin-left:0;margin-top:0;width:474.6pt;height:284.75pt;rotation:315;z-index:-2516578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D2CC144">
        <v:shape id="_x0000_s1965" type="#_x0000_t136" alt="" style="position:absolute;left:0;text-align:left;margin-left:0;margin-top:0;width:474.6pt;height:284.75pt;rotation:315;z-index:-2516578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CCDEA2">
        <v:shape id="_x0000_s1964" type="#_x0000_t136" alt="" style="position:absolute;left:0;text-align:left;margin-left:0;margin-top:0;width:474.6pt;height:284.75pt;rotation:315;z-index:-2516578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36FD9D">
        <v:shape id="_x0000_s1963" type="#_x0000_t136" alt="" style="position:absolute;left:0;text-align:left;margin-left:0;margin-top:0;width:474.6pt;height:284.75pt;rotation:315;z-index:-2516578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589B9E">
        <v:shape id="_x0000_s1962" type="#_x0000_t136" alt="" style="position:absolute;left:0;text-align:left;margin-left:0;margin-top:0;width:474.6pt;height:284.75pt;rotation:315;z-index:-2516578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D7C41AC">
        <v:shape id="_x0000_s1961" type="#_x0000_t136" alt="" style="position:absolute;left:0;text-align:left;margin-left:0;margin-top:0;width:474.6pt;height:284.75pt;rotation:315;z-index:-2516578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0F466C">
        <v:shape id="_x0000_s1960" type="#_x0000_t136" alt="" style="position:absolute;left:0;text-align:left;margin-left:0;margin-top:0;width:474.6pt;height:284.75pt;rotation:315;z-index:-2516579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C47A055">
        <v:shape id="_x0000_s1959" type="#_x0000_t136" alt="" style="position:absolute;left:0;text-align:left;margin-left:0;margin-top:0;width:474.6pt;height:284.75pt;rotation:315;z-index:-2516579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3E53FAC">
        <v:shape id="_x0000_s1958" type="#_x0000_t136" alt="" style="position:absolute;left:0;text-align:left;margin-left:0;margin-top:0;width:474.6pt;height:284.75pt;rotation:315;z-index:-2516579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1CC4C5">
        <v:shape id="_x0000_s1957" type="#_x0000_t136" alt="" style="position:absolute;left:0;text-align:left;margin-left:0;margin-top:0;width:474.6pt;height:284.75pt;rotation:315;z-index:-2516579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F4C0DA5">
        <v:shape id="_x0000_s1956" type="#_x0000_t136" alt="" style="position:absolute;left:0;text-align:left;margin-left:0;margin-top:0;width:474.6pt;height:284.75pt;rotation:315;z-index:-2516579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50B59A2">
        <v:shape id="_x0000_s1955" type="#_x0000_t136" alt="" style="position:absolute;left:0;text-align:left;margin-left:0;margin-top:0;width:474.6pt;height:284.75pt;rotation:315;z-index:-2516579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FB81716">
        <v:shape id="_x0000_s1954" type="#_x0000_t136" alt="" style="position:absolute;left:0;text-align:left;margin-left:0;margin-top:0;width:474.6pt;height:284.75pt;rotation:315;z-index:-2516579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1E5914">
        <v:shape id="_x0000_s1953" type="#_x0000_t136" alt="" style="position:absolute;left:0;text-align:left;margin-left:0;margin-top:0;width:474.6pt;height:284.75pt;rotation:315;z-index:-2516579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9E663BB">
        <v:shape id="_x0000_s1952" type="#_x0000_t136" alt="" style="position:absolute;left:0;text-align:left;margin-left:0;margin-top:0;width:474.6pt;height:284.75pt;rotation:315;z-index:-2516579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F5B5D07">
        <v:shape id="_x0000_s1951" type="#_x0000_t136" alt="" style="position:absolute;left:0;text-align:left;margin-left:0;margin-top:0;width:474.6pt;height:284.75pt;rotation:315;z-index:-2516579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FAC142">
        <v:shape id="_x0000_s1950" type="#_x0000_t136" alt="" style="position:absolute;left:0;text-align:left;margin-left:0;margin-top:0;width:474.6pt;height:284.75pt;rotation:315;z-index:-2516579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13868A">
        <v:shape id="_x0000_s1949" type="#_x0000_t136" alt="" style="position:absolute;left:0;text-align:left;margin-left:0;margin-top:0;width:474.6pt;height:284.75pt;rotation:315;z-index:-2516579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1C9E7B8">
        <v:shape id="_x0000_s1948" type="#_x0000_t136" alt="" style="position:absolute;left:0;text-align:left;margin-left:0;margin-top:0;width:474.6pt;height:284.75pt;rotation:315;z-index:-2516579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AD49B63">
        <v:shape id="_x0000_s1947" type="#_x0000_t136" alt="" style="position:absolute;left:0;text-align:left;margin-left:0;margin-top:0;width:474.6pt;height:284.75pt;rotation:315;z-index:-2516579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B0F339C">
        <v:shape id="_x0000_s1946" type="#_x0000_t136" alt="" style="position:absolute;left:0;text-align:left;margin-left:0;margin-top:0;width:474.6pt;height:284.75pt;rotation:315;z-index:-2516579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E13078">
        <v:shape id="_x0000_s1945" type="#_x0000_t136" alt="" style="position:absolute;left:0;text-align:left;margin-left:0;margin-top:0;width:474.6pt;height:284.75pt;rotation:315;z-index:-2516579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0F94EDD">
        <v:shape id="_x0000_s1944" type="#_x0000_t136" alt="" style="position:absolute;left:0;text-align:left;margin-left:0;margin-top:0;width:474.6pt;height:284.75pt;rotation:315;z-index:-2516579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1AD1362">
        <v:shape id="_x0000_s1943" type="#_x0000_t136" alt="" style="position:absolute;left:0;text-align:left;margin-left:0;margin-top:0;width:474.6pt;height:284.75pt;rotation:315;z-index:-2516579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5B51187">
        <v:shape id="_x0000_s1942" type="#_x0000_t136" alt="" style="position:absolute;left:0;text-align:left;margin-left:0;margin-top:0;width:474.6pt;height:284.75pt;rotation:315;z-index:-2516579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56B6B7C">
        <v:shape id="_x0000_s1941" type="#_x0000_t136" alt="" style="position:absolute;left:0;text-align:left;margin-left:0;margin-top:0;width:474.6pt;height:284.75pt;rotation:315;z-index:-2516579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12F71A">
        <v:shape id="_x0000_s1940" type="#_x0000_t136" alt="" style="position:absolute;left:0;text-align:left;margin-left:0;margin-top:0;width:474.6pt;height:284.75pt;rotation:315;z-index:-2516579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0B368C9">
        <v:shape id="_x0000_s1939" type="#_x0000_t136" alt="" style="position:absolute;left:0;text-align:left;margin-left:0;margin-top:0;width:474.6pt;height:284.75pt;rotation:315;z-index:-2516579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EA403B">
        <v:shape id="_x0000_s1938" type="#_x0000_t136" alt="" style="position:absolute;left:0;text-align:left;margin-left:0;margin-top:0;width:474.6pt;height:284.75pt;rotation:315;z-index:-2516579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A5E697">
        <v:shape id="_x0000_s1937" type="#_x0000_t136" alt="" style="position:absolute;left:0;text-align:left;margin-left:0;margin-top:0;width:474.6pt;height:284.75pt;rotation:315;z-index:-2516579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185DE56">
        <v:shape id="_x0000_s1936" type="#_x0000_t136" alt="" style="position:absolute;left:0;text-align:left;margin-left:0;margin-top:0;width:474.6pt;height:284.75pt;rotation:315;z-index:-2516579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F9B200">
        <v:shape id="_x0000_s1935" type="#_x0000_t136" alt="" style="position:absolute;left:0;text-align:left;margin-left:0;margin-top:0;width:474.6pt;height:284.75pt;rotation:315;z-index:-2516579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0385E4E">
        <v:shape id="_x0000_s1934" type="#_x0000_t136" alt="" style="position:absolute;left:0;text-align:left;margin-left:0;margin-top:0;width:474.6pt;height:284.75pt;rotation:315;z-index:-2516579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D8E415E">
        <v:shape id="_x0000_s1933" type="#_x0000_t136" alt="" style="position:absolute;left:0;text-align:left;margin-left:0;margin-top:0;width:474.6pt;height:284.75pt;rotation:315;z-index:-2516579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2C2FEA2">
        <v:shape id="_x0000_s1932" type="#_x0000_t136" alt="" style="position:absolute;left:0;text-align:left;margin-left:0;margin-top:0;width:474.6pt;height:284.75pt;rotation:315;z-index:-2516579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D1427B7">
        <v:shape id="_x0000_s1931" type="#_x0000_t136" alt="" style="position:absolute;left:0;text-align:left;margin-left:0;margin-top:0;width:474.6pt;height:284.75pt;rotation:315;z-index:-2516579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144B067">
        <v:shape id="_x0000_s1930" type="#_x0000_t136" alt="" style="position:absolute;left:0;text-align:left;margin-left:0;margin-top:0;width:474.6pt;height:284.75pt;rotation:315;z-index:-2516579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D46957">
        <v:shape id="_x0000_s1929" type="#_x0000_t136" alt="" style="position:absolute;left:0;text-align:left;margin-left:0;margin-top:0;width:474.6pt;height:284.75pt;rotation:315;z-index:-2516579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DF0FE34">
        <v:shape id="_x0000_s1928" type="#_x0000_t136" alt="" style="position:absolute;left:0;text-align:left;margin-left:0;margin-top:0;width:474.6pt;height:284.75pt;rotation:315;z-index:-2516579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FA5C9D9">
        <v:shape id="_x0000_s1927" type="#_x0000_t136" alt="" style="position:absolute;left:0;text-align:left;margin-left:0;margin-top:0;width:474.6pt;height:284.75pt;rotation:315;z-index:-2516579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E01DE5D">
        <v:shape id="_x0000_s1926" type="#_x0000_t136" alt="" style="position:absolute;left:0;text-align:left;margin-left:0;margin-top:0;width:474.6pt;height:284.75pt;rotation:315;z-index:-2516579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B96345">
        <v:shape id="_x0000_s1925" type="#_x0000_t136" alt="" style="position:absolute;left:0;text-align:left;margin-left:0;margin-top:0;width:474.6pt;height:284.75pt;rotation:315;z-index:-2516579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436F8D1">
        <v:shape id="_x0000_s1924" type="#_x0000_t136" alt="" style="position:absolute;left:0;text-align:left;margin-left:0;margin-top:0;width:474.6pt;height:284.75pt;rotation:315;z-index:-2516579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13BB1D7">
        <v:shape id="_x0000_s1923" type="#_x0000_t136" alt="" style="position:absolute;left:0;text-align:left;margin-left:0;margin-top:0;width:474.6pt;height:284.75pt;rotation:315;z-index:-251657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1539D08">
        <v:shape id="_x0000_s1922" type="#_x0000_t136" alt="" style="position:absolute;left:0;text-align:left;margin-left:0;margin-top:0;width:474.6pt;height:284.75pt;rotation:315;z-index:-2516579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3E43A64">
        <v:shape id="_x0000_s1921" type="#_x0000_t136" alt="" style="position:absolute;left:0;text-align:left;margin-left:0;margin-top:0;width:474.6pt;height:284.75pt;rotation:315;z-index:-2516579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614EF4">
        <v:shape id="_x0000_s1920" type="#_x0000_t136" alt="" style="position:absolute;left:0;text-align:left;margin-left:0;margin-top:0;width:474.6pt;height:284.75pt;rotation:315;z-index:-2516579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9CA7172">
        <v:shape id="_x0000_s1919" type="#_x0000_t136" alt="" style="position:absolute;left:0;text-align:left;margin-left:0;margin-top:0;width:474.6pt;height:284.75pt;rotation:315;z-index:-2516579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A344F29">
        <v:shape id="_x0000_s1918" type="#_x0000_t136" alt="" style="position:absolute;left:0;text-align:left;margin-left:0;margin-top:0;width:474.6pt;height:284.75pt;rotation:315;z-index:-2516579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67AD1B4">
        <v:shape id="_x0000_s1917" type="#_x0000_t136" alt="" style="position:absolute;left:0;text-align:left;margin-left:0;margin-top:0;width:474.6pt;height:284.75pt;rotation:315;z-index:-2516579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80BFA03">
        <v:shape id="_x0000_s1916" type="#_x0000_t136" alt="" style="position:absolute;left:0;text-align:left;margin-left:0;margin-top:0;width:474.6pt;height:284.75pt;rotation:315;z-index:-2516579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63A5AE5">
        <v:shape id="_x0000_s1915" type="#_x0000_t136" alt="" style="position:absolute;left:0;text-align:left;margin-left:0;margin-top:0;width:474.6pt;height:284.75pt;rotation:315;z-index:-2516579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49B447">
        <v:shape id="_x0000_s1914" type="#_x0000_t136" alt="" style="position:absolute;left:0;text-align:left;margin-left:0;margin-top:0;width:474.6pt;height:284.75pt;rotation:315;z-index:-2516579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C6AEFC9">
        <v:shape id="_x0000_s1913" type="#_x0000_t136" alt="" style="position:absolute;left:0;text-align:left;margin-left:0;margin-top:0;width:474.6pt;height:284.75pt;rotation:315;z-index:-2516579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620CF1">
        <v:shape id="_x0000_s1912" type="#_x0000_t136" alt="" style="position:absolute;left:0;text-align:left;margin-left:0;margin-top:0;width:474.6pt;height:284.75pt;rotation:315;z-index:-2516579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1A16B16">
        <v:shape id="_x0000_s1911" type="#_x0000_t136" alt="" style="position:absolute;left:0;text-align:left;margin-left:0;margin-top:0;width:474.6pt;height:284.75pt;rotation:315;z-index:-2516580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8D52BEC">
        <v:shape id="_x0000_s1910" type="#_x0000_t136" alt="" style="position:absolute;left:0;text-align:left;margin-left:0;margin-top:0;width:474.6pt;height:284.75pt;rotation:315;z-index:-2516580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A504D5F">
        <v:shape id="_x0000_s1909" type="#_x0000_t136" alt="" style="position:absolute;left:0;text-align:left;margin-left:0;margin-top:0;width:474.6pt;height:284.75pt;rotation:315;z-index:-2516580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C16995">
        <v:shape id="_x0000_s1908" type="#_x0000_t136" alt="" style="position:absolute;left:0;text-align:left;margin-left:0;margin-top:0;width:474.6pt;height:284.75pt;rotation:315;z-index:-2516580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68906B">
        <v:shape id="_x0000_s1907" type="#_x0000_t136" alt="" style="position:absolute;left:0;text-align:left;margin-left:0;margin-top:0;width:474.6pt;height:284.75pt;rotation:315;z-index:-2516580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63BAEEA">
        <v:shape id="_x0000_s1906" type="#_x0000_t136" alt="" style="position:absolute;left:0;text-align:left;margin-left:0;margin-top:0;width:474.6pt;height:284.75pt;rotation:315;z-index:-2516580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10FBF60">
        <v:shape id="_x0000_s1905" type="#_x0000_t136" alt="" style="position:absolute;left:0;text-align:left;margin-left:0;margin-top:0;width:474.6pt;height:284.75pt;rotation:315;z-index:-2516580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C963AEA">
        <v:shape id="_x0000_s1904" type="#_x0000_t136" alt="" style="position:absolute;left:0;text-align:left;margin-left:0;margin-top:0;width:474.6pt;height:284.75pt;rotation:315;z-index:-2516580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E754CA4">
        <v:shape id="_x0000_s1903" type="#_x0000_t136" alt="" style="position:absolute;left:0;text-align:left;margin-left:0;margin-top:0;width:474.6pt;height:284.75pt;rotation:315;z-index:-2516580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70BB4B1">
        <v:shape id="_x0000_s1902" type="#_x0000_t136" alt="" style="position:absolute;left:0;text-align:left;margin-left:0;margin-top:0;width:474.6pt;height:284.75pt;rotation:315;z-index:-2516580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FB16F79">
        <v:shape id="_x0000_s1901" type="#_x0000_t136" alt="" style="position:absolute;left:0;text-align:left;margin-left:0;margin-top:0;width:474.6pt;height:284.75pt;rotation:315;z-index:-2516580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D42C068">
        <v:shape id="_x0000_s1900" type="#_x0000_t136" alt="" style="position:absolute;left:0;text-align:left;margin-left:0;margin-top:0;width:474.6pt;height:284.75pt;rotation:315;z-index:-2516580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94199EE">
        <v:shape id="_x0000_s1899" type="#_x0000_t136" alt="" style="position:absolute;left:0;text-align:left;margin-left:0;margin-top:0;width:474.6pt;height:284.75pt;rotation:315;z-index:-2516580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7E3839C">
        <v:shape id="_x0000_s1898" type="#_x0000_t136" alt="" style="position:absolute;left:0;text-align:left;margin-left:0;margin-top:0;width:474.6pt;height:284.75pt;rotation:315;z-index:-2516580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730AB8F">
        <v:shape id="_x0000_s1897" type="#_x0000_t136" alt="" style="position:absolute;left:0;text-align:left;margin-left:0;margin-top:0;width:474.6pt;height:284.75pt;rotation:315;z-index:-2516580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8DC4889">
        <v:shape id="_x0000_s1896" type="#_x0000_t136" alt="" style="position:absolute;left:0;text-align:left;margin-left:0;margin-top:0;width:474.6pt;height:284.75pt;rotation:315;z-index:-2516580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3974E0C">
        <v:shape id="_x0000_s1895" type="#_x0000_t136" alt="" style="position:absolute;left:0;text-align:left;margin-left:0;margin-top:0;width:474.6pt;height:284.75pt;rotation:315;z-index:-2516580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76950E7">
        <v:shape id="_x0000_s1894" type="#_x0000_t136" alt="" style="position:absolute;left:0;text-align:left;margin-left:0;margin-top:0;width:474.6pt;height:284.75pt;rotation:315;z-index:-2516580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16BDCA7">
        <v:shape id="_x0000_s1893" type="#_x0000_t136" alt="" style="position:absolute;left:0;text-align:left;margin-left:0;margin-top:0;width:474.6pt;height:284.75pt;rotation:315;z-index:-2516580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D865FB">
        <v:shape id="_x0000_s1892" type="#_x0000_t136" alt="" style="position:absolute;left:0;text-align:left;margin-left:0;margin-top:0;width:474.6pt;height:284.75pt;rotation:315;z-index:-2516580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805A9C8">
        <v:shape id="_x0000_s1891" type="#_x0000_t136" alt="" style="position:absolute;left:0;text-align:left;margin-left:0;margin-top:0;width:474.6pt;height:284.75pt;rotation:315;z-index:-2516580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9D373D6">
        <v:shape id="_x0000_s1890" type="#_x0000_t136" alt="" style="position:absolute;left:0;text-align:left;margin-left:0;margin-top:0;width:474.6pt;height:284.75pt;rotation:315;z-index:-2516580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453EF52">
        <v:shape id="_x0000_s1889" type="#_x0000_t136" alt="" style="position:absolute;left:0;text-align:left;margin-left:0;margin-top:0;width:474.6pt;height:284.75pt;rotation:315;z-index:-2516580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7B1D6D5">
        <v:shape id="_x0000_s1888" type="#_x0000_t136" alt="" style="position:absolute;left:0;text-align:left;margin-left:0;margin-top:0;width:474.6pt;height:284.75pt;rotation:315;z-index:-2516580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3D551B">
        <v:shape id="_x0000_s1887" type="#_x0000_t136" alt="" style="position:absolute;left:0;text-align:left;margin-left:0;margin-top:0;width:474.6pt;height:284.75pt;rotation:315;z-index:-2516580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5294DAC">
        <v:shape id="_x0000_s1886" type="#_x0000_t136" alt="" style="position:absolute;left:0;text-align:left;margin-left:0;margin-top:0;width:474.6pt;height:284.75pt;rotation:315;z-index:-2516580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98195A">
        <v:shape id="_x0000_s1885" type="#_x0000_t136" alt="" style="position:absolute;left:0;text-align:left;margin-left:0;margin-top:0;width:474.6pt;height:284.75pt;rotation:315;z-index:-2516580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943F4A1">
        <v:shape id="_x0000_s1884" type="#_x0000_t136" alt="" style="position:absolute;left:0;text-align:left;margin-left:0;margin-top:0;width:474.6pt;height:284.75pt;rotation:315;z-index:-2516580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CBF3808">
        <v:shape id="_x0000_s1883" type="#_x0000_t136" alt="" style="position:absolute;left:0;text-align:left;margin-left:0;margin-top:0;width:474.6pt;height:284.75pt;rotation:315;z-index:-2516580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1E63209">
        <v:shape id="_x0000_s1882" type="#_x0000_t136" alt="" style="position:absolute;left:0;text-align:left;margin-left:0;margin-top:0;width:474.6pt;height:284.75pt;rotation:315;z-index:-2516580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7745AAF">
        <v:shape id="_x0000_s1881" type="#_x0000_t136" alt="" style="position:absolute;left:0;text-align:left;margin-left:0;margin-top:0;width:474.6pt;height:284.75pt;rotation:315;z-index:-2516580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0E78F9">
        <v:shape id="_x0000_s1880" type="#_x0000_t136" alt="" style="position:absolute;left:0;text-align:left;margin-left:0;margin-top:0;width:474.6pt;height:284.75pt;rotation:315;z-index:-2516580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B614C06">
        <v:shape id="_x0000_s1879" type="#_x0000_t136" alt="" style="position:absolute;left:0;text-align:left;margin-left:0;margin-top:0;width:474.6pt;height:284.75pt;rotation:315;z-index:-2516580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24189A6">
        <v:shape id="_x0000_s1878" type="#_x0000_t136" alt="" style="position:absolute;left:0;text-align:left;margin-left:0;margin-top:0;width:474.6pt;height:284.75pt;rotation:315;z-index:-2516580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F1CF266">
        <v:shape id="_x0000_s1877" type="#_x0000_t136" alt="" style="position:absolute;left:0;text-align:left;margin-left:0;margin-top:0;width:474.6pt;height:284.75pt;rotation:315;z-index:-2516580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0ACF363">
        <v:shape id="_x0000_s1876" type="#_x0000_t136" alt="" style="position:absolute;left:0;text-align:left;margin-left:0;margin-top:0;width:474.6pt;height:284.75pt;rotation:315;z-index:-2516580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8C02FA">
        <v:shape id="_x0000_s1875" type="#_x0000_t136" alt="" style="position:absolute;left:0;text-align:left;margin-left:0;margin-top:0;width:474.6pt;height:284.75pt;rotation:315;z-index:-2516580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72ADF90">
        <v:shape id="_x0000_s1874" type="#_x0000_t136" alt="" style="position:absolute;left:0;text-align:left;margin-left:0;margin-top:0;width:474.6pt;height:284.75pt;rotation:315;z-index:-2516580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3137348">
        <v:shape id="_x0000_s1873" type="#_x0000_t136" alt="" style="position:absolute;left:0;text-align:left;margin-left:0;margin-top:0;width:474.6pt;height:284.75pt;rotation:315;z-index:-2516580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6291442">
        <v:shape id="_x0000_s1872" type="#_x0000_t136" alt="" style="position:absolute;left:0;text-align:left;margin-left:0;margin-top:0;width:474.6pt;height:284.75pt;rotation:315;z-index:-2516580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8C3EEF6">
        <v:shape id="_x0000_s1871" type="#_x0000_t136" alt="" style="position:absolute;left:0;text-align:left;margin-left:0;margin-top:0;width:474.6pt;height:284.75pt;rotation:315;z-index:-2516580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6A7D3E">
        <v:shape id="_x0000_s1870" type="#_x0000_t136" alt="" style="position:absolute;left:0;text-align:left;margin-left:0;margin-top:0;width:474.6pt;height:284.75pt;rotation:315;z-index:-2516580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974328">
        <v:shape id="_x0000_s1869" type="#_x0000_t136" alt="" style="position:absolute;left:0;text-align:left;margin-left:0;margin-top:0;width:474.6pt;height:284.75pt;rotation:315;z-index:-2516580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2B356D">
        <v:shape id="_x0000_s1868" type="#_x0000_t136" alt="" style="position:absolute;left:0;text-align:left;margin-left:0;margin-top:0;width:474.6pt;height:284.75pt;rotation:315;z-index:-2516580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4BCE524">
        <v:shape id="_x0000_s1867" type="#_x0000_t136" alt="" style="position:absolute;left:0;text-align:left;margin-left:0;margin-top:0;width:474.6pt;height:284.75pt;rotation:315;z-index:-2516580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B5BFA80">
        <v:shape id="_x0000_s1866" type="#_x0000_t136" alt="" style="position:absolute;left:0;text-align:left;margin-left:0;margin-top:0;width:474.6pt;height:284.75pt;rotation:315;z-index:-2516580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7D20E70">
        <v:shape id="_x0000_s1865" type="#_x0000_t136" alt="" style="position:absolute;left:0;text-align:left;margin-left:0;margin-top:0;width:474.6pt;height:284.75pt;rotation:315;z-index:-2516580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22647D2">
        <v:shape id="_x0000_s1864" type="#_x0000_t136" alt="" style="position:absolute;left:0;text-align:left;margin-left:0;margin-top:0;width:474.6pt;height:284.75pt;rotation:315;z-index:-2516580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5A4BA37">
        <v:shape id="_x0000_s1863" type="#_x0000_t136" alt="" style="position:absolute;left:0;text-align:left;margin-left:0;margin-top:0;width:474.6pt;height:284.75pt;rotation:315;z-index:-2516580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202047">
        <v:shape id="_x0000_s1862" type="#_x0000_t136" alt="" style="position:absolute;left:0;text-align:left;margin-left:0;margin-top:0;width:474.6pt;height:284.75pt;rotation:315;z-index:-2516580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F2A891">
        <v:shape id="_x0000_s1861" type="#_x0000_t136" alt="" style="position:absolute;left:0;text-align:left;margin-left:0;margin-top:0;width:474.6pt;height:284.75pt;rotation:315;z-index:-2516581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2FC50CB">
        <v:shape id="_x0000_s1860" type="#_x0000_t136" alt="" style="position:absolute;left:0;text-align:left;margin-left:0;margin-top:0;width:474.6pt;height:284.75pt;rotation:315;z-index:-2516581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1FCBEB7">
        <v:shape id="_x0000_s1859" type="#_x0000_t136" alt="" style="position:absolute;left:0;text-align:left;margin-left:0;margin-top:0;width:474.6pt;height:284.75pt;rotation:315;z-index:-2516581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8BACC49">
        <v:shape id="_x0000_s1858" type="#_x0000_t136" alt="" style="position:absolute;left:0;text-align:left;margin-left:0;margin-top:0;width:474.6pt;height:284.75pt;rotation:315;z-index:-2516581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0606D4">
        <v:shape id="_x0000_s1857" type="#_x0000_t136" alt="" style="position:absolute;left:0;text-align:left;margin-left:0;margin-top:0;width:474.6pt;height:284.75pt;rotation:315;z-index:-2516581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7A2DC6D">
        <v:shape id="_x0000_s1856" type="#_x0000_t136" alt="" style="position:absolute;left:0;text-align:left;margin-left:0;margin-top:0;width:474.6pt;height:284.75pt;rotation:315;z-index:-2516581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B0DAA1">
        <v:shape id="_x0000_s1855" type="#_x0000_t136" alt="" style="position:absolute;left:0;text-align:left;margin-left:0;margin-top:0;width:474.6pt;height:284.75pt;rotation:315;z-index:-2516581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690812">
        <v:shape id="_x0000_s1854" type="#_x0000_t136" alt="" style="position:absolute;left:0;text-align:left;margin-left:0;margin-top:0;width:474.6pt;height:284.75pt;rotation:315;z-index:-2516581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4854CF1">
        <v:shape id="_x0000_s1853" type="#_x0000_t136" alt="" style="position:absolute;left:0;text-align:left;margin-left:0;margin-top:0;width:474.6pt;height:284.75pt;rotation:315;z-index:-2516581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99AE81B">
        <v:shape id="_x0000_s1852" type="#_x0000_t136" alt="" style="position:absolute;left:0;text-align:left;margin-left:0;margin-top:0;width:474.6pt;height:284.75pt;rotation:315;z-index:-2516581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84EB0CA">
        <v:shape id="_x0000_s1851" type="#_x0000_t136" alt="" style="position:absolute;left:0;text-align:left;margin-left:0;margin-top:0;width:474.6pt;height:284.75pt;rotation:315;z-index:-251658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AAAE7AF">
        <v:shape id="_x0000_s1850" type="#_x0000_t136" alt="" style="position:absolute;left:0;text-align:left;margin-left:0;margin-top:0;width:474.6pt;height:284.75pt;rotation:315;z-index:-2516581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DFC2081">
        <v:shape id="_x0000_s1849" type="#_x0000_t136" alt="" style="position:absolute;left:0;text-align:left;margin-left:0;margin-top:0;width:474.6pt;height:284.75pt;rotation:315;z-index:-2516581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D647970">
        <v:shape id="_x0000_s1848" type="#_x0000_t136" alt="" style="position:absolute;left:0;text-align:left;margin-left:0;margin-top:0;width:474.6pt;height:284.75pt;rotation:315;z-index:-2516581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23D76DF">
        <v:shape id="_x0000_s1847" type="#_x0000_t136" alt="" style="position:absolute;left:0;text-align:left;margin-left:0;margin-top:0;width:474.6pt;height:284.75pt;rotation:315;z-index:-2516581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D998E6A">
        <v:shape id="_x0000_s1846" type="#_x0000_t136" alt="" style="position:absolute;left:0;text-align:left;margin-left:0;margin-top:0;width:474.6pt;height:284.75pt;rotation:315;z-index:-2516581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1DC9E33">
        <v:shape id="_x0000_s1845" type="#_x0000_t136" alt="" style="position:absolute;left:0;text-align:left;margin-left:0;margin-top:0;width:474.6pt;height:284.75pt;rotation:315;z-index:-2516581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773E0BF">
        <v:shape id="_x0000_s1844" type="#_x0000_t136" alt="" style="position:absolute;left:0;text-align:left;margin-left:0;margin-top:0;width:474.6pt;height:284.75pt;rotation:315;z-index:-2516581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ABADE7D">
        <v:shape id="_x0000_s1843" type="#_x0000_t136" alt="" style="position:absolute;left:0;text-align:left;margin-left:0;margin-top:0;width:474.6pt;height:284.75pt;rotation:315;z-index:-2516581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D944357">
        <v:shape id="_x0000_s1842" type="#_x0000_t136" alt="" style="position:absolute;left:0;text-align:left;margin-left:0;margin-top:0;width:474.6pt;height:284.75pt;rotation:315;z-index:-2516581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8E72EE">
        <v:shape id="_x0000_s1841" type="#_x0000_t136" alt="" style="position:absolute;left:0;text-align:left;margin-left:0;margin-top:0;width:474.6pt;height:284.75pt;rotation:315;z-index:-2516581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055F38B">
        <v:shape id="_x0000_s1840" type="#_x0000_t136" alt="" style="position:absolute;left:0;text-align:left;margin-left:0;margin-top:0;width:474.6pt;height:284.75pt;rotation:315;z-index:-2516581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E672A1D">
        <v:shape id="_x0000_s1839" type="#_x0000_t136" alt="" style="position:absolute;left:0;text-align:left;margin-left:0;margin-top:0;width:474.6pt;height:284.75pt;rotation:315;z-index:-2516581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D510018">
        <v:shape id="_x0000_s1838" type="#_x0000_t136" alt="" style="position:absolute;left:0;text-align:left;margin-left:0;margin-top:0;width:474.6pt;height:284.75pt;rotation:315;z-index:-2516581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AED86A8">
        <v:shape id="_x0000_s1837" type="#_x0000_t136" alt="" style="position:absolute;left:0;text-align:left;margin-left:0;margin-top:0;width:474.6pt;height:284.75pt;rotation:315;z-index:-2516581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5452017">
        <v:shape id="_x0000_s1836" type="#_x0000_t136" alt="" style="position:absolute;left:0;text-align:left;margin-left:0;margin-top:0;width:474.6pt;height:284.75pt;rotation:315;z-index:-2516581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37D588E">
        <v:shape id="_x0000_s1835" type="#_x0000_t136" alt="" style="position:absolute;left:0;text-align:left;margin-left:0;margin-top:0;width:474.6pt;height:284.75pt;rotation:315;z-index:-2516581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734E638">
        <v:shape id="_x0000_s1834" type="#_x0000_t136" alt="" style="position:absolute;left:0;text-align:left;margin-left:0;margin-top:0;width:474.6pt;height:284.75pt;rotation:315;z-index:-2516581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12DBA4">
        <v:shape id="_x0000_s1833" type="#_x0000_t136" alt="" style="position:absolute;left:0;text-align:left;margin-left:0;margin-top:0;width:474.6pt;height:284.75pt;rotation:315;z-index:-2516581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23D33E">
        <v:shape id="_x0000_s1832" type="#_x0000_t136" alt="" style="position:absolute;left:0;text-align:left;margin-left:0;margin-top:0;width:474.6pt;height:284.75pt;rotation:315;z-index:-2516581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834D623">
        <v:shape id="_x0000_s1831" type="#_x0000_t136" alt="" style="position:absolute;left:0;text-align:left;margin-left:0;margin-top:0;width:474.6pt;height:284.75pt;rotation:315;z-index:-2516581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FA4B612">
        <v:shape id="_x0000_s1830" type="#_x0000_t136" alt="" style="position:absolute;left:0;text-align:left;margin-left:0;margin-top:0;width:474.6pt;height:284.75pt;rotation:315;z-index:-2516581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0E7D027">
        <v:shape id="_x0000_s1829" type="#_x0000_t136" alt="" style="position:absolute;left:0;text-align:left;margin-left:0;margin-top:0;width:474.6pt;height:284.75pt;rotation:315;z-index:-2516581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A4FF7D3">
        <v:shape id="_x0000_s1828" type="#_x0000_t136" alt="" style="position:absolute;left:0;text-align:left;margin-left:0;margin-top:0;width:474.6pt;height:284.75pt;rotation:315;z-index:-2516581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DEAED36">
        <v:shape id="_x0000_s1827" type="#_x0000_t136" alt="" style="position:absolute;left:0;text-align:left;margin-left:0;margin-top:0;width:474.6pt;height:284.75pt;rotation:315;z-index:-251658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DDF8FA9">
        <v:shape id="_x0000_s1826" type="#_x0000_t136" alt="" style="position:absolute;left:0;text-align:left;margin-left:0;margin-top:0;width:474.6pt;height:284.75pt;rotation:315;z-index:-2516581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A45394">
        <v:shape id="_x0000_s1825" type="#_x0000_t136" alt="" style="position:absolute;left:0;text-align:left;margin-left:0;margin-top:0;width:474.6pt;height:284.75pt;rotation:315;z-index:-2516581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8BAF274">
        <v:shape id="_x0000_s1824" type="#_x0000_t136" alt="" style="position:absolute;left:0;text-align:left;margin-left:0;margin-top:0;width:474.6pt;height:284.75pt;rotation:315;z-index:-2516581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E088E1">
        <v:shape id="_x0000_s1823" type="#_x0000_t136" alt="" style="position:absolute;left:0;text-align:left;margin-left:0;margin-top:0;width:474.6pt;height:284.75pt;rotation:315;z-index:-2516581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58A7B9B">
        <v:shape id="_x0000_s1822" type="#_x0000_t136" alt="" style="position:absolute;left:0;text-align:left;margin-left:0;margin-top:0;width:474.6pt;height:284.75pt;rotation:315;z-index:-2516581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5C69DA3">
        <v:shape id="_x0000_s1821" type="#_x0000_t136" alt="" style="position:absolute;left:0;text-align:left;margin-left:0;margin-top:0;width:474.6pt;height:284.75pt;rotation:315;z-index:-2516581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B617477">
        <v:shape id="_x0000_s1820" type="#_x0000_t136" alt="" style="position:absolute;left:0;text-align:left;margin-left:0;margin-top:0;width:474.6pt;height:284.75pt;rotation:315;z-index:-2516581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3A9AFA">
        <v:shape id="_x0000_s1819" type="#_x0000_t136" alt="" style="position:absolute;left:0;text-align:left;margin-left:0;margin-top:0;width:474.6pt;height:284.75pt;rotation:315;z-index:-2516581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770E57">
        <v:shape id="_x0000_s1818" type="#_x0000_t136" alt="" style="position:absolute;left:0;text-align:left;margin-left:0;margin-top:0;width:474.6pt;height:284.75pt;rotation:315;z-index:-2516581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9D5EF0">
        <v:shape id="_x0000_s1817" type="#_x0000_t136" alt="" style="position:absolute;left:0;text-align:left;margin-left:0;margin-top:0;width:474.6pt;height:284.75pt;rotation:315;z-index:-2516581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FD2BD4F">
        <v:shape id="_x0000_s1816" type="#_x0000_t136" alt="" style="position:absolute;left:0;text-align:left;margin-left:0;margin-top:0;width:474.6pt;height:284.75pt;rotation:315;z-index:-2516581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9774DBE">
        <v:shape id="_x0000_s1815" type="#_x0000_t136" alt="" style="position:absolute;left:0;text-align:left;margin-left:0;margin-top:0;width:474.6pt;height:284.75pt;rotation:315;z-index:-2516581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3C11921">
        <v:shape id="_x0000_s1814" type="#_x0000_t136" alt="" style="position:absolute;left:0;text-align:left;margin-left:0;margin-top:0;width:474.6pt;height:284.75pt;rotation:315;z-index:-2516581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35372C6">
        <v:shape id="_x0000_s1813" type="#_x0000_t136" alt="" style="position:absolute;left:0;text-align:left;margin-left:0;margin-top:0;width:474.6pt;height:284.75pt;rotation:315;z-index:-2516581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C2A6170">
        <v:shape id="_x0000_s1812" type="#_x0000_t136" alt="" style="position:absolute;left:0;text-align:left;margin-left:0;margin-top:0;width:474.6pt;height:284.75pt;rotation:315;z-index:-2516581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EF1789">
        <v:shape id="_x0000_s1811" type="#_x0000_t136" alt="" style="position:absolute;left:0;text-align:left;margin-left:0;margin-top:0;width:474.6pt;height:284.75pt;rotation:315;z-index:-2516582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53AADE6">
        <v:shape id="_x0000_s1810" type="#_x0000_t136" alt="" style="position:absolute;left:0;text-align:left;margin-left:0;margin-top:0;width:474.6pt;height:284.75pt;rotation:315;z-index:-2516582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AC4E30C">
        <v:shape id="_x0000_s1809" type="#_x0000_t136" alt="" style="position:absolute;left:0;text-align:left;margin-left:0;margin-top:0;width:474.6pt;height:284.75pt;rotation:315;z-index:-2516582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376BFA5">
        <v:shape id="_x0000_s1808" type="#_x0000_t136" alt="" style="position:absolute;left:0;text-align:left;margin-left:0;margin-top:0;width:474.6pt;height:284.75pt;rotation:315;z-index:-2516582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01DCFB">
        <v:shape id="_x0000_s1807" type="#_x0000_t136" alt="" style="position:absolute;left:0;text-align:left;margin-left:0;margin-top:0;width:474.6pt;height:284.75pt;rotation:315;z-index:-2516582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08A9B0">
        <v:shape id="_x0000_s1806" type="#_x0000_t136" alt="" style="position:absolute;left:0;text-align:left;margin-left:0;margin-top:0;width:474.6pt;height:284.75pt;rotation:315;z-index:-2516582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2074ACC">
        <v:shape id="_x0000_s1805" type="#_x0000_t136" alt="" style="position:absolute;left:0;text-align:left;margin-left:0;margin-top:0;width:474.6pt;height:284.75pt;rotation:315;z-index:-2516582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4690E80">
        <v:shape id="_x0000_s1804" type="#_x0000_t136" alt="" style="position:absolute;left:0;text-align:left;margin-left:0;margin-top:0;width:474.6pt;height:284.75pt;rotation:315;z-index:-2516582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9A38760">
        <v:shape id="_x0000_s1803" type="#_x0000_t136" alt="" style="position:absolute;left:0;text-align:left;margin-left:0;margin-top:0;width:474.6pt;height:284.75pt;rotation:315;z-index:-251658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08F882E">
        <v:shape id="_x0000_s1802" type="#_x0000_t136" alt="" style="position:absolute;left:0;text-align:left;margin-left:0;margin-top:0;width:474.6pt;height:284.75pt;rotation:315;z-index:-2516582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822F440">
        <v:shape id="_x0000_s1801" type="#_x0000_t136" alt="" style="position:absolute;left:0;text-align:left;margin-left:0;margin-top:0;width:474.6pt;height:284.75pt;rotation:315;z-index:-2516582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DE24AFF">
        <v:shape id="_x0000_s1800" type="#_x0000_t136" alt="" style="position:absolute;left:0;text-align:left;margin-left:0;margin-top:0;width:474.6pt;height:284.75pt;rotation:315;z-index:-2516582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889F71">
        <v:shape id="_x0000_s1799" type="#_x0000_t136" alt="" style="position:absolute;left:0;text-align:left;margin-left:0;margin-top:0;width:474.6pt;height:284.75pt;rotation:315;z-index:-2516582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A1280D5">
        <v:shape id="_x0000_s1798" type="#_x0000_t136" alt="" style="position:absolute;left:0;text-align:left;margin-left:0;margin-top:0;width:474.6pt;height:284.75pt;rotation:315;z-index:-2516582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AE76688">
        <v:shape id="_x0000_s1797" type="#_x0000_t136" alt="" style="position:absolute;left:0;text-align:left;margin-left:0;margin-top:0;width:474.6pt;height:284.75pt;rotation:315;z-index:-2516582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E1D5B8">
        <v:shape id="_x0000_s1796" type="#_x0000_t136" alt="" style="position:absolute;left:0;text-align:left;margin-left:0;margin-top:0;width:474.6pt;height:284.75pt;rotation:315;z-index:-2516582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8F344B">
        <v:shape id="_x0000_s1795" type="#_x0000_t136" alt="" style="position:absolute;left:0;text-align:left;margin-left:0;margin-top:0;width:474.6pt;height:284.75pt;rotation:315;z-index:-2516582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063BD7A">
        <v:shape id="_x0000_s1794" type="#_x0000_t136" alt="" style="position:absolute;left:0;text-align:left;margin-left:0;margin-top:0;width:474.6pt;height:284.75pt;rotation:315;z-index:-2516582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3C57C9C">
        <v:shape id="_x0000_s1793" type="#_x0000_t136" alt="" style="position:absolute;left:0;text-align:left;margin-left:0;margin-top:0;width:474.6pt;height:284.75pt;rotation:315;z-index:-2516582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3A92A" w14:textId="1E9B98F9" w:rsidR="003F7B89" w:rsidRDefault="003F7B8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AA4D" w14:textId="5D4C3799" w:rsidR="003F7B89" w:rsidRDefault="00AE7A90">
    <w:pPr>
      <w:pStyle w:val="Header"/>
    </w:pPr>
    <w:r>
      <w:rPr>
        <w:noProof/>
      </w:rPr>
      <mc:AlternateContent>
        <mc:Choice Requires="wps">
          <w:drawing>
            <wp:anchor distT="0" distB="0" distL="0" distR="0" simplePos="0" relativeHeight="251659782" behindDoc="0" locked="0" layoutInCell="1" allowOverlap="1" wp14:anchorId="4FFDC545" wp14:editId="4B21D27C">
              <wp:simplePos x="635" y="635"/>
              <wp:positionH relativeFrom="page">
                <wp:align>center</wp:align>
              </wp:positionH>
              <wp:positionV relativeFrom="page">
                <wp:align>top</wp:align>
              </wp:positionV>
              <wp:extent cx="2214245" cy="368300"/>
              <wp:effectExtent l="0" t="0" r="14605" b="12700"/>
              <wp:wrapNone/>
              <wp:docPr id="1798517057" name="Text Box 7"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725E4F69" w14:textId="271974E5"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FDC545" id="_x0000_t202" coordsize="21600,21600" o:spt="202" path="m,l,21600r21600,l21600,xe">
              <v:stroke joinstyle="miter"/>
              <v:path gradientshapeok="t" o:connecttype="rect"/>
            </v:shapetype>
            <v:shape id="Text Box 7" o:spid="_x0000_s1035" type="#_x0000_t202" alt="[IN-CONFIDENCE - RELEASE EXTERNAL]" style="position:absolute;left:0;text-align:left;margin-left:0;margin-top:0;width:174.35pt;height:29pt;z-index:25165978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" filled="f" stroked="f">
              <v:textbox style="mso-fit-shape-to-text:t" inset="0,15pt,0,0">
                <w:txbxContent>
                  <w:p w14:paraId="725E4F69" w14:textId="271974E5"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r w:rsidR="00990680">
      <w:rPr>
        <w:noProof/>
      </w:rPr>
      <w:pict w14:anchorId="5AC238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792" type="#_x0000_t136" alt="" style="position:absolute;left:0;text-align:left;margin-left:0;margin-top:0;width:474.6pt;height:284.75pt;rotation:315;z-index:-2516567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8D7D2E">
        <v:shape id="_x0000_s1791" type="#_x0000_t136" alt="" style="position:absolute;left:0;text-align:left;margin-left:0;margin-top:0;width:474.6pt;height:284.75pt;rotation:315;z-index:-2516567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036A29E">
        <v:shape id="_x0000_s1790" type="#_x0000_t136" alt="" style="position:absolute;left:0;text-align:left;margin-left:0;margin-top:0;width:474.6pt;height:284.75pt;rotation:315;z-index:-2516567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DFA4D58">
        <v:shape id="_x0000_s1789" type="#_x0000_t136" alt="" style="position:absolute;left:0;text-align:left;margin-left:0;margin-top:0;width:474.6pt;height:284.75pt;rotation:315;z-index:-2516567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FF2BB37">
        <v:shape id="_x0000_s1788" type="#_x0000_t136" alt="" style="position:absolute;left:0;text-align:left;margin-left:0;margin-top:0;width:474.6pt;height:284.75pt;rotation:315;z-index:-2516567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7BA7383">
        <v:shape id="_x0000_s1787" type="#_x0000_t136" alt="" style="position:absolute;left:0;text-align:left;margin-left:0;margin-top:0;width:474.6pt;height:284.75pt;rotation:315;z-index:-2516567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C2DC48">
        <v:shape id="_x0000_s1786" type="#_x0000_t136" alt="" style="position:absolute;left:0;text-align:left;margin-left:0;margin-top:0;width:474.6pt;height:284.75pt;rotation:315;z-index:-2516567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BB52997">
        <v:shape id="_x0000_s1785" type="#_x0000_t136" alt="" style="position:absolute;left:0;text-align:left;margin-left:0;margin-top:0;width:474.6pt;height:284.75pt;rotation:315;z-index:-2516567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A11C6DC">
        <v:shape id="_x0000_s1784" type="#_x0000_t136" alt="" style="position:absolute;left:0;text-align:left;margin-left:0;margin-top:0;width:474.6pt;height:284.75pt;rotation:315;z-index:-2516567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FE95A80">
        <v:shape id="_x0000_s1783" type="#_x0000_t136" alt="" style="position:absolute;left:0;text-align:left;margin-left:0;margin-top:0;width:474.6pt;height:284.75pt;rotation:315;z-index:-2516567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B9F47D6">
        <v:shape id="_x0000_s1782" type="#_x0000_t136" alt="" style="position:absolute;left:0;text-align:left;margin-left:0;margin-top:0;width:474.6pt;height:284.75pt;rotation:315;z-index:-2516567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948F04D">
        <v:shape id="_x0000_s1781" type="#_x0000_t136" alt="" style="position:absolute;left:0;text-align:left;margin-left:0;margin-top:0;width:474.6pt;height:284.75pt;rotation:315;z-index:-2516567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8B91BEE">
        <v:shape id="_x0000_s1780" type="#_x0000_t136" alt="" style="position:absolute;left:0;text-align:left;margin-left:0;margin-top:0;width:474.6pt;height:284.75pt;rotation:315;z-index:-2516567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CE81CD9">
        <v:shape id="_x0000_s1779" type="#_x0000_t136" alt="" style="position:absolute;left:0;text-align:left;margin-left:0;margin-top:0;width:474.6pt;height:284.75pt;rotation:315;z-index:-2516567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9879242">
        <v:shape id="_x0000_s1778" type="#_x0000_t136" alt="" style="position:absolute;left:0;text-align:left;margin-left:0;margin-top:0;width:474.6pt;height:284.75pt;rotation:315;z-index:-2516567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6D1D4B0">
        <v:shape id="_x0000_s1777" type="#_x0000_t136" alt="" style="position:absolute;left:0;text-align:left;margin-left:0;margin-top:0;width:474.6pt;height:284.75pt;rotation:315;z-index:-2516567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15BA4F">
        <v:shape id="_x0000_s1776" type="#_x0000_t136" alt="" style="position:absolute;left:0;text-align:left;margin-left:0;margin-top:0;width:474.6pt;height:284.75pt;rotation:315;z-index:-2516567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A09C36">
        <v:shape id="_x0000_s1775" type="#_x0000_t136" alt="" style="position:absolute;left:0;text-align:left;margin-left:0;margin-top:0;width:474.6pt;height:284.75pt;rotation:315;z-index:-2516567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D0C22B6">
        <v:shape id="_x0000_s1774" type="#_x0000_t136" alt="" style="position:absolute;left:0;text-align:left;margin-left:0;margin-top:0;width:474.6pt;height:284.75pt;rotation:315;z-index:-2516567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545D374">
        <v:shape id="_x0000_s1773" type="#_x0000_t136" alt="" style="position:absolute;left:0;text-align:left;margin-left:0;margin-top:0;width:474.6pt;height:284.75pt;rotation:315;z-index:-2516567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DC4A7E">
        <v:shape id="_x0000_s1772" type="#_x0000_t136" alt="" style="position:absolute;left:0;text-align:left;margin-left:0;margin-top:0;width:474.6pt;height:284.75pt;rotation:315;z-index:-2516567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6CBC515">
        <v:shape id="_x0000_s1771" type="#_x0000_t136" alt="" style="position:absolute;left:0;text-align:left;margin-left:0;margin-top:0;width:474.6pt;height:284.75pt;rotation:315;z-index:-2516567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DF8094">
        <v:shape id="_x0000_s1770" type="#_x0000_t136" alt="" style="position:absolute;left:0;text-align:left;margin-left:0;margin-top:0;width:474.6pt;height:284.75pt;rotation:315;z-index:-2516567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3CDA83F">
        <v:shape id="_x0000_s1769" type="#_x0000_t136" alt="" style="position:absolute;left:0;text-align:left;margin-left:0;margin-top:0;width:474.6pt;height:284.75pt;rotation:315;z-index:-2516567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728F026">
        <v:shape id="_x0000_s1768" type="#_x0000_t136" alt="" style="position:absolute;left:0;text-align:left;margin-left:0;margin-top:0;width:474.6pt;height:284.75pt;rotation:315;z-index:-2516567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C3FBE98">
        <v:shape id="_x0000_s1767" type="#_x0000_t136" alt="" style="position:absolute;left:0;text-align:left;margin-left:0;margin-top:0;width:474.6pt;height:284.75pt;rotation:315;z-index:-2516567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C30BF9">
        <v:shape id="_x0000_s1766" type="#_x0000_t136" alt="" style="position:absolute;left:0;text-align:left;margin-left:0;margin-top:0;width:474.6pt;height:284.75pt;rotation:315;z-index:-2516567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AF1B630">
        <v:shape id="_x0000_s1765" type="#_x0000_t136" alt="" style="position:absolute;left:0;text-align:left;margin-left:0;margin-top:0;width:474.6pt;height:284.75pt;rotation:315;z-index:-2516567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8617DD1">
        <v:shape id="_x0000_s1764" type="#_x0000_t136" alt="" style="position:absolute;left:0;text-align:left;margin-left:0;margin-top:0;width:474.6pt;height:284.75pt;rotation:315;z-index:-2516567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271EA5C">
        <v:shape id="_x0000_s1763" type="#_x0000_t136" alt="" style="position:absolute;left:0;text-align:left;margin-left:0;margin-top:0;width:474.6pt;height:284.75pt;rotation:315;z-index:-2516567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C1EC450">
        <v:shape id="_x0000_s1762" type="#_x0000_t136" alt="" style="position:absolute;left:0;text-align:left;margin-left:0;margin-top:0;width:474.6pt;height:284.75pt;rotation:315;z-index:-2516567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1A3E127">
        <v:shape id="_x0000_s1761" type="#_x0000_t136" alt="" style="position:absolute;left:0;text-align:left;margin-left:0;margin-top:0;width:474.6pt;height:284.75pt;rotation:315;z-index:-2516567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3114D27">
        <v:shape id="_x0000_s1760" type="#_x0000_t136" alt="" style="position:absolute;left:0;text-align:left;margin-left:0;margin-top:0;width:474.6pt;height:284.75pt;rotation:315;z-index:-2516567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5240B7A">
        <v:shape id="_x0000_s1759" type="#_x0000_t136" alt="" style="position:absolute;left:0;text-align:left;margin-left:0;margin-top:0;width:474.6pt;height:284.75pt;rotation:315;z-index:-2516567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1A63449">
        <v:shape id="_x0000_s1758" type="#_x0000_t136" alt="" style="position:absolute;left:0;text-align:left;margin-left:0;margin-top:0;width:474.6pt;height:284.75pt;rotation:315;z-index:-2516567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5D766FF">
        <v:shape id="_x0000_s1757" type="#_x0000_t136" alt="" style="position:absolute;left:0;text-align:left;margin-left:0;margin-top:0;width:474.6pt;height:284.75pt;rotation:315;z-index:-2516567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8D667CB">
        <v:shape id="_x0000_s1756" type="#_x0000_t136" alt="" style="position:absolute;left:0;text-align:left;margin-left:0;margin-top:0;width:474.6pt;height:284.75pt;rotation:315;z-index:-2516567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9D635BB">
        <v:shape id="_x0000_s1755" type="#_x0000_t136" alt="" style="position:absolute;left:0;text-align:left;margin-left:0;margin-top:0;width:474.6pt;height:284.75pt;rotation:315;z-index:-2516567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07A0E6D">
        <v:shape id="_x0000_s1754" type="#_x0000_t136" alt="" style="position:absolute;left:0;text-align:left;margin-left:0;margin-top:0;width:474.6pt;height:284.75pt;rotation:315;z-index:-2516567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185D49">
        <v:shape id="_x0000_s1753" type="#_x0000_t136" alt="" style="position:absolute;left:0;text-align:left;margin-left:0;margin-top:0;width:474.6pt;height:284.75pt;rotation:315;z-index:-2516567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F3F6A67">
        <v:shape id="_x0000_s1752" type="#_x0000_t136" alt="" style="position:absolute;left:0;text-align:left;margin-left:0;margin-top:0;width:474.6pt;height:284.75pt;rotation:315;z-index:-2516567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4B16781">
        <v:shape id="_x0000_s1751" type="#_x0000_t136" alt="" style="position:absolute;left:0;text-align:left;margin-left:0;margin-top:0;width:474.6pt;height:284.75pt;rotation:315;z-index:-2516567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F595C6E">
        <v:shape id="_x0000_s1750" type="#_x0000_t136" alt="" style="position:absolute;left:0;text-align:left;margin-left:0;margin-top:0;width:474.6pt;height:284.75pt;rotation:315;z-index:-2516567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2EFA951">
        <v:shape id="_x0000_s1749" type="#_x0000_t136" alt="" style="position:absolute;left:0;text-align:left;margin-left:0;margin-top:0;width:474.6pt;height:284.75pt;rotation:315;z-index:-2516567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003C00">
        <v:shape id="_x0000_s1748" type="#_x0000_t136" alt="" style="position:absolute;left:0;text-align:left;margin-left:0;margin-top:0;width:474.6pt;height:284.75pt;rotation:315;z-index:-2516567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65B4979">
        <v:shape id="_x0000_s1747" type="#_x0000_t136" alt="" style="position:absolute;left:0;text-align:left;margin-left:0;margin-top:0;width:474.6pt;height:284.75pt;rotation:315;z-index:-2516567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4EF6A61">
        <v:shape id="_x0000_s1746" type="#_x0000_t136" alt="" style="position:absolute;left:0;text-align:left;margin-left:0;margin-top:0;width:474.6pt;height:284.75pt;rotation:315;z-index:-2516567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830401C">
        <v:shape id="_x0000_s1745" type="#_x0000_t136" alt="" style="position:absolute;left:0;text-align:left;margin-left:0;margin-top:0;width:474.6pt;height:284.75pt;rotation:315;z-index:-2516567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9C63D3B">
        <v:shape id="_x0000_s1744" type="#_x0000_t136" alt="" style="position:absolute;left:0;text-align:left;margin-left:0;margin-top:0;width:474.6pt;height:284.75pt;rotation:315;z-index:-2516568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47899D2">
        <v:shape id="_x0000_s1743" type="#_x0000_t136" alt="" style="position:absolute;left:0;text-align:left;margin-left:0;margin-top:0;width:474.6pt;height:284.75pt;rotation:315;z-index:-2516568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7440501">
        <v:shape id="_x0000_s1742" type="#_x0000_t136" alt="" style="position:absolute;left:0;text-align:left;margin-left:0;margin-top:0;width:474.6pt;height:284.75pt;rotation:315;z-index:-2516568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5895E5A">
        <v:shape id="_x0000_s1741" type="#_x0000_t136" alt="" style="position:absolute;left:0;text-align:left;margin-left:0;margin-top:0;width:474.6pt;height:284.75pt;rotation:315;z-index:-2516568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950C9D9">
        <v:shape id="_x0000_s1740" type="#_x0000_t136" alt="" style="position:absolute;left:0;text-align:left;margin-left:0;margin-top:0;width:474.6pt;height:284.75pt;rotation:315;z-index:-2516568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03F8F99">
        <v:shape id="_x0000_s1739" type="#_x0000_t136" alt="" style="position:absolute;left:0;text-align:left;margin-left:0;margin-top:0;width:474.6pt;height:284.75pt;rotation:315;z-index:-2516568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A889F52">
        <v:shape id="_x0000_s1738" type="#_x0000_t136" alt="" style="position:absolute;left:0;text-align:left;margin-left:0;margin-top:0;width:474.6pt;height:284.75pt;rotation:315;z-index:-2516567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DC56ADD">
        <v:shape id="_x0000_s1737" type="#_x0000_t136" alt="" style="position:absolute;left:0;text-align:left;margin-left:0;margin-top:0;width:474.6pt;height:284.75pt;rotation:315;z-index:-2516567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5345100">
        <v:shape id="_x0000_s1736" type="#_x0000_t136" alt="" style="position:absolute;left:0;text-align:left;margin-left:0;margin-top:0;width:474.6pt;height:284.75pt;rotation:315;z-index:-2516568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B74FCC">
        <v:shape id="_x0000_s1735" type="#_x0000_t136" alt="" style="position:absolute;left:0;text-align:left;margin-left:0;margin-top:0;width:474.6pt;height:284.75pt;rotation:315;z-index:-2516568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853D31F">
        <v:shape id="_x0000_s1734" type="#_x0000_t136" alt="" style="position:absolute;left:0;text-align:left;margin-left:0;margin-top:0;width:474.6pt;height:284.75pt;rotation:315;z-index:-2516568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200865">
        <v:shape id="_x0000_s1733" type="#_x0000_t136" alt="" style="position:absolute;left:0;text-align:left;margin-left:0;margin-top:0;width:474.6pt;height:284.75pt;rotation:315;z-index:-2516568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402F0E">
        <v:shape id="_x0000_s1732" type="#_x0000_t136" alt="" style="position:absolute;left:0;text-align:left;margin-left:0;margin-top:0;width:474.6pt;height:284.75pt;rotation:315;z-index:-2516568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3853924">
        <v:shape id="_x0000_s1731" type="#_x0000_t136" alt="" style="position:absolute;left:0;text-align:left;margin-left:0;margin-top:0;width:474.6pt;height:284.75pt;rotation:315;z-index:-2516568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DEB45AB">
        <v:shape id="_x0000_s1730" type="#_x0000_t136" alt="" style="position:absolute;left:0;text-align:left;margin-left:0;margin-top:0;width:474.6pt;height:284.75pt;rotation:315;z-index:-2516568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89C674E">
        <v:shape id="_x0000_s1729" type="#_x0000_t136" alt="" style="position:absolute;left:0;text-align:left;margin-left:0;margin-top:0;width:474.6pt;height:284.75pt;rotation:315;z-index:-2516568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2093ABD">
        <v:shape id="_x0000_s1728" type="#_x0000_t136" alt="" style="position:absolute;left:0;text-align:left;margin-left:0;margin-top:0;width:474.6pt;height:284.75pt;rotation:315;z-index:-2516568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79700D">
        <v:shape id="_x0000_s1727" type="#_x0000_t136" alt="" style="position:absolute;left:0;text-align:left;margin-left:0;margin-top:0;width:474.6pt;height:284.75pt;rotation:315;z-index:-2516568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88BC8F7">
        <v:shape id="_x0000_s1726" type="#_x0000_t136" alt="" style="position:absolute;left:0;text-align:left;margin-left:0;margin-top:0;width:474.6pt;height:284.75pt;rotation:315;z-index:-2516568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D502132">
        <v:shape id="_x0000_s1725" type="#_x0000_t136" alt="" style="position:absolute;left:0;text-align:left;margin-left:0;margin-top:0;width:474.6pt;height:284.75pt;rotation:315;z-index:-2516568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9E39A3">
        <v:shape id="_x0000_s1724" type="#_x0000_t136" alt="" style="position:absolute;left:0;text-align:left;margin-left:0;margin-top:0;width:474.6pt;height:284.75pt;rotation:315;z-index:-2516568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7EC202">
        <v:shape id="_x0000_s1723" type="#_x0000_t136" alt="" style="position:absolute;left:0;text-align:left;margin-left:0;margin-top:0;width:474.6pt;height:284.75pt;rotation:315;z-index:-2516568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26B2766">
        <v:shape id="_x0000_s1722" type="#_x0000_t136" alt="" style="position:absolute;left:0;text-align:left;margin-left:0;margin-top:0;width:474.6pt;height:284.75pt;rotation:315;z-index:-2516568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373E87A">
        <v:shape id="_x0000_s1721" type="#_x0000_t136" alt="" style="position:absolute;left:0;text-align:left;margin-left:0;margin-top:0;width:474.6pt;height:284.75pt;rotation:315;z-index:-2516568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F2E8979">
        <v:shape id="_x0000_s1720" type="#_x0000_t136" alt="" style="position:absolute;left:0;text-align:left;margin-left:0;margin-top:0;width:474.6pt;height:284.75pt;rotation:315;z-index:-2516568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6E95166">
        <v:shape id="_x0000_s1719" type="#_x0000_t136" alt="" style="position:absolute;left:0;text-align:left;margin-left:0;margin-top:0;width:474.6pt;height:284.75pt;rotation:315;z-index:-2516568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C107B98">
        <v:shape id="_x0000_s1718" type="#_x0000_t136" alt="" style="position:absolute;left:0;text-align:left;margin-left:0;margin-top:0;width:474.6pt;height:284.75pt;rotation:315;z-index:-2516568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4A1AF80">
        <v:shape id="_x0000_s1717" type="#_x0000_t136" alt="" style="position:absolute;left:0;text-align:left;margin-left:0;margin-top:0;width:474.6pt;height:284.75pt;rotation:315;z-index:-2516568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44F6E20">
        <v:shape id="_x0000_s1716" type="#_x0000_t136" alt="" style="position:absolute;left:0;text-align:left;margin-left:0;margin-top:0;width:474.6pt;height:284.75pt;rotation:315;z-index:-2516568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6596882">
        <v:shape id="_x0000_s1715" type="#_x0000_t136" alt="" style="position:absolute;left:0;text-align:left;margin-left:0;margin-top:0;width:474.6pt;height:284.75pt;rotation:315;z-index:-2516568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9D73C90">
        <v:shape id="_x0000_s1714" type="#_x0000_t136" alt="" style="position:absolute;left:0;text-align:left;margin-left:0;margin-top:0;width:474.6pt;height:284.75pt;rotation:315;z-index:-2516568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5E4CAE">
        <v:shape id="_x0000_s1713" type="#_x0000_t136" alt="" style="position:absolute;left:0;text-align:left;margin-left:0;margin-top:0;width:474.6pt;height:284.75pt;rotation:315;z-index:-2516568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F3A8208">
        <v:shape id="_x0000_s1712" type="#_x0000_t136" alt="" style="position:absolute;left:0;text-align:left;margin-left:0;margin-top:0;width:474.6pt;height:284.75pt;rotation:315;z-index:-2516568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C8FB739">
        <v:shape id="_x0000_s1711" type="#_x0000_t136" alt="" style="position:absolute;left:0;text-align:left;margin-left:0;margin-top:0;width:474.6pt;height:284.75pt;rotation:315;z-index:-2516568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CB9055">
        <v:shape id="_x0000_s1710" type="#_x0000_t136" alt="" style="position:absolute;left:0;text-align:left;margin-left:0;margin-top:0;width:474.6pt;height:284.75pt;rotation:315;z-index:-2516568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5CEEAD">
        <v:shape id="_x0000_s1709" type="#_x0000_t136" alt="" style="position:absolute;left:0;text-align:left;margin-left:0;margin-top:0;width:474.6pt;height:284.75pt;rotation:315;z-index:-2516568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502D681">
        <v:shape id="_x0000_s1708" type="#_x0000_t136" alt="" style="position:absolute;left:0;text-align:left;margin-left:0;margin-top:0;width:474.6pt;height:284.75pt;rotation:315;z-index:-2516568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DF5B7D">
        <v:shape id="_x0000_s1707" type="#_x0000_t136" alt="" style="position:absolute;left:0;text-align:left;margin-left:0;margin-top:0;width:474.6pt;height:284.75pt;rotation:315;z-index:-2516568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F054848">
        <v:shape id="_x0000_s1706" type="#_x0000_t136" alt="" style="position:absolute;left:0;text-align:left;margin-left:0;margin-top:0;width:474.6pt;height:284.75pt;rotation:315;z-index:-2516568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DD75AE8">
        <v:shape id="_x0000_s1705" type="#_x0000_t136" alt="" style="position:absolute;left:0;text-align:left;margin-left:0;margin-top:0;width:474.6pt;height:284.75pt;rotation:315;z-index:-2516568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333F4A">
        <v:shape id="_x0000_s1704" type="#_x0000_t136" alt="" style="position:absolute;left:0;text-align:left;margin-left:0;margin-top:0;width:474.6pt;height:284.75pt;rotation:315;z-index:-2516568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9135D86">
        <v:shape id="_x0000_s1703" type="#_x0000_t136" alt="" style="position:absolute;left:0;text-align:left;margin-left:0;margin-top:0;width:474.6pt;height:284.75pt;rotation:315;z-index:-2516568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4FF8DBC">
        <v:shape id="_x0000_s1702" type="#_x0000_t136" alt="" style="position:absolute;left:0;text-align:left;margin-left:0;margin-top:0;width:474.6pt;height:284.75pt;rotation:315;z-index:-2516568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5B9C72">
        <v:shape id="_x0000_s1701" type="#_x0000_t136" alt="" style="position:absolute;left:0;text-align:left;margin-left:0;margin-top:0;width:474.6pt;height:284.75pt;rotation:315;z-index:-2516568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C8A0A9">
        <v:shape id="_x0000_s1700" type="#_x0000_t136" alt="" style="position:absolute;left:0;text-align:left;margin-left:0;margin-top:0;width:474.6pt;height:284.75pt;rotation:315;z-index:-2516568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26482EB">
        <v:shape id="_x0000_s1699" type="#_x0000_t136" alt="" style="position:absolute;left:0;text-align:left;margin-left:0;margin-top:0;width:474.6pt;height:284.75pt;rotation:315;z-index:-2516568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9AD54D">
        <v:shape id="_x0000_s1698" type="#_x0000_t136" alt="" style="position:absolute;left:0;text-align:left;margin-left:0;margin-top:0;width:474.6pt;height:284.75pt;rotation:315;z-index:-2516568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5E63E8">
        <v:shape id="_x0000_s1697" type="#_x0000_t136" alt="" style="position:absolute;left:0;text-align:left;margin-left:0;margin-top:0;width:474.6pt;height:284.75pt;rotation:315;z-index:-2516568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58382F9">
        <v:shape id="_x0000_s1696" type="#_x0000_t136" alt="" style="position:absolute;left:0;text-align:left;margin-left:0;margin-top:0;width:474.6pt;height:284.75pt;rotation:315;z-index:-2516569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05383ED">
        <v:shape id="_x0000_s1695" type="#_x0000_t136" alt="" style="position:absolute;left:0;text-align:left;margin-left:0;margin-top:0;width:474.6pt;height:284.75pt;rotation:315;z-index:-2516569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330E401">
        <v:shape id="_x0000_s1694" type="#_x0000_t136" alt="" style="position:absolute;left:0;text-align:left;margin-left:0;margin-top:0;width:474.6pt;height:284.75pt;rotation:315;z-index:-2516568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F559ED">
        <v:shape id="_x0000_s1693" type="#_x0000_t136" alt="" style="position:absolute;left:0;text-align:left;margin-left:0;margin-top:0;width:474.6pt;height:284.75pt;rotation:315;z-index:-2516568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ABBAAE2">
        <v:shape id="_x0000_s1692" type="#_x0000_t136" alt="" style="position:absolute;left:0;text-align:left;margin-left:0;margin-top:0;width:474.6pt;height:284.75pt;rotation:315;z-index:-2516568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F5D6C6F">
        <v:shape id="_x0000_s1691" type="#_x0000_t136" alt="" style="position:absolute;left:0;text-align:left;margin-left:0;margin-top:0;width:474.6pt;height:284.75pt;rotation:315;z-index:-2516568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BC5E7DD">
        <v:shape id="_x0000_s1690" type="#_x0000_t136" alt="" style="position:absolute;left:0;text-align:left;margin-left:0;margin-top:0;width:474.6pt;height:284.75pt;rotation:315;z-index:-2516568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5B5DEAF">
        <v:shape id="_x0000_s1689" type="#_x0000_t136" alt="" style="position:absolute;left:0;text-align:left;margin-left:0;margin-top:0;width:474.6pt;height:284.75pt;rotation:315;z-index:-2516568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B1A0823">
        <v:shape id="_x0000_s1688" type="#_x0000_t136" alt="" style="position:absolute;left:0;text-align:left;margin-left:0;margin-top:0;width:474.6pt;height:284.75pt;rotation:315;z-index:-2516569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50E253">
        <v:shape id="_x0000_s1687" type="#_x0000_t136" alt="" style="position:absolute;left:0;text-align:left;margin-left:0;margin-top:0;width:474.6pt;height:284.75pt;rotation:315;z-index:-2516569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679A3B9">
        <v:shape id="_x0000_s1686" type="#_x0000_t136" alt="" style="position:absolute;left:0;text-align:left;margin-left:0;margin-top:0;width:474.6pt;height:284.75pt;rotation:315;z-index:-2516569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3D8CC1A">
        <v:shape id="_x0000_s1685" type="#_x0000_t136" alt="" style="position:absolute;left:0;text-align:left;margin-left:0;margin-top:0;width:474.6pt;height:284.75pt;rotation:315;z-index:-2516569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020618E">
        <v:shape id="_x0000_s1684" type="#_x0000_t136" alt="" style="position:absolute;left:0;text-align:left;margin-left:0;margin-top:0;width:474.6pt;height:284.75pt;rotation:315;z-index:-2516569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6BDBBD">
        <v:shape id="_x0000_s1683" type="#_x0000_t136" alt="" style="position:absolute;left:0;text-align:left;margin-left:0;margin-top:0;width:474.6pt;height:284.75pt;rotation:315;z-index:-2516569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7904769">
        <v:shape id="_x0000_s1682" type="#_x0000_t136" alt="" style="position:absolute;left:0;text-align:left;margin-left:0;margin-top:0;width:474.6pt;height:284.75pt;rotation:315;z-index:-2516569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21750F">
        <v:shape id="_x0000_s1681" type="#_x0000_t136" alt="" style="position:absolute;left:0;text-align:left;margin-left:0;margin-top:0;width:474.6pt;height:284.75pt;rotation:315;z-index:-2516569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4990C9">
        <v:shape id="_x0000_s1680" type="#_x0000_t136" alt="" style="position:absolute;left:0;text-align:left;margin-left:0;margin-top:0;width:474.6pt;height:284.75pt;rotation:315;z-index:-2516569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4DCB438">
        <v:shape id="_x0000_s1679" type="#_x0000_t136" alt="" style="position:absolute;left:0;text-align:left;margin-left:0;margin-top:0;width:474.6pt;height:284.75pt;rotation:315;z-index:-2516569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C88DB16">
        <v:shape id="_x0000_s1678" type="#_x0000_t136" alt="" style="position:absolute;left:0;text-align:left;margin-left:0;margin-top:0;width:474.6pt;height:284.75pt;rotation:315;z-index:-2516569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AD78022">
        <v:shape id="_x0000_s1677" type="#_x0000_t136" alt="" style="position:absolute;left:0;text-align:left;margin-left:0;margin-top:0;width:474.6pt;height:284.75pt;rotation:315;z-index:-2516569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2C3FC2F">
        <v:shape id="_x0000_s1676" type="#_x0000_t136" alt="" style="position:absolute;left:0;text-align:left;margin-left:0;margin-top:0;width:474.6pt;height:284.75pt;rotation:315;z-index:-2516569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9B19E6">
        <v:shape id="_x0000_s1675" type="#_x0000_t136" alt="" style="position:absolute;left:0;text-align:left;margin-left:0;margin-top:0;width:474.6pt;height:284.75pt;rotation:315;z-index:-2516569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4B7F6F4">
        <v:shape id="_x0000_s1674" type="#_x0000_t136" alt="" style="position:absolute;left:0;text-align:left;margin-left:0;margin-top:0;width:474.6pt;height:284.75pt;rotation:315;z-index:-2516569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F42EC23">
        <v:shape id="_x0000_s1673" type="#_x0000_t136" alt="" style="position:absolute;left:0;text-align:left;margin-left:0;margin-top:0;width:474.6pt;height:284.75pt;rotation:315;z-index:-2516569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162E337">
        <v:shape id="_x0000_s1672" type="#_x0000_t136" alt="" style="position:absolute;left:0;text-align:left;margin-left:0;margin-top:0;width:474.6pt;height:284.75pt;rotation:315;z-index:-2516569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A20892">
        <v:shape id="_x0000_s1671" type="#_x0000_t136" alt="" style="position:absolute;left:0;text-align:left;margin-left:0;margin-top:0;width:474.6pt;height:284.75pt;rotation:315;z-index:-2516569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3836494">
        <v:shape id="_x0000_s1670" type="#_x0000_t136" alt="" style="position:absolute;left:0;text-align:left;margin-left:0;margin-top:0;width:474.6pt;height:284.75pt;rotation:315;z-index:-2516569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E116102">
        <v:shape id="_x0000_s1669" type="#_x0000_t136" alt="" style="position:absolute;left:0;text-align:left;margin-left:0;margin-top:0;width:474.6pt;height:284.75pt;rotation:315;z-index:-2516569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B0E4F7">
        <v:shape id="_x0000_s1668" type="#_x0000_t136" alt="" style="position:absolute;left:0;text-align:left;margin-left:0;margin-top:0;width:474.6pt;height:284.75pt;rotation:315;z-index:-2516569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1F3C705">
        <v:shape id="_x0000_s1667" type="#_x0000_t136" alt="" style="position:absolute;left:0;text-align:left;margin-left:0;margin-top:0;width:474.6pt;height:284.75pt;rotation:315;z-index:-2516569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258F7A4">
        <v:shape id="_x0000_s1666" type="#_x0000_t136" alt="" style="position:absolute;left:0;text-align:left;margin-left:0;margin-top:0;width:474.6pt;height:284.75pt;rotation:315;z-index:-2516569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EF4143">
        <v:shape id="_x0000_s1665" type="#_x0000_t136" alt="" style="position:absolute;left:0;text-align:left;margin-left:0;margin-top:0;width:474.6pt;height:284.75pt;rotation:315;z-index:-2516569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0D087FE">
        <v:shape id="_x0000_s1664" type="#_x0000_t136" alt="" style="position:absolute;left:0;text-align:left;margin-left:0;margin-top:0;width:474.6pt;height:284.75pt;rotation:315;z-index:-2516569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872BEF8">
        <v:shape id="_x0000_s1663" type="#_x0000_t136" alt="" style="position:absolute;left:0;text-align:left;margin-left:0;margin-top:0;width:474.6pt;height:284.75pt;rotation:315;z-index:-2516569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34092A5">
        <v:shape id="_x0000_s1662" type="#_x0000_t136" alt="" style="position:absolute;left:0;text-align:left;margin-left:0;margin-top:0;width:474.6pt;height:284.75pt;rotation:315;z-index:-2516569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CDDDF2D">
        <v:shape id="_x0000_s1661" type="#_x0000_t136" alt="" style="position:absolute;left:0;text-align:left;margin-left:0;margin-top:0;width:474.6pt;height:284.75pt;rotation:315;z-index:-2516569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3D34627">
        <v:shape id="_x0000_s1660" type="#_x0000_t136" alt="" style="position:absolute;left:0;text-align:left;margin-left:0;margin-top:0;width:474.6pt;height:284.75pt;rotation:315;z-index:-2516569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E15016">
        <v:shape id="_x0000_s1659" type="#_x0000_t136" alt="" style="position:absolute;left:0;text-align:left;margin-left:0;margin-top:0;width:474.6pt;height:284.75pt;rotation:315;z-index:-2516569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1425DED">
        <v:shape id="_x0000_s1658" type="#_x0000_t136" alt="" style="position:absolute;left:0;text-align:left;margin-left:0;margin-top:0;width:474.6pt;height:284.75pt;rotation:315;z-index:-2516569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507E70F">
        <v:shape id="_x0000_s1657" type="#_x0000_t136" alt="" style="position:absolute;left:0;text-align:left;margin-left:0;margin-top:0;width:474.6pt;height:284.75pt;rotation:315;z-index:-2516569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DE5EA31">
        <v:shape id="_x0000_s1656" type="#_x0000_t136" alt="" style="position:absolute;left:0;text-align:left;margin-left:0;margin-top:0;width:474.6pt;height:284.75pt;rotation:315;z-index:-2516569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6D9C320">
        <v:shape id="_x0000_s1655" type="#_x0000_t136" alt="" style="position:absolute;left:0;text-align:left;margin-left:0;margin-top:0;width:474.6pt;height:284.75pt;rotation:315;z-index:-2516569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F12AD5B">
        <v:shape id="_x0000_s1654" type="#_x0000_t136" alt="" style="position:absolute;left:0;text-align:left;margin-left:0;margin-top:0;width:474.6pt;height:284.75pt;rotation:315;z-index:-2516569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886846C">
        <v:shape id="_x0000_s1653" type="#_x0000_t136" alt="" style="position:absolute;left:0;text-align:left;margin-left:0;margin-top:0;width:474.6pt;height:284.75pt;rotation:315;z-index:-2516569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CA9A86">
        <v:shape id="_x0000_s1652" type="#_x0000_t136" alt="" style="position:absolute;left:0;text-align:left;margin-left:0;margin-top:0;width:474.6pt;height:284.75pt;rotation:315;z-index:-2516569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390DDD3">
        <v:shape id="_x0000_s1651" type="#_x0000_t136" alt="" style="position:absolute;left:0;text-align:left;margin-left:0;margin-top:0;width:474.6pt;height:284.75pt;rotation:315;z-index:-2516569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C4FD294">
        <v:shape id="_x0000_s1650" type="#_x0000_t136" alt="" style="position:absolute;left:0;text-align:left;margin-left:0;margin-top:0;width:474.6pt;height:284.75pt;rotation:315;z-index:-2516569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A31C1E">
        <v:shape id="_x0000_s1649" type="#_x0000_t136" alt="" style="position:absolute;left:0;text-align:left;margin-left:0;margin-top:0;width:474.6pt;height:284.75pt;rotation:315;z-index:-2516569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449D1D4">
        <v:shape id="_x0000_s1648" type="#_x0000_t136" alt="" style="position:absolute;left:0;text-align:left;margin-left:0;margin-top:0;width:474.6pt;height:284.75pt;rotation:315;z-index:-2516569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6749675">
        <v:shape id="_x0000_s1647" type="#_x0000_t136" alt="" style="position:absolute;left:0;text-align:left;margin-left:0;margin-top:0;width:474.6pt;height:284.75pt;rotation:315;z-index:-2516569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9E1F7F">
        <v:shape id="_x0000_s1646" type="#_x0000_t136" alt="" style="position:absolute;left:0;text-align:left;margin-left:0;margin-top:0;width:474.6pt;height:284.75pt;rotation:315;z-index:-2516569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93C85A7">
        <v:shape id="_x0000_s1645" type="#_x0000_t136" alt="" style="position:absolute;left:0;text-align:left;margin-left:0;margin-top:0;width:474.6pt;height:284.75pt;rotation:315;z-index:-2516569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638AF5">
        <v:shape id="_x0000_s1644" type="#_x0000_t136" alt="" style="position:absolute;left:0;text-align:left;margin-left:0;margin-top:0;width:474.6pt;height:284.75pt;rotation:315;z-index:-2516569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A0FB99C">
        <v:shape id="_x0000_s1643" type="#_x0000_t136" alt="" style="position:absolute;left:0;text-align:left;margin-left:0;margin-top:0;width:474.6pt;height:284.75pt;rotation:315;z-index:-2516569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1169F4C">
        <v:shape id="_x0000_s1642" type="#_x0000_t136" alt="" style="position:absolute;left:0;text-align:left;margin-left:0;margin-top:0;width:474.6pt;height:284.75pt;rotation:315;z-index:-2516569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DBA1047">
        <v:shape id="_x0000_s1641" type="#_x0000_t136" alt="" style="position:absolute;left:0;text-align:left;margin-left:0;margin-top:0;width:474.6pt;height:284.75pt;rotation:315;z-index:-2516569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C37768">
        <v:shape id="_x0000_s1640" type="#_x0000_t136" alt="" style="position:absolute;left:0;text-align:left;margin-left:0;margin-top:0;width:474.6pt;height:284.75pt;rotation:315;z-index:-2516570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3FB9FF2">
        <v:shape id="_x0000_s1639" type="#_x0000_t136" alt="" style="position:absolute;left:0;text-align:left;margin-left:0;margin-top:0;width:474.6pt;height:284.75pt;rotation:315;z-index:-2516570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248553">
        <v:shape id="_x0000_s1638" type="#_x0000_t136" alt="" style="position:absolute;left:0;text-align:left;margin-left:0;margin-top:0;width:474.6pt;height:284.75pt;rotation:315;z-index:-2516570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B114BE">
        <v:shape id="_x0000_s1637" type="#_x0000_t136" alt="" style="position:absolute;left:0;text-align:left;margin-left:0;margin-top:0;width:474.6pt;height:284.75pt;rotation:315;z-index:-2516570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F1E2CEA">
        <v:shape id="_x0000_s1636" type="#_x0000_t136" alt="" style="position:absolute;left:0;text-align:left;margin-left:0;margin-top:0;width:474.6pt;height:284.75pt;rotation:315;z-index:-2516570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3B7EC5">
        <v:shape id="_x0000_s1635" type="#_x0000_t136" alt="" style="position:absolute;left:0;text-align:left;margin-left:0;margin-top:0;width:474.6pt;height:284.75pt;rotation:315;z-index:-2516570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5FB9E7A">
        <v:shape id="_x0000_s1634" type="#_x0000_t136" alt="" style="position:absolute;left:0;text-align:left;margin-left:0;margin-top:0;width:474.6pt;height:284.75pt;rotation:315;z-index:-2516570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F4AAC25">
        <v:shape id="_x0000_s1633" type="#_x0000_t136" alt="" style="position:absolute;left:0;text-align:left;margin-left:0;margin-top:0;width:474.6pt;height:284.75pt;rotation:315;z-index:-2516570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517A555">
        <v:shape id="_x0000_s1632" type="#_x0000_t136" alt="" style="position:absolute;left:0;text-align:left;margin-left:0;margin-top:0;width:474.6pt;height:284.75pt;rotation:315;z-index:-2516570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053210">
        <v:shape id="_x0000_s1631" type="#_x0000_t136" alt="" style="position:absolute;left:0;text-align:left;margin-left:0;margin-top:0;width:474.6pt;height:284.75pt;rotation:315;z-index:-2516570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3E78068">
        <v:shape id="_x0000_s1630" type="#_x0000_t136" alt="" style="position:absolute;left:0;text-align:left;margin-left:0;margin-top:0;width:474.6pt;height:284.75pt;rotation:315;z-index:-2516570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DD49E0D">
        <v:shape id="_x0000_s1629" type="#_x0000_t136" alt="" style="position:absolute;left:0;text-align:left;margin-left:0;margin-top:0;width:474.6pt;height:284.75pt;rotation:315;z-index:-2516570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55AC4C8">
        <v:shape id="_x0000_s1628" type="#_x0000_t136" alt="" style="position:absolute;left:0;text-align:left;margin-left:0;margin-top:0;width:474.6pt;height:284.75pt;rotation:315;z-index:-2516570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0BD1503">
        <v:shape id="_x0000_s1627" type="#_x0000_t136" alt="" style="position:absolute;left:0;text-align:left;margin-left:0;margin-top:0;width:474.6pt;height:284.75pt;rotation:315;z-index:-2516570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AE8D29">
        <v:shape id="_x0000_s1626" type="#_x0000_t136" alt="" style="position:absolute;left:0;text-align:left;margin-left:0;margin-top:0;width:474.6pt;height:284.75pt;rotation:315;z-index:-2516570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7FB9969">
        <v:shape id="_x0000_s1625" type="#_x0000_t136" alt="" style="position:absolute;left:0;text-align:left;margin-left:0;margin-top:0;width:474.6pt;height:284.75pt;rotation:315;z-index:-2516570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D264484">
        <v:shape id="_x0000_s1624" type="#_x0000_t136" alt="" style="position:absolute;left:0;text-align:left;margin-left:0;margin-top:0;width:474.6pt;height:284.75pt;rotation:315;z-index:-2516570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09F484">
        <v:shape id="_x0000_s1623" type="#_x0000_t136" alt="" style="position:absolute;left:0;text-align:left;margin-left:0;margin-top:0;width:474.6pt;height:284.75pt;rotation:315;z-index:-2516570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3DD3047">
        <v:shape id="_x0000_s1622" type="#_x0000_t136" alt="" style="position:absolute;left:0;text-align:left;margin-left:0;margin-top:0;width:474.6pt;height:284.75pt;rotation:315;z-index:-2516570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89F5862">
        <v:shape id="_x0000_s1621" type="#_x0000_t136" alt="" style="position:absolute;left:0;text-align:left;margin-left:0;margin-top:0;width:474.6pt;height:284.75pt;rotation:315;z-index:-2516570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0D8005D">
        <v:shape id="_x0000_s1620" type="#_x0000_t136" alt="" style="position:absolute;left:0;text-align:left;margin-left:0;margin-top:0;width:474.6pt;height:284.75pt;rotation:315;z-index:-2516570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8DF047E">
        <v:shape id="_x0000_s1619" type="#_x0000_t136" alt="" style="position:absolute;left:0;text-align:left;margin-left:0;margin-top:0;width:474.6pt;height:284.75pt;rotation:315;z-index:-2516570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097D1F9">
        <v:shape id="_x0000_s1618" type="#_x0000_t136" alt="" style="position:absolute;left:0;text-align:left;margin-left:0;margin-top:0;width:474.6pt;height:284.75pt;rotation:315;z-index:-2516570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B1F8560">
        <v:shape id="_x0000_s1617" type="#_x0000_t136" alt="" style="position:absolute;left:0;text-align:left;margin-left:0;margin-top:0;width:474.6pt;height:284.75pt;rotation:315;z-index:-2516570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6BDD197">
        <v:shape id="_x0000_s1616" type="#_x0000_t136" alt="" style="position:absolute;left:0;text-align:left;margin-left:0;margin-top:0;width:474.6pt;height:284.75pt;rotation:315;z-index:-2516570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48835FB">
        <v:shape id="_x0000_s1615" type="#_x0000_t136" alt="" style="position:absolute;left:0;text-align:left;margin-left:0;margin-top:0;width:474.6pt;height:284.75pt;rotation:315;z-index:-2516570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BF1CDF">
        <v:shape id="_x0000_s1614" type="#_x0000_t136" alt="" style="position:absolute;left:0;text-align:left;margin-left:0;margin-top:0;width:474.6pt;height:284.75pt;rotation:315;z-index:-2516570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8E59233">
        <v:shape id="_x0000_s1613" type="#_x0000_t136" alt="" style="position:absolute;left:0;text-align:left;margin-left:0;margin-top:0;width:474.6pt;height:284.75pt;rotation:315;z-index:-2516570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77B4D5C">
        <v:shape id="_x0000_s1612" type="#_x0000_t136" alt="" style="position:absolute;left:0;text-align:left;margin-left:0;margin-top:0;width:474.6pt;height:284.75pt;rotation:315;z-index:-2516570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9ABCA1F">
        <v:shape id="_x0000_s1611" type="#_x0000_t136" alt="" style="position:absolute;left:0;text-align:left;margin-left:0;margin-top:0;width:474.6pt;height:284.75pt;rotation:315;z-index:-2516570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AB3D862">
        <v:shape id="_x0000_s1610" type="#_x0000_t136" alt="" style="position:absolute;left:0;text-align:left;margin-left:0;margin-top:0;width:474.6pt;height:284.75pt;rotation:315;z-index:-2516570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41CB22">
        <v:shape id="_x0000_s1609" type="#_x0000_t136" alt="" style="position:absolute;left:0;text-align:left;margin-left:0;margin-top:0;width:474.6pt;height:284.75pt;rotation:315;z-index:-2516570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94AE49">
        <v:shape id="_x0000_s1608" type="#_x0000_t136" alt="" style="position:absolute;left:0;text-align:left;margin-left:0;margin-top:0;width:474.6pt;height:284.75pt;rotation:315;z-index:-2516570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714DC19">
        <v:shape id="_x0000_s1607" type="#_x0000_t136" alt="" style="position:absolute;left:0;text-align:left;margin-left:0;margin-top:0;width:474.6pt;height:284.75pt;rotation:315;z-index:-2516570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EFAE35">
        <v:shape id="_x0000_s1606" type="#_x0000_t136" alt="" style="position:absolute;left:0;text-align:left;margin-left:0;margin-top:0;width:474.6pt;height:284.75pt;rotation:315;z-index:-2516570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3A3D87">
        <v:shape id="_x0000_s1605" type="#_x0000_t136" alt="" style="position:absolute;left:0;text-align:left;margin-left:0;margin-top:0;width:474.6pt;height:284.75pt;rotation:315;z-index:-2516570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8D739F">
        <v:shape id="_x0000_s1604" type="#_x0000_t136" alt="" style="position:absolute;left:0;text-align:left;margin-left:0;margin-top:0;width:474.6pt;height:284.75pt;rotation:315;z-index:-2516570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10F983D">
        <v:shape id="_x0000_s1603" type="#_x0000_t136" alt="" style="position:absolute;left:0;text-align:left;margin-left:0;margin-top:0;width:474.6pt;height:284.75pt;rotation:315;z-index:-2516570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ECBC40">
        <v:shape id="_x0000_s1602" type="#_x0000_t136" alt="" style="position:absolute;left:0;text-align:left;margin-left:0;margin-top:0;width:474.6pt;height:284.75pt;rotation:315;z-index:-2516570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3374943">
        <v:shape id="_x0000_s1601" type="#_x0000_t136" alt="" style="position:absolute;left:0;text-align:left;margin-left:0;margin-top:0;width:474.6pt;height:284.75pt;rotation:315;z-index:-2516570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4B3ACB">
        <v:shape id="_x0000_s1600" type="#_x0000_t136" alt="" style="position:absolute;left:0;text-align:left;margin-left:0;margin-top:0;width:474.6pt;height:284.75pt;rotation:315;z-index:-2516570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6C1732A">
        <v:shape id="_x0000_s1599" type="#_x0000_t136" alt="" style="position:absolute;left:0;text-align:left;margin-left:0;margin-top:0;width:474.6pt;height:284.75pt;rotation:315;z-index:-2516570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B64524">
        <v:shape id="_x0000_s1598" type="#_x0000_t136" alt="" style="position:absolute;left:0;text-align:left;margin-left:0;margin-top:0;width:474.6pt;height:284.75pt;rotation:315;z-index:-2516570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E8F2FC6">
        <v:shape id="_x0000_s1597" type="#_x0000_t136" alt="" style="position:absolute;left:0;text-align:left;margin-left:0;margin-top:0;width:474.6pt;height:284.75pt;rotation:315;z-index:-2516570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487CA9">
        <v:shape id="_x0000_s1596" type="#_x0000_t136" alt="" style="position:absolute;left:0;text-align:left;margin-left:0;margin-top:0;width:474.6pt;height:284.75pt;rotation:315;z-index:-2516570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AE3C98">
        <v:shape id="_x0000_s1595" type="#_x0000_t136" alt="" style="position:absolute;left:0;text-align:left;margin-left:0;margin-top:0;width:474.6pt;height:284.75pt;rotation:315;z-index:-2516570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CF3BCC4">
        <v:shape id="_x0000_s1594" type="#_x0000_t136" alt="" style="position:absolute;left:0;text-align:left;margin-left:0;margin-top:0;width:474.6pt;height:284.75pt;rotation:315;z-index:-2516570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15263C4">
        <v:shape id="_x0000_s1593" type="#_x0000_t136" alt="" style="position:absolute;left:0;text-align:left;margin-left:0;margin-top:0;width:474.6pt;height:284.75pt;rotation:315;z-index:-2516570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FA23C82">
        <v:shape id="_x0000_s1592" type="#_x0000_t136" alt="" style="position:absolute;left:0;text-align:left;margin-left:0;margin-top:0;width:474.6pt;height:284.75pt;rotation:315;z-index:-2516571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1AFD2B6">
        <v:shape id="_x0000_s1591" type="#_x0000_t136" alt="" style="position:absolute;left:0;text-align:left;margin-left:0;margin-top:0;width:474.6pt;height:284.75pt;rotation:315;z-index:-2516571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398DAD">
        <v:shape id="_x0000_s1590" type="#_x0000_t136" alt="" style="position:absolute;left:0;text-align:left;margin-left:0;margin-top:0;width:474.6pt;height:284.75pt;rotation:315;z-index:-2516571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BFC995">
        <v:shape id="_x0000_s1589" type="#_x0000_t136" alt="" style="position:absolute;left:0;text-align:left;margin-left:0;margin-top:0;width:474.6pt;height:284.75pt;rotation:315;z-index:-2516571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D1FB7EB">
        <v:shape id="_x0000_s1588" type="#_x0000_t136" alt="" style="position:absolute;left:0;text-align:left;margin-left:0;margin-top:0;width:474.6pt;height:284.75pt;rotation:315;z-index:-2516571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83B0D7">
        <v:shape id="_x0000_s1587" type="#_x0000_t136" alt="" style="position:absolute;left:0;text-align:left;margin-left:0;margin-top:0;width:474.6pt;height:284.75pt;rotation:315;z-index:-2516571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184BE0">
        <v:shape id="_x0000_s1586" type="#_x0000_t136" alt="" style="position:absolute;left:0;text-align:left;margin-left:0;margin-top:0;width:474.6pt;height:284.75pt;rotation:315;z-index:-2516571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6045D4">
        <v:shape id="_x0000_s1585" type="#_x0000_t136" alt="" style="position:absolute;left:0;text-align:left;margin-left:0;margin-top:0;width:474.6pt;height:284.75pt;rotation:315;z-index:-2516571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0F1C3B1">
        <v:shape id="_x0000_s1584" type="#_x0000_t136" alt="" style="position:absolute;left:0;text-align:left;margin-left:0;margin-top:0;width:474.6pt;height:284.75pt;rotation:315;z-index:-2516571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BC51F8">
        <v:shape id="_x0000_s1583" type="#_x0000_t136" alt="" style="position:absolute;left:0;text-align:left;margin-left:0;margin-top:0;width:474.6pt;height:284.75pt;rotation:315;z-index:-2516571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8F4038">
        <v:shape id="_x0000_s1582" type="#_x0000_t136" alt="" style="position:absolute;left:0;text-align:left;margin-left:0;margin-top:0;width:474.6pt;height:284.75pt;rotation:315;z-index:-2516571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930707">
        <v:shape id="_x0000_s1581" type="#_x0000_t136" alt="" style="position:absolute;left:0;text-align:left;margin-left:0;margin-top:0;width:474.6pt;height:284.75pt;rotation:315;z-index:-2516571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67C657B">
        <v:shape id="_x0000_s1580" type="#_x0000_t136" alt="" style="position:absolute;left:0;text-align:left;margin-left:0;margin-top:0;width:474.6pt;height:284.75pt;rotation:315;z-index:-2516571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C2DDB6">
        <v:shape id="_x0000_s1579" type="#_x0000_t136" alt="" style="position:absolute;left:0;text-align:left;margin-left:0;margin-top:0;width:474.6pt;height:284.75pt;rotation:315;z-index:-251657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7A3F32">
        <v:shape id="_x0000_s1578" type="#_x0000_t136" alt="" style="position:absolute;left:0;text-align:left;margin-left:0;margin-top:0;width:474.6pt;height:284.75pt;rotation:315;z-index:-2516571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7D24539">
        <v:shape id="_x0000_s1577" type="#_x0000_t136" alt="" style="position:absolute;left:0;text-align:left;margin-left:0;margin-top:0;width:474.6pt;height:284.75pt;rotation:315;z-index:-2516571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6ACB9F0">
        <v:shape id="_x0000_s1576" type="#_x0000_t136" alt="" style="position:absolute;left:0;text-align:left;margin-left:0;margin-top:0;width:474.6pt;height:284.75pt;rotation:315;z-index:-2516571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15BD75B">
        <v:shape id="_x0000_s1575" type="#_x0000_t136" alt="" style="position:absolute;left:0;text-align:left;margin-left:0;margin-top:0;width:474.6pt;height:284.75pt;rotation:315;z-index:-2516571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7D8FEFD">
        <v:shape id="_x0000_s1574" type="#_x0000_t136" alt="" style="position:absolute;left:0;text-align:left;margin-left:0;margin-top:0;width:474.6pt;height:284.75pt;rotation:315;z-index:-2516571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FA2C615">
        <v:shape id="_x0000_s1573" type="#_x0000_t136" alt="" style="position:absolute;left:0;text-align:left;margin-left:0;margin-top:0;width:474.6pt;height:284.75pt;rotation:315;z-index:-2516571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8277E53">
        <v:shape id="_x0000_s1572" type="#_x0000_t136" alt="" style="position:absolute;left:0;text-align:left;margin-left:0;margin-top:0;width:474.6pt;height:284.75pt;rotation:315;z-index:-2516571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4C9B9E">
        <v:shape id="_x0000_s1571" type="#_x0000_t136" alt="" style="position:absolute;left:0;text-align:left;margin-left:0;margin-top:0;width:474.6pt;height:284.75pt;rotation:315;z-index:-2516571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2142791">
        <v:shape id="_x0000_s1570" type="#_x0000_t136" alt="" style="position:absolute;left:0;text-align:left;margin-left:0;margin-top:0;width:474.6pt;height:284.75pt;rotation:315;z-index:-2516571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947B4C6">
        <v:shape id="_x0000_s1569" type="#_x0000_t136" alt="" style="position:absolute;left:0;text-align:left;margin-left:0;margin-top:0;width:474.6pt;height:284.75pt;rotation:315;z-index:-2516571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F78B6BE">
        <v:shape id="_x0000_s1568" type="#_x0000_t136" alt="" style="position:absolute;left:0;text-align:left;margin-left:0;margin-top:0;width:474.6pt;height:284.75pt;rotation:315;z-index:-2516571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703EF43">
        <v:shape id="_x0000_s1567" type="#_x0000_t136" alt="" style="position:absolute;left:0;text-align:left;margin-left:0;margin-top:0;width:474.6pt;height:284.75pt;rotation:315;z-index:-2516571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D20D5B8">
        <v:shape id="_x0000_s1566" type="#_x0000_t136" alt="" style="position:absolute;left:0;text-align:left;margin-left:0;margin-top:0;width:474.6pt;height:284.75pt;rotation:315;z-index:-2516571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F971BD4">
        <v:shape id="_x0000_s1565" type="#_x0000_t136" alt="" style="position:absolute;left:0;text-align:left;margin-left:0;margin-top:0;width:474.6pt;height:284.75pt;rotation:315;z-index:-2516571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1B87FE">
        <v:shape id="_x0000_s1564" type="#_x0000_t136" alt="" style="position:absolute;left:0;text-align:left;margin-left:0;margin-top:0;width:474.6pt;height:284.75pt;rotation:315;z-index:-2516571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ED84592">
        <v:shape id="_x0000_s1563" type="#_x0000_t136" alt="" style="position:absolute;left:0;text-align:left;margin-left:0;margin-top:0;width:474.6pt;height:284.75pt;rotation:315;z-index:-2516571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DB70A49">
        <v:shape id="_x0000_s1562" type="#_x0000_t136" alt="" style="position:absolute;left:0;text-align:left;margin-left:0;margin-top:0;width:474.6pt;height:284.75pt;rotation:315;z-index:-2516571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9B3921B">
        <v:shape id="_x0000_s1561" type="#_x0000_t136" alt="" style="position:absolute;left:0;text-align:left;margin-left:0;margin-top:0;width:474.6pt;height:284.75pt;rotation:315;z-index:-2516571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459DE9">
        <v:shape id="_x0000_s1560" type="#_x0000_t136" alt="" style="position:absolute;left:0;text-align:left;margin-left:0;margin-top:0;width:474.6pt;height:284.75pt;rotation:315;z-index:-2516571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DF2DA4E">
        <v:shape id="_x0000_s1559" type="#_x0000_t136" alt="" style="position:absolute;left:0;text-align:left;margin-left:0;margin-top:0;width:474.6pt;height:284.75pt;rotation:315;z-index:-2516571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F894BFB">
        <v:shape id="_x0000_s1558" type="#_x0000_t136" alt="" style="position:absolute;left:0;text-align:left;margin-left:0;margin-top:0;width:474.6pt;height:284.75pt;rotation:315;z-index:-2516571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6A5311C">
        <v:shape id="_x0000_s1557" type="#_x0000_t136" alt="" style="position:absolute;left:0;text-align:left;margin-left:0;margin-top:0;width:474.6pt;height:284.75pt;rotation:315;z-index:-2516571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F1174B2">
        <v:shape id="_x0000_s1556" type="#_x0000_t136" alt="" style="position:absolute;left:0;text-align:left;margin-left:0;margin-top:0;width:474.6pt;height:284.75pt;rotation:315;z-index:-2516571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2C5225">
        <v:shape id="_x0000_s1555" type="#_x0000_t136" alt="" style="position:absolute;left:0;text-align:left;margin-left:0;margin-top:0;width:474.6pt;height:284.75pt;rotation:315;z-index:-2516571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6784C70">
        <v:shape id="_x0000_s1554" type="#_x0000_t136" alt="" style="position:absolute;left:0;text-align:left;margin-left:0;margin-top:0;width:474.6pt;height:284.75pt;rotation:315;z-index:-2516571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29B8003">
        <v:shape id="_x0000_s1553" type="#_x0000_t136" alt="" style="position:absolute;left:0;text-align:left;margin-left:0;margin-top:0;width:474.6pt;height:284.75pt;rotation:315;z-index:-2516571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D6674B">
        <v:shape id="_x0000_s1552" type="#_x0000_t136" alt="" style="position:absolute;left:0;text-align:left;margin-left:0;margin-top:0;width:474.6pt;height:284.75pt;rotation:315;z-index:-2516571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DF729BD">
        <v:shape id="_x0000_s1551" type="#_x0000_t136" alt="" style="position:absolute;left:0;text-align:left;margin-left:0;margin-top:0;width:474.6pt;height:284.75pt;rotation:315;z-index:-2516571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CC876A7">
        <v:shape id="_x0000_s1550" type="#_x0000_t136" alt="" style="position:absolute;left:0;text-align:left;margin-left:0;margin-top:0;width:474.6pt;height:284.75pt;rotation:315;z-index:-2516571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F9292DD">
        <v:shape id="_x0000_s1549" type="#_x0000_t136" alt="" style="position:absolute;left:0;text-align:left;margin-left:0;margin-top:0;width:474.6pt;height:284.75pt;rotation:315;z-index:-2516571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F6766D4">
        <v:shape id="_x0000_s1548" type="#_x0000_t136" alt="" style="position:absolute;left:0;text-align:left;margin-left:0;margin-top:0;width:474.6pt;height:284.75pt;rotation:315;z-index:-2516571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CEBF377">
        <v:shape id="_x0000_s1547" type="#_x0000_t136" alt="" style="position:absolute;left:0;text-align:left;margin-left:0;margin-top:0;width:474.6pt;height:284.75pt;rotation:315;z-index:-2516571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F3F509B">
        <v:shape id="_x0000_s1546" type="#_x0000_t136" alt="" style="position:absolute;left:0;text-align:left;margin-left:0;margin-top:0;width:474.6pt;height:284.75pt;rotation:315;z-index:-2516571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35BE55F">
        <v:shape id="_x0000_s1545" type="#_x0000_t136" alt="" style="position:absolute;left:0;text-align:left;margin-left:0;margin-top:0;width:474.6pt;height:284.75pt;rotation:315;z-index:-2516571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51EF687">
        <v:shape id="_x0000_s1544" type="#_x0000_t136" alt="" style="position:absolute;left:0;text-align:left;margin-left:0;margin-top:0;width:474.6pt;height:284.75pt;rotation:315;z-index:-2516571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0C6536">
        <v:shape id="_x0000_s1543" type="#_x0000_t136" alt="" style="position:absolute;left:0;text-align:left;margin-left:0;margin-top:0;width:474.6pt;height:284.75pt;rotation:315;z-index:-2516572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1F33D2C">
        <v:shape id="_x0000_s1542" type="#_x0000_t136" alt="" style="position:absolute;left:0;text-align:left;margin-left:0;margin-top:0;width:474.6pt;height:284.75pt;rotation:315;z-index:-2516572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59F825">
        <v:shape id="_x0000_s1541" type="#_x0000_t136" alt="" style="position:absolute;left:0;text-align:left;margin-left:0;margin-top:0;width:474.6pt;height:284.75pt;rotation:315;z-index:-2516572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35624A">
        <v:shape id="_x0000_s1540" type="#_x0000_t136" alt="" style="position:absolute;left:0;text-align:left;margin-left:0;margin-top:0;width:474.6pt;height:284.75pt;rotation:315;z-index:-2516572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5F8F492">
        <v:shape id="_x0000_s1539" type="#_x0000_t136" alt="" style="position:absolute;left:0;text-align:left;margin-left:0;margin-top:0;width:474.6pt;height:284.75pt;rotation:315;z-index:-2516572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CC37FAE">
        <v:shape id="_x0000_s1538" type="#_x0000_t136" alt="" style="position:absolute;left:0;text-align:left;margin-left:0;margin-top:0;width:474.6pt;height:284.75pt;rotation:315;z-index:-2516572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891A5CD">
        <v:shape id="_x0000_s1537" type="#_x0000_t136" alt="" style="position:absolute;left:0;text-align:left;margin-left:0;margin-top:0;width:474.6pt;height:284.75pt;rotation:315;z-index:-2516572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BEA7D4D">
        <v:shape id="_x0000_s1536" type="#_x0000_t136" alt="" style="position:absolute;left:0;text-align:left;margin-left:0;margin-top:0;width:474.6pt;height:284.75pt;rotation:315;z-index:-2516572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2EB803">
        <v:shape id="_x0000_s1535" type="#_x0000_t136" alt="" style="position:absolute;left:0;text-align:left;margin-left:0;margin-top:0;width:474.6pt;height:284.75pt;rotation:315;z-index:-2516572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A7A6B1A">
        <v:shape id="_x0000_s1534" type="#_x0000_t136" alt="" style="position:absolute;left:0;text-align:left;margin-left:0;margin-top:0;width:474.6pt;height:284.75pt;rotation:315;z-index:-2516572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F3CB375">
        <v:shape id="_x0000_s1533" type="#_x0000_t136" alt="" style="position:absolute;left:0;text-align:left;margin-left:0;margin-top:0;width:474.6pt;height:284.75pt;rotation:315;z-index:-2516572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1D722F3">
        <v:shape id="_x0000_s1532" type="#_x0000_t136" alt="" style="position:absolute;left:0;text-align:left;margin-left:0;margin-top:0;width:474.6pt;height:284.75pt;rotation:315;z-index:-2516572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3A7DDD">
        <v:shape id="_x0000_s1531" type="#_x0000_t136" alt="" style="position:absolute;left:0;text-align:left;margin-left:0;margin-top:0;width:474.6pt;height:284.7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F9ABA47">
        <v:shape id="_x0000_s1530" type="#_x0000_t136" alt="" style="position:absolute;left:0;text-align:left;margin-left:0;margin-top:0;width:474.6pt;height:284.75pt;rotation:315;z-index:-2516572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80FE67">
        <v:shape id="_x0000_s1529" type="#_x0000_t136" alt="" style="position:absolute;left:0;text-align:left;margin-left:0;margin-top:0;width:474.6pt;height:284.75pt;rotation:315;z-index:-2516572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0CC6803">
        <v:shape id="_x0000_s1528" type="#_x0000_t136" alt="" style="position:absolute;left:0;text-align:left;margin-left:0;margin-top:0;width:474.6pt;height:284.75pt;rotation:315;z-index:-2516572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0FE344">
        <v:shape id="_x0000_s1527" type="#_x0000_t136" alt="" style="position:absolute;left:0;text-align:left;margin-left:0;margin-top:0;width:474.6pt;height:284.75pt;rotation:315;z-index:-2516572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9AD371">
        <v:shape id="_x0000_s1526" type="#_x0000_t136" alt="" style="position:absolute;left:0;text-align:left;margin-left:0;margin-top:0;width:474.6pt;height:284.75pt;rotation:315;z-index:-2516572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8908C69">
        <v:shape id="_x0000_s1525" type="#_x0000_t136" alt="" style="position:absolute;left:0;text-align:left;margin-left:0;margin-top:0;width:474.6pt;height:284.75pt;rotation:315;z-index:-2516572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082E2DF">
        <v:shape id="_x0000_s1524" type="#_x0000_t136" alt="" style="position:absolute;left:0;text-align:left;margin-left:0;margin-top:0;width:474.6pt;height:284.75pt;rotation:315;z-index:-2516572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193ABB">
        <v:shape id="_x0000_s1523" type="#_x0000_t136" alt="" style="position:absolute;left:0;text-align:left;margin-left:0;margin-top:0;width:474.6pt;height:284.75pt;rotation:315;z-index:-2516572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71B012B">
        <v:shape id="_x0000_s1522" type="#_x0000_t136" alt="" style="position:absolute;left:0;text-align:left;margin-left:0;margin-top:0;width:474.6pt;height:284.75pt;rotation:315;z-index:-2516572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AE4E59">
        <v:shape id="_x0000_s1521" type="#_x0000_t136" alt="" style="position:absolute;left:0;text-align:left;margin-left:0;margin-top:0;width:474.6pt;height:284.75pt;rotation:315;z-index:-2516572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42CC5F0">
        <v:shape id="_x0000_s1520" type="#_x0000_t136" alt="" style="position:absolute;left:0;text-align:left;margin-left:0;margin-top:0;width:474.6pt;height:284.75pt;rotation:315;z-index:-2516572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2D8984">
        <v:shape id="_x0000_s1519" type="#_x0000_t136" alt="" style="position:absolute;left:0;text-align:left;margin-left:0;margin-top:0;width:474.6pt;height:284.75pt;rotation:315;z-index:-2516572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C51C17C">
        <v:shape id="_x0000_s1518" type="#_x0000_t136" alt="" style="position:absolute;left:0;text-align:left;margin-left:0;margin-top:0;width:474.6pt;height:284.75pt;rotation:315;z-index:-2516572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88B775B">
        <v:shape id="_x0000_s1517" type="#_x0000_t136" alt="" style="position:absolute;left:0;text-align:left;margin-left:0;margin-top:0;width:474.6pt;height:284.75pt;rotation:315;z-index:-2516572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721A9DF">
        <v:shape id="_x0000_s1516" type="#_x0000_t136" alt="" style="position:absolute;left:0;text-align:left;margin-left:0;margin-top:0;width:474.6pt;height:284.75pt;rotation:315;z-index:-2516572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388823">
        <v:shape id="_x0000_s1515" type="#_x0000_t136" alt="" style="position:absolute;left:0;text-align:left;margin-left:0;margin-top:0;width:474.6pt;height:284.75pt;rotation:315;z-index:-2516572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E181713">
        <v:shape id="_x0000_s1514" type="#_x0000_t136" alt="" style="position:absolute;left:0;text-align:left;margin-left:0;margin-top:0;width:474.6pt;height:284.75pt;rotation:315;z-index:-2516572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C0E30F">
        <v:shape id="_x0000_s1513" type="#_x0000_t136" alt="" style="position:absolute;left:0;text-align:left;margin-left:0;margin-top:0;width:474.6pt;height:284.75pt;rotation:315;z-index:-2516572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214E036">
        <v:shape id="_x0000_s1512" type="#_x0000_t136" alt="" style="position:absolute;left:0;text-align:left;margin-left:0;margin-top:0;width:474.6pt;height:284.75pt;rotation:315;z-index:-2516572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9EDB30">
        <v:shape id="_x0000_s1511" type="#_x0000_t136" alt="" style="position:absolute;left:0;text-align:left;margin-left:0;margin-top:0;width:474.6pt;height:284.75pt;rotation:315;z-index:-2516572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8157F77">
        <v:shape id="_x0000_s1510" type="#_x0000_t136" alt="" style="position:absolute;left:0;text-align:left;margin-left:0;margin-top:0;width:474.6pt;height:284.75pt;rotation:315;z-index:-2516572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E844EBC">
        <v:shape id="_x0000_s1509" type="#_x0000_t136" alt="" style="position:absolute;left:0;text-align:left;margin-left:0;margin-top:0;width:474.6pt;height:284.75pt;rotation:315;z-index:-2516572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C6D138D">
        <v:shape id="_x0000_s1508" type="#_x0000_t136" alt="" style="position:absolute;left:0;text-align:left;margin-left:0;margin-top:0;width:474.6pt;height:284.75pt;rotation:315;z-index:-2516572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0AC20A">
        <v:shape id="_x0000_s1507" type="#_x0000_t136" alt="" style="position:absolute;left:0;text-align:left;margin-left:0;margin-top:0;width:474.6pt;height:284.75pt;rotation:315;z-index:-2516572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DFB8013">
        <v:shape id="_x0000_s1506" type="#_x0000_t136" alt="" style="position:absolute;left:0;text-align:left;margin-left:0;margin-top:0;width:474.6pt;height:284.75pt;rotation:315;z-index:-2516572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0D0470A">
        <v:shape id="_x0000_s1505" type="#_x0000_t136" alt="" style="position:absolute;left:0;text-align:left;margin-left:0;margin-top:0;width:474.6pt;height:284.75pt;rotation:315;z-index:-2516572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57019E1">
        <v:shape id="_x0000_s1504" type="#_x0000_t136" alt="" style="position:absolute;left:0;text-align:left;margin-left:0;margin-top:0;width:474.6pt;height:284.75pt;rotation:315;z-index:-2516572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3D1267A">
        <v:shape id="_x0000_s1503" type="#_x0000_t136" alt="" style="position:absolute;left:0;text-align:left;margin-left:0;margin-top:0;width:474.6pt;height:284.75pt;rotation:315;z-index:-2516572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9934B9">
        <v:shape id="_x0000_s1502" type="#_x0000_t136" alt="" style="position:absolute;left:0;text-align:left;margin-left:0;margin-top:0;width:474.6pt;height:284.75pt;rotation:315;z-index:-2516572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10CAE3E">
        <v:shape id="_x0000_s1501" type="#_x0000_t136" alt="" style="position:absolute;left:0;text-align:left;margin-left:0;margin-top:0;width:474.6pt;height:284.75pt;rotation:315;z-index:-2516572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1E20556">
        <v:shape id="_x0000_s1500" type="#_x0000_t136" alt="" style="position:absolute;left:0;text-align:left;margin-left:0;margin-top:0;width:474.6pt;height:284.75pt;rotation:315;z-index:-2516572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4031B52">
        <v:shape id="_x0000_s1499" type="#_x0000_t136" alt="" style="position:absolute;left:0;text-align:left;margin-left:0;margin-top:0;width:474.6pt;height:284.75pt;rotation:315;z-index:-2516572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3F55C30">
        <v:shape id="_x0000_s1498" type="#_x0000_t136" alt="" style="position:absolute;left:0;text-align:left;margin-left:0;margin-top:0;width:474.6pt;height:284.75pt;rotation:315;z-index:-2516572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31F786D">
        <v:shape id="_x0000_s1497" type="#_x0000_t136" alt="" style="position:absolute;left:0;text-align:left;margin-left:0;margin-top:0;width:474.6pt;height:284.75pt;rotation:315;z-index:-2516572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5678AE">
        <v:shape id="_x0000_s1496" type="#_x0000_t136" alt="" style="position:absolute;left:0;text-align:left;margin-left:0;margin-top:0;width:474.6pt;height:284.75pt;rotation:315;z-index:-2516572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EDBDBF8">
        <v:shape id="_x0000_s1495" type="#_x0000_t136" alt="" style="position:absolute;left:0;text-align:left;margin-left:0;margin-top:0;width:474.6pt;height:284.75pt;rotation:315;z-index:-2516572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2C99DFA">
        <v:shape id="_x0000_s1494" type="#_x0000_t136" alt="" style="position:absolute;left:0;text-align:left;margin-left:0;margin-top:0;width:474.6pt;height:284.75pt;rotation:315;z-index:-2516572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69F94C2">
        <v:shape id="_x0000_s1493" type="#_x0000_t136" alt="" style="position:absolute;left:0;text-align:left;margin-left:0;margin-top:0;width:474.6pt;height:284.75pt;rotation:315;z-index:-2516573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9D79DEB">
        <v:shape id="_x0000_s1492" type="#_x0000_t136" alt="" style="position:absolute;left:0;text-align:left;margin-left:0;margin-top:0;width:474.6pt;height:284.75pt;rotation:315;z-index:-2516573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DB84ED6">
        <v:shape id="_x0000_s1491" type="#_x0000_t136" alt="" style="position:absolute;left:0;text-align:left;margin-left:0;margin-top:0;width:474.6pt;height:284.75pt;rotation:315;z-index:-2516573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F3841A2">
        <v:shape id="_x0000_s1490" type="#_x0000_t136" alt="" style="position:absolute;left:0;text-align:left;margin-left:0;margin-top:0;width:474.6pt;height:284.75pt;rotation:315;z-index:-2516573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078C73D">
        <v:shape id="_x0000_s1489" type="#_x0000_t136" alt="" style="position:absolute;left:0;text-align:left;margin-left:0;margin-top:0;width:474.6pt;height:284.75pt;rotation:315;z-index:-2516573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CEA5E4C">
        <v:shape id="_x0000_s1488" type="#_x0000_t136" alt="" style="position:absolute;left:0;text-align:left;margin-left:0;margin-top:0;width:474.6pt;height:284.75pt;rotation:315;z-index:-2516573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B2A32D3">
        <v:shape id="_x0000_s1487" type="#_x0000_t136" alt="" style="position:absolute;left:0;text-align:left;margin-left:0;margin-top:0;width:474.6pt;height:284.75pt;rotation:315;z-index:-2516573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8DC843D">
        <v:shape id="_x0000_s1486" type="#_x0000_t136" alt="" style="position:absolute;left:0;text-align:left;margin-left:0;margin-top:0;width:474.6pt;height:284.75pt;rotation:315;z-index:-2516573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CAC6338">
        <v:shape id="_x0000_s1485" type="#_x0000_t136" alt="" style="position:absolute;left:0;text-align:left;margin-left:0;margin-top:0;width:474.6pt;height:284.75pt;rotation:315;z-index:-2516573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2131F0C">
        <v:shape id="_x0000_s1484" type="#_x0000_t136" alt="" style="position:absolute;left:0;text-align:left;margin-left:0;margin-top:0;width:474.6pt;height:284.75pt;rotation:315;z-index:-2516573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8776A19">
        <v:shape id="_x0000_s1483" type="#_x0000_t136" alt="" style="position:absolute;left:0;text-align:left;margin-left:0;margin-top:0;width:474.6pt;height:284.75pt;rotation:315;z-index:-2516573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62A37F">
        <v:shape id="_x0000_s1482" type="#_x0000_t136" alt="" style="position:absolute;left:0;text-align:left;margin-left:0;margin-top:0;width:474.6pt;height:284.75pt;rotation:315;z-index:-2516573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A787968">
        <v:shape id="_x0000_s1481" type="#_x0000_t136" alt="" style="position:absolute;left:0;text-align:left;margin-left:0;margin-top:0;width:474.6pt;height:284.75pt;rotation:315;z-index:-2516573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E9F2A3">
        <v:shape id="_x0000_s1480" type="#_x0000_t136" alt="" style="position:absolute;left:0;text-align:left;margin-left:0;margin-top:0;width:474.6pt;height:284.75pt;rotation:315;z-index:-2516573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1DE37FE">
        <v:shape id="_x0000_s1479" type="#_x0000_t136" alt="" style="position:absolute;left:0;text-align:left;margin-left:0;margin-top:0;width:474.6pt;height:284.75pt;rotation:315;z-index:-2516573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5219AA">
        <v:shape id="_x0000_s1478" type="#_x0000_t136" alt="" style="position:absolute;left:0;text-align:left;margin-left:0;margin-top:0;width:474.6pt;height:284.75pt;rotation:315;z-index:-2516573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FC4B2B">
        <v:shape id="_x0000_s1477" type="#_x0000_t136" alt="" style="position:absolute;left:0;text-align:left;margin-left:0;margin-top:0;width:474.6pt;height:284.75pt;rotation:315;z-index:-2516573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887720C">
        <v:shape id="_x0000_s1476" type="#_x0000_t136" alt="" style="position:absolute;left:0;text-align:left;margin-left:0;margin-top:0;width:474.6pt;height:284.75pt;rotation:315;z-index:-2516573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742A1E">
        <v:shape id="_x0000_s1475" type="#_x0000_t136" alt="" style="position:absolute;left:0;text-align:left;margin-left:0;margin-top:0;width:474.6pt;height:284.75pt;rotation:315;z-index:-2516573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F4AF2ED">
        <v:shape id="_x0000_s1474" type="#_x0000_t136" alt="" style="position:absolute;left:0;text-align:left;margin-left:0;margin-top:0;width:474.6pt;height:284.75pt;rotation:315;z-index:-2516573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4C78AD">
        <v:shape id="_x0000_s1473" type="#_x0000_t136" alt="" style="position:absolute;left:0;text-align:left;margin-left:0;margin-top:0;width:474.6pt;height:284.75pt;rotation:315;z-index:-2516573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F4D6EEB">
        <v:shape id="_x0000_s1472" type="#_x0000_t136" alt="" style="position:absolute;left:0;text-align:left;margin-left:0;margin-top:0;width:474.6pt;height:284.75pt;rotation:315;z-index:-2516573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F4DBBF0">
        <v:shape id="_x0000_s1471" type="#_x0000_t136" alt="" style="position:absolute;left:0;text-align:left;margin-left:0;margin-top:0;width:474.6pt;height:284.75pt;rotation:315;z-index:-2516573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108B0D">
        <v:shape id="_x0000_s1470" type="#_x0000_t136" alt="" style="position:absolute;left:0;text-align:left;margin-left:0;margin-top:0;width:474.6pt;height:284.75pt;rotation:315;z-index:-2516573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6772F7E">
        <v:shape id="_x0000_s1469" type="#_x0000_t136" alt="" style="position:absolute;left:0;text-align:left;margin-left:0;margin-top:0;width:474.6pt;height:284.75pt;rotation:315;z-index:-2516573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008203">
        <v:shape id="_x0000_s1468" type="#_x0000_t136" alt="" style="position:absolute;left:0;text-align:left;margin-left:0;margin-top:0;width:474.6pt;height:284.75pt;rotation:315;z-index:-2516573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4D6377F">
        <v:shape id="_x0000_s1467" type="#_x0000_t136" alt="" style="position:absolute;left:0;text-align:left;margin-left:0;margin-top:0;width:474.6pt;height:284.75pt;rotation:315;z-index:-2516573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E5FBB4">
        <v:shape id="_x0000_s1466" type="#_x0000_t136" alt="" style="position:absolute;left:0;text-align:left;margin-left:0;margin-top:0;width:474.6pt;height:284.75pt;rotation:315;z-index:-2516573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E05AC7">
        <v:shape id="_x0000_s1465" type="#_x0000_t136" alt="" style="position:absolute;left:0;text-align:left;margin-left:0;margin-top:0;width:474.6pt;height:284.75pt;rotation:315;z-index:-2516573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F133E24">
        <v:shape id="_x0000_s1464" type="#_x0000_t136" alt="" style="position:absolute;left:0;text-align:left;margin-left:0;margin-top:0;width:474.6pt;height:284.75pt;rotation:315;z-index:-2516573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00108FC">
        <v:shape id="_x0000_s1463" type="#_x0000_t136" alt="" style="position:absolute;left:0;text-align:left;margin-left:0;margin-top:0;width:474.6pt;height:284.75pt;rotation:315;z-index:-2516573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9D98A5C">
        <v:shape id="_x0000_s1462" type="#_x0000_t136" alt="" style="position:absolute;left:0;text-align:left;margin-left:0;margin-top:0;width:474.6pt;height:284.75pt;rotation:315;z-index:-2516573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AE68D44">
        <v:shape id="_x0000_s1461" type="#_x0000_t136" alt="" style="position:absolute;left:0;text-align:left;margin-left:0;margin-top:0;width:474.6pt;height:284.75pt;rotation:315;z-index:-2516573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F8882BA">
        <v:shape id="_x0000_s1460" type="#_x0000_t136" alt="" style="position:absolute;left:0;text-align:left;margin-left:0;margin-top:0;width:474.6pt;height:284.75pt;rotation:315;z-index:-2516573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491B486">
        <v:shape id="_x0000_s1459" type="#_x0000_t136" alt="" style="position:absolute;left:0;text-align:left;margin-left:0;margin-top:0;width:474.6pt;height:284.75pt;rotation:315;z-index:-2516573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E2FC653">
        <v:shape id="_x0000_s1458" type="#_x0000_t136" alt="" style="position:absolute;left:0;text-align:left;margin-left:0;margin-top:0;width:474.6pt;height:284.75pt;rotation:315;z-index:-2516573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DA1E52">
        <v:shape id="_x0000_s1457" type="#_x0000_t136" alt="" style="position:absolute;left:0;text-align:left;margin-left:0;margin-top:0;width:474.6pt;height:284.75pt;rotation:315;z-index:-2516573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8D2EC77">
        <v:shape id="_x0000_s1456" type="#_x0000_t136" alt="" style="position:absolute;left:0;text-align:left;margin-left:0;margin-top:0;width:474.6pt;height:284.75pt;rotation:315;z-index:-2516573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BA61219">
        <v:shape id="_x0000_s1455" type="#_x0000_t136" alt="" style="position:absolute;left:0;text-align:left;margin-left:0;margin-top:0;width:474.6pt;height:284.75pt;rotation:315;z-index:-2516573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C25E1E">
        <v:shape id="_x0000_s1454" type="#_x0000_t136" alt="" style="position:absolute;left:0;text-align:left;margin-left:0;margin-top:0;width:474.6pt;height:284.75pt;rotation:315;z-index:-2516573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5E3B369">
        <v:shape id="_x0000_s1453" type="#_x0000_t136" alt="" style="position:absolute;left:0;text-align:left;margin-left:0;margin-top:0;width:474.6pt;height:284.75pt;rotation:315;z-index:-2516573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F903CD">
        <v:shape id="_x0000_s1452" type="#_x0000_t136" alt="" style="position:absolute;left:0;text-align:left;margin-left:0;margin-top:0;width:474.6pt;height:284.75pt;rotation:315;z-index:-2516573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5EA5B9">
        <v:shape id="_x0000_s1451" type="#_x0000_t136" alt="" style="position:absolute;left:0;text-align:left;margin-left:0;margin-top:0;width:474.6pt;height:284.75pt;rotation:315;z-index:-2516573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87FCA0A">
        <v:shape id="_x0000_s1450" type="#_x0000_t136" alt="" style="position:absolute;left:0;text-align:left;margin-left:0;margin-top:0;width:474.6pt;height:284.75pt;rotation:315;z-index:-2516573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51E4593">
        <v:shape id="_x0000_s1449" type="#_x0000_t136" alt="" style="position:absolute;left:0;text-align:left;margin-left:0;margin-top:0;width:474.6pt;height:284.75pt;rotation:315;z-index:-2516573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55ADDED">
        <v:shape id="_x0000_s1448" type="#_x0000_t136" alt="" style="position:absolute;left:0;text-align:left;margin-left:0;margin-top:0;width:474.6pt;height:284.75pt;rotation:315;z-index:-2516573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5CB1F92">
        <v:shape id="_x0000_s1447" type="#_x0000_t136" alt="" style="position:absolute;left:0;text-align:left;margin-left:0;margin-top:0;width:474.6pt;height:284.75pt;rotation:315;z-index:-2516573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7B3E12">
        <v:shape id="_x0000_s1446" type="#_x0000_t136" alt="" style="position:absolute;left:0;text-align:left;margin-left:0;margin-top:0;width:474.6pt;height:284.75pt;rotation:315;z-index:-2516573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2596EC5">
        <v:shape id="_x0000_s1445" type="#_x0000_t136" alt="" style="position:absolute;left:0;text-align:left;margin-left:0;margin-top:0;width:474.6pt;height:284.75pt;rotation:315;z-index:-2516573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B1339CE">
        <v:shape id="_x0000_s1444" type="#_x0000_t136" alt="" style="position:absolute;left:0;text-align:left;margin-left:0;margin-top:0;width:474.6pt;height:284.75pt;rotation:315;z-index:-2516573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F77335">
        <v:shape id="_x0000_s1443" type="#_x0000_t136" alt="" style="position:absolute;left:0;text-align:left;margin-left:0;margin-top:0;width:474.6pt;height:284.75pt;rotation:315;z-index:-2516574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463D55E">
        <v:shape id="_x0000_s1442" type="#_x0000_t136" alt="" style="position:absolute;left:0;text-align:left;margin-left:0;margin-top:0;width:474.6pt;height:284.75pt;rotation:315;z-index:-2516574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708BA6F">
        <v:shape id="_x0000_s1441" type="#_x0000_t136" alt="" style="position:absolute;left:0;text-align:left;margin-left:0;margin-top:0;width:474.6pt;height:284.75pt;rotation:315;z-index:-2516574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B42F78F">
        <v:shape id="_x0000_s1440" type="#_x0000_t136" alt="" style="position:absolute;left:0;text-align:left;margin-left:0;margin-top:0;width:474.6pt;height:284.75pt;rotation:315;z-index:-2516574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C9A751">
        <v:shape id="_x0000_s1439" type="#_x0000_t136" alt="" style="position:absolute;left:0;text-align:left;margin-left:0;margin-top:0;width:474.6pt;height:284.75pt;rotation:315;z-index:-2516574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F006D88">
        <v:shape id="_x0000_s1438" type="#_x0000_t136" alt="" style="position:absolute;left:0;text-align:left;margin-left:0;margin-top:0;width:474.6pt;height:284.75pt;rotation:315;z-index:-2516574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80DF534">
        <v:shape id="_x0000_s1437" type="#_x0000_t136" alt="" style="position:absolute;left:0;text-align:left;margin-left:0;margin-top:0;width:474.6pt;height:284.75pt;rotation:315;z-index:-2516574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9EF3AAB">
        <v:shape id="_x0000_s1436" type="#_x0000_t136" alt="" style="position:absolute;left:0;text-align:left;margin-left:0;margin-top:0;width:474.6pt;height:284.75pt;rotation:315;z-index:-2516574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CA2C08E">
        <v:shape id="_x0000_s1435" type="#_x0000_t136" alt="" style="position:absolute;left:0;text-align:left;margin-left:0;margin-top:0;width:474.6pt;height:284.75pt;rotation:315;z-index:-2516574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31CDAEB">
        <v:shape id="_x0000_s1434" type="#_x0000_t136" alt="" style="position:absolute;left:0;text-align:left;margin-left:0;margin-top:0;width:474.6pt;height:284.75pt;rotation:315;z-index:-2516574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4F9D52">
        <v:shape id="_x0000_s1433" type="#_x0000_t136" alt="" style="position:absolute;left:0;text-align:left;margin-left:0;margin-top:0;width:474.6pt;height:284.75pt;rotation:315;z-index:-2516574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1F4B67B">
        <v:shape id="_x0000_s1432" type="#_x0000_t136" alt="" style="position:absolute;left:0;text-align:left;margin-left:0;margin-top:0;width:474.6pt;height:284.75pt;rotation:315;z-index:-2516574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8D90028">
        <v:shape id="_x0000_s1431" type="#_x0000_t136" alt="" style="position:absolute;left:0;text-align:left;margin-left:0;margin-top:0;width:474.6pt;height:284.75pt;rotation:315;z-index:-2516574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03EC9E1">
        <v:shape id="_x0000_s1430" type="#_x0000_t136" alt="" style="position:absolute;left:0;text-align:left;margin-left:0;margin-top:0;width:474.6pt;height:284.75pt;rotation:315;z-index:-2516574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35F334">
        <v:shape id="_x0000_s1429" type="#_x0000_t136" alt="" style="position:absolute;left:0;text-align:left;margin-left:0;margin-top:0;width:474.6pt;height:284.75pt;rotation:315;z-index:-2516574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DEF6FDC">
        <v:shape id="_x0000_s1428" type="#_x0000_t136" alt="" style="position:absolute;left:0;text-align:left;margin-left:0;margin-top:0;width:474.6pt;height:284.75pt;rotation:315;z-index:-2516574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FD40743">
        <v:shape id="_x0000_s1427" type="#_x0000_t136" alt="" style="position:absolute;left:0;text-align:left;margin-left:0;margin-top:0;width:474.6pt;height:284.75pt;rotation:315;z-index:-2516574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1039AF">
        <v:shape id="_x0000_s1426" type="#_x0000_t136" alt="" style="position:absolute;left:0;text-align:left;margin-left:0;margin-top:0;width:474.6pt;height:284.75pt;rotation:315;z-index:-2516574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5F7DE19">
        <v:shape id="_x0000_s1425" type="#_x0000_t136" alt="" style="position:absolute;left:0;text-align:left;margin-left:0;margin-top:0;width:474.6pt;height:284.75pt;rotation:315;z-index:-2516574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AC3A605">
        <v:shape id="_x0000_s1424" type="#_x0000_t136" alt="" style="position:absolute;left:0;text-align:left;margin-left:0;margin-top:0;width:474.6pt;height:284.75pt;rotation:315;z-index:-2516574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C9B68C">
        <v:shape id="_x0000_s1423" type="#_x0000_t136" alt="" style="position:absolute;left:0;text-align:left;margin-left:0;margin-top:0;width:474.6pt;height:284.75pt;rotation:315;z-index:-2516574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3D1C2E">
        <v:shape id="_x0000_s1422" type="#_x0000_t136" alt="" style="position:absolute;left:0;text-align:left;margin-left:0;margin-top:0;width:474.6pt;height:284.75pt;rotation:315;z-index:-2516574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4C5977">
        <v:shape id="_x0000_s1421" type="#_x0000_t136" alt="" style="position:absolute;left:0;text-align:left;margin-left:0;margin-top:0;width:474.6pt;height:284.75pt;rotation:315;z-index:-2516574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24C9B26">
        <v:shape id="_x0000_s1420" type="#_x0000_t136" alt="" style="position:absolute;left:0;text-align:left;margin-left:0;margin-top:0;width:474.6pt;height:284.75pt;rotation:315;z-index:-2516574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91866B">
        <v:shape id="_x0000_s1419" type="#_x0000_t136" alt="" style="position:absolute;left:0;text-align:left;margin-left:0;margin-top:0;width:474.6pt;height:284.75pt;rotation:315;z-index:-2516574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E05513C">
        <v:shape id="_x0000_s1418" type="#_x0000_t136" alt="" style="position:absolute;left:0;text-align:left;margin-left:0;margin-top:0;width:474.6pt;height:284.75pt;rotation:315;z-index:-2516574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690CD7">
        <v:shape id="_x0000_s1417" type="#_x0000_t136" alt="" style="position:absolute;left:0;text-align:left;margin-left:0;margin-top:0;width:474.6pt;height:284.75pt;rotation:315;z-index:-2516574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3274A6">
        <v:shape id="_x0000_s1416" type="#_x0000_t136" alt="" style="position:absolute;left:0;text-align:left;margin-left:0;margin-top:0;width:474.6pt;height:284.75pt;rotation:315;z-index:-2516574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1D2B70F">
        <v:shape id="_x0000_s1415" type="#_x0000_t136" alt="" style="position:absolute;left:0;text-align:left;margin-left:0;margin-top:0;width:474.6pt;height:284.75pt;rotation:315;z-index:-2516574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6DD8B05">
        <v:shape id="_x0000_s1414" type="#_x0000_t136" alt="" style="position:absolute;left:0;text-align:left;margin-left:0;margin-top:0;width:474.6pt;height:284.75pt;rotation:315;z-index:-2516574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D80240">
        <v:shape id="_x0000_s1413" type="#_x0000_t136" alt="" style="position:absolute;left:0;text-align:left;margin-left:0;margin-top:0;width:474.6pt;height:284.75pt;rotation:315;z-index:-2516574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1ACC97">
        <v:shape id="_x0000_s1412" type="#_x0000_t136" alt="" style="position:absolute;left:0;text-align:left;margin-left:0;margin-top:0;width:474.6pt;height:284.75pt;rotation:315;z-index:-2516574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F6C017">
        <v:shape id="_x0000_s1411" type="#_x0000_t136" alt="" style="position:absolute;left:0;text-align:left;margin-left:0;margin-top:0;width:474.6pt;height:284.75pt;rotation:315;z-index:-2516574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FF66116">
        <v:shape id="_x0000_s1410" type="#_x0000_t136" alt="" style="position:absolute;left:0;text-align:left;margin-left:0;margin-top:0;width:474.6pt;height:284.75pt;rotation:315;z-index:-2516574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1962815">
        <v:shape id="_x0000_s1409" type="#_x0000_t136" alt="" style="position:absolute;left:0;text-align:left;margin-left:0;margin-top:0;width:474.6pt;height:284.75pt;rotation:315;z-index:-2516574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F8C2A7C">
        <v:shape id="_x0000_s1408" type="#_x0000_t136" alt="" style="position:absolute;left:0;text-align:left;margin-left:0;margin-top:0;width:474.6pt;height:284.75pt;rotation:315;z-index:-2516574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E7653B1">
        <v:shape id="_x0000_s1407" type="#_x0000_t136" alt="" style="position:absolute;left:0;text-align:left;margin-left:0;margin-top:0;width:474.6pt;height:284.75pt;rotation:315;z-index:-2516574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1033C7">
        <v:shape id="_x0000_s1406" type="#_x0000_t136" alt="" style="position:absolute;left:0;text-align:left;margin-left:0;margin-top:0;width:474.6pt;height:284.75pt;rotation:315;z-index:-2516574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872BF5D">
        <v:shape id="_x0000_s1405" type="#_x0000_t136" alt="" style="position:absolute;left:0;text-align:left;margin-left:0;margin-top:0;width:474.6pt;height:284.75pt;rotation:315;z-index:-2516574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09F8119">
        <v:shape id="_x0000_s1404" type="#_x0000_t136" alt="" style="position:absolute;left:0;text-align:left;margin-left:0;margin-top:0;width:474.6pt;height:284.75pt;rotation:315;z-index:-2516574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713CE7">
        <v:shape id="_x0000_s1403" type="#_x0000_t136" alt="" style="position:absolute;left:0;text-align:left;margin-left:0;margin-top:0;width:474.6pt;height:284.75pt;rotation:315;z-index:-2516574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59BCB1">
        <v:shape id="_x0000_s1402" type="#_x0000_t136" alt="" style="position:absolute;left:0;text-align:left;margin-left:0;margin-top:0;width:474.6pt;height:284.75pt;rotation:315;z-index:-2516574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98382E">
        <v:shape id="_x0000_s1401" type="#_x0000_t136" alt="" style="position:absolute;left:0;text-align:left;margin-left:0;margin-top:0;width:474.6pt;height:284.75pt;rotation:315;z-index:-2516574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6FDAD6">
        <v:shape id="_x0000_s1400" type="#_x0000_t136" alt="" style="position:absolute;left:0;text-align:left;margin-left:0;margin-top:0;width:474.6pt;height:284.75pt;rotation:315;z-index:-2516574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634E17C">
        <v:shape id="_x0000_s1399" type="#_x0000_t136" alt="" style="position:absolute;left:0;text-align:left;margin-left:0;margin-top:0;width:474.6pt;height:284.75pt;rotation:315;z-index:-2516574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2C4369C">
        <v:shape id="_x0000_s1398" type="#_x0000_t136" alt="" style="position:absolute;left:0;text-align:left;margin-left:0;margin-top:0;width:474.6pt;height:284.75pt;rotation:315;z-index:-2516574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19172B5">
        <v:shape id="_x0000_s1397" type="#_x0000_t136" alt="" style="position:absolute;left:0;text-align:left;margin-left:0;margin-top:0;width:474.6pt;height:284.75pt;rotation:315;z-index:-2516574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37A3D4F">
        <v:shape id="_x0000_s1396" type="#_x0000_t136" alt="" style="position:absolute;left:0;text-align:left;margin-left:0;margin-top:0;width:474.6pt;height:284.75pt;rotation:315;z-index:-2516574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C9CE4E">
        <v:shape id="_x0000_s1395" type="#_x0000_t136" alt="" style="position:absolute;left:0;text-align:left;margin-left:0;margin-top:0;width:474.6pt;height:284.75pt;rotation:315;z-index:-2516574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81D5067">
        <v:shape id="_x0000_s1394" type="#_x0000_t136" alt="" style="position:absolute;left:0;text-align:left;margin-left:0;margin-top:0;width:474.6pt;height:284.75pt;rotation:315;z-index:-2516574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7E80F68">
        <v:shape id="_x0000_s1393" type="#_x0000_t136" alt="" style="position:absolute;left:0;text-align:left;margin-left:0;margin-top:0;width:474.6pt;height:284.75pt;rotation:315;z-index:-2516575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FF79D59">
        <v:shape id="_x0000_s1392" type="#_x0000_t136" alt="" style="position:absolute;left:0;text-align:left;margin-left:0;margin-top:0;width:474.6pt;height:284.75pt;rotation:315;z-index:-2516575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12B78D1">
        <v:shape id="_x0000_s1391" type="#_x0000_t136" alt="" style="position:absolute;left:0;text-align:left;margin-left:0;margin-top:0;width:474.6pt;height:284.75pt;rotation:315;z-index:-2516575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2FDC8C6">
        <v:shape id="_x0000_s1390" type="#_x0000_t136" alt="" style="position:absolute;left:0;text-align:left;margin-left:0;margin-top:0;width:474.6pt;height:284.75pt;rotation:315;z-index:-2516575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3495895">
        <v:shape id="_x0000_s1389" type="#_x0000_t136" alt="" style="position:absolute;left:0;text-align:left;margin-left:0;margin-top:0;width:474.6pt;height:284.75pt;rotation:315;z-index:-2516575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2E72926">
        <v:shape id="_x0000_s1388" type="#_x0000_t136" alt="" style="position:absolute;left:0;text-align:left;margin-left:0;margin-top:0;width:474.6pt;height:284.75pt;rotation:315;z-index:-2516575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A02F8E5">
        <v:shape id="_x0000_s1387" type="#_x0000_t136" alt="" style="position:absolute;left:0;text-align:left;margin-left:0;margin-top:0;width:474.6pt;height:284.75pt;rotation:315;z-index:-2516575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3135BA">
        <v:shape id="_x0000_s1386" type="#_x0000_t136" alt="" style="position:absolute;left:0;text-align:left;margin-left:0;margin-top:0;width:474.6pt;height:284.75pt;rotation:315;z-index:-2516575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5062E67">
        <v:shape id="_x0000_s1385" type="#_x0000_t136" alt="" style="position:absolute;left:0;text-align:left;margin-left:0;margin-top:0;width:474.6pt;height:284.75pt;rotation:315;z-index:-2516575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40AB76E">
        <v:shape id="_x0000_s1384" type="#_x0000_t136" alt="" style="position:absolute;left:0;text-align:left;margin-left:0;margin-top:0;width:474.6pt;height:284.75pt;rotation:315;z-index:-2516575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9844210">
        <v:shape id="_x0000_s1383" type="#_x0000_t136" alt="" style="position:absolute;left:0;text-align:left;margin-left:0;margin-top:0;width:474.6pt;height:284.75pt;rotation:315;z-index:-2516575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5F1FFBD">
        <v:shape id="_x0000_s1382" type="#_x0000_t136" alt="" style="position:absolute;left:0;text-align:left;margin-left:0;margin-top:0;width:474.6pt;height:284.75pt;rotation:315;z-index:-2516575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F3271B8">
        <v:shape id="_x0000_s1381" type="#_x0000_t136" alt="" style="position:absolute;left:0;text-align:left;margin-left:0;margin-top:0;width:474.6pt;height:284.75pt;rotation:315;z-index:-2516575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61E37EC">
        <v:shape id="_x0000_s1380" type="#_x0000_t136" alt="" style="position:absolute;left:0;text-align:left;margin-left:0;margin-top:0;width:474.6pt;height:284.75pt;rotation:315;z-index:-2516575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1888386">
        <v:shape id="_x0000_s1379" type="#_x0000_t136" alt="" style="position:absolute;left:0;text-align:left;margin-left:0;margin-top:0;width:474.6pt;height:284.75pt;rotation:315;z-index:-2516575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B124A1A">
        <v:shape id="_x0000_s1378" type="#_x0000_t136" alt="" style="position:absolute;left:0;text-align:left;margin-left:0;margin-top:0;width:474.6pt;height:284.75pt;rotation:315;z-index:-2516575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A157FFF">
        <v:shape id="_x0000_s1377" type="#_x0000_t136" alt="" style="position:absolute;left:0;text-align:left;margin-left:0;margin-top:0;width:474.6pt;height:284.75pt;rotation:315;z-index:-2516575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CB9853C">
        <v:shape id="_x0000_s1376" type="#_x0000_t136" alt="" style="position:absolute;left:0;text-align:left;margin-left:0;margin-top:0;width:474.6pt;height:284.75pt;rotation:315;z-index:-2516575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6C7ED2">
        <v:shape id="_x0000_s1375" type="#_x0000_t136" alt="" style="position:absolute;left:0;text-align:left;margin-left:0;margin-top:0;width:474.6pt;height:284.75pt;rotation:315;z-index:-2516575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8C55C49">
        <v:shape id="_x0000_s1374" type="#_x0000_t136" alt="" style="position:absolute;left:0;text-align:left;margin-left:0;margin-top:0;width:474.6pt;height:284.75pt;rotation:315;z-index:-2516575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619DEBE">
        <v:shape id="_x0000_s1373" type="#_x0000_t136" alt="" style="position:absolute;left:0;text-align:left;margin-left:0;margin-top:0;width:474.6pt;height:284.75pt;rotation:315;z-index:-2516575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D9435FF">
        <v:shape id="_x0000_s1372" type="#_x0000_t136" alt="" style="position:absolute;left:0;text-align:left;margin-left:0;margin-top:0;width:474.6pt;height:284.75pt;rotation:315;z-index:-2516575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81C9A9C">
        <v:shape id="_x0000_s1371" type="#_x0000_t136" alt="" style="position:absolute;left:0;text-align:left;margin-left:0;margin-top:0;width:474.6pt;height:284.75pt;rotation:315;z-index:-2516575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40D1C2">
        <v:shape id="_x0000_s1370" type="#_x0000_t136" alt="" style="position:absolute;left:0;text-align:left;margin-left:0;margin-top:0;width:474.6pt;height:284.75pt;rotation:315;z-index:-2516575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AA34B72">
        <v:shape id="_x0000_s1369" type="#_x0000_t136" alt="" style="position:absolute;left:0;text-align:left;margin-left:0;margin-top:0;width:474.6pt;height:284.75pt;rotation:315;z-index:-2516575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76518E3">
        <v:shape id="_x0000_s1368" type="#_x0000_t136" alt="" style="position:absolute;left:0;text-align:left;margin-left:0;margin-top:0;width:474.6pt;height:284.75pt;rotation:315;z-index:-2516575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91B1AC">
        <v:shape id="_x0000_s1367" type="#_x0000_t136" alt="" style="position:absolute;left:0;text-align:left;margin-left:0;margin-top:0;width:474.6pt;height:284.75pt;rotation:315;z-index:-2516575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29DBB09">
        <v:shape id="_x0000_s1366" type="#_x0000_t136" alt="" style="position:absolute;left:0;text-align:left;margin-left:0;margin-top:0;width:474.6pt;height:284.75pt;rotation:315;z-index:-2516575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2C09D17">
        <v:shape id="_x0000_s1365" type="#_x0000_t136" alt="" style="position:absolute;left:0;text-align:left;margin-left:0;margin-top:0;width:474.6pt;height:284.75pt;rotation:315;z-index:-2516575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1630FCE">
        <v:shape id="_x0000_s1364" type="#_x0000_t136" alt="" style="position:absolute;left:0;text-align:left;margin-left:0;margin-top:0;width:474.6pt;height:284.75pt;rotation:315;z-index:-2516575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273A79">
        <v:shape id="_x0000_s1363" type="#_x0000_t136" alt="" style="position:absolute;left:0;text-align:left;margin-left:0;margin-top:0;width:474.6pt;height:284.75pt;rotation:315;z-index:-2516575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A2D4E63">
        <v:shape id="_x0000_s1362" type="#_x0000_t136" alt="" style="position:absolute;left:0;text-align:left;margin-left:0;margin-top:0;width:474.6pt;height:284.75pt;rotation:315;z-index:-2516575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DB84E63">
        <v:shape id="_x0000_s1361" type="#_x0000_t136" alt="" style="position:absolute;left:0;text-align:left;margin-left:0;margin-top:0;width:474.6pt;height:284.75pt;rotation:315;z-index:-2516575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F45AC3F">
        <v:shape id="_x0000_s1360" type="#_x0000_t136" alt="" style="position:absolute;left:0;text-align:left;margin-left:0;margin-top:0;width:474.6pt;height:284.75pt;rotation:315;z-index:-2516575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2111BB9">
        <v:shape id="_x0000_s1359" type="#_x0000_t136" alt="" style="position:absolute;left:0;text-align:left;margin-left:0;margin-top:0;width:474.6pt;height:284.75pt;rotation:315;z-index:-2516575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54631F">
        <v:shape id="_x0000_s1358" type="#_x0000_t136" alt="" style="position:absolute;left:0;text-align:left;margin-left:0;margin-top:0;width:474.6pt;height:284.75pt;rotation:315;z-index:-2516575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F6BA60">
        <v:shape id="_x0000_s1357" type="#_x0000_t136" alt="" style="position:absolute;left:0;text-align:left;margin-left:0;margin-top:0;width:474.6pt;height:284.75pt;rotation:315;z-index:-25165757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1819C4">
        <v:shape id="_x0000_s1356" type="#_x0000_t136" alt="" style="position:absolute;left:0;text-align:left;margin-left:0;margin-top:0;width:474.6pt;height:284.75pt;rotation:315;z-index:-2516575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B062CE7">
        <v:shape id="_x0000_s1355" type="#_x0000_t136" alt="" style="position:absolute;left:0;text-align:left;margin-left:0;margin-top:0;width:474.6pt;height:284.75pt;rotation:315;z-index:-2516575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EFE0F65">
        <v:shape id="_x0000_s1354" type="#_x0000_t136" alt="" style="position:absolute;left:0;text-align:left;margin-left:0;margin-top:0;width:474.6pt;height:284.75pt;rotation:315;z-index:-2516575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E3DD3F">
        <v:shape id="_x0000_s1353" type="#_x0000_t136" alt="" style="position:absolute;left:0;text-align:left;margin-left:0;margin-top:0;width:474.6pt;height:284.75pt;rotation:315;z-index:-2516575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64E4E6">
        <v:shape id="_x0000_s1352" type="#_x0000_t136" alt="" style="position:absolute;left:0;text-align:left;margin-left:0;margin-top:0;width:474.6pt;height:284.75pt;rotation:315;z-index:-2516575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CC1435D">
        <v:shape id="_x0000_s1351" type="#_x0000_t136" alt="" style="position:absolute;left:0;text-align:left;margin-left:0;margin-top:0;width:474.6pt;height:284.75pt;rotation:315;z-index:-2516575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F85A988">
        <v:shape id="_x0000_s1350" type="#_x0000_t136" alt="" style="position:absolute;left:0;text-align:left;margin-left:0;margin-top:0;width:474.6pt;height:284.75pt;rotation:315;z-index:-2516575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7007195">
        <v:shape id="_x0000_s1349" type="#_x0000_t136" alt="" style="position:absolute;left:0;text-align:left;margin-left:0;margin-top:0;width:474.6pt;height:284.75pt;rotation:315;z-index:-2516575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8C68782">
        <v:shape id="_x0000_s1348" type="#_x0000_t136" alt="" style="position:absolute;left:0;text-align:left;margin-left:0;margin-top:0;width:474.6pt;height:284.75pt;rotation:315;z-index:-2516575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B49CF3">
        <v:shape id="_x0000_s1347" type="#_x0000_t136" alt="" style="position:absolute;left:0;text-align:left;margin-left:0;margin-top:0;width:474.6pt;height:284.75pt;rotation:315;z-index:-2516575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8BA0C0">
        <v:shape id="_x0000_s1346" type="#_x0000_t136" alt="" style="position:absolute;left:0;text-align:left;margin-left:0;margin-top:0;width:474.6pt;height:284.75pt;rotation:315;z-index:-2516575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2AA642">
        <v:shape id="_x0000_s1345" type="#_x0000_t136" alt="" style="position:absolute;left:0;text-align:left;margin-left:0;margin-top:0;width:474.6pt;height:284.75pt;rotation:315;z-index:-2516575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09EECBE">
        <v:shape id="_x0000_s1344" type="#_x0000_t136" alt="" style="position:absolute;left:0;text-align:left;margin-left:0;margin-top:0;width:474.6pt;height:284.75pt;rotation:315;z-index:-2516576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47954D">
        <v:shape id="_x0000_s1343" type="#_x0000_t136" alt="" style="position:absolute;left:0;text-align:left;margin-left:0;margin-top:0;width:474.6pt;height:284.75pt;rotation:315;z-index:-2516576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11A859D">
        <v:shape id="_x0000_s1342" type="#_x0000_t136" alt="" style="position:absolute;left:0;text-align:left;margin-left:0;margin-top:0;width:474.6pt;height:284.75pt;rotation:315;z-index:-2516576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248FF9">
        <v:shape id="_x0000_s1341" type="#_x0000_t136" alt="" style="position:absolute;left:0;text-align:left;margin-left:0;margin-top:0;width:474.6pt;height:284.75pt;rotation:315;z-index:-25165760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EE399DC">
        <v:shape id="_x0000_s1340" type="#_x0000_t136" alt="" style="position:absolute;left:0;text-align:left;margin-left:0;margin-top:0;width:474.6pt;height:284.75pt;rotation:315;z-index:-2516576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2F40091">
        <v:shape id="_x0000_s1339" type="#_x0000_t136" alt="" style="position:absolute;left:0;text-align:left;margin-left:0;margin-top:0;width:474.6pt;height:284.75pt;rotation:315;z-index:-2516576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63E5AC9">
        <v:shape id="_x0000_s1338" type="#_x0000_t136" alt="" style="position:absolute;left:0;text-align:left;margin-left:0;margin-top:0;width:474.6pt;height:284.75pt;rotation:315;z-index:-2516575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30D6E6">
        <v:shape id="_x0000_s1337" type="#_x0000_t136" alt="" style="position:absolute;left:0;text-align:left;margin-left:0;margin-top:0;width:474.6pt;height:284.75pt;rotation:315;z-index:-2516575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2C7CBD">
        <v:shape id="_x0000_s1336" type="#_x0000_t136" alt="" style="position:absolute;left:0;text-align:left;margin-left:0;margin-top:0;width:474.6pt;height:284.75pt;rotation:315;z-index:-2516576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998993">
        <v:shape id="_x0000_s1335" type="#_x0000_t136" alt="" style="position:absolute;left:0;text-align:left;margin-left:0;margin-top:0;width:474.6pt;height:284.75pt;rotation:315;z-index:-2516576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460E308">
        <v:shape id="_x0000_s1334" type="#_x0000_t136" alt="" style="position:absolute;left:0;text-align:left;margin-left:0;margin-top:0;width:474.6pt;height:284.75pt;rotation:315;z-index:-2516576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A77F9C5">
        <v:shape id="_x0000_s1333" type="#_x0000_t136" alt="" style="position:absolute;left:0;text-align:left;margin-left:0;margin-top:0;width:474.6pt;height:284.75pt;rotation:315;z-index:-2516576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F25ADC5">
        <v:shape id="_x0000_s1332" type="#_x0000_t136" alt="" style="position:absolute;left:0;text-align:left;margin-left:0;margin-top:0;width:474.6pt;height:284.75pt;rotation:315;z-index:-2516576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39ADE0C">
        <v:shape id="_x0000_s1331" type="#_x0000_t136" alt="" style="position:absolute;left:0;text-align:left;margin-left:0;margin-top:0;width:474.6pt;height:284.75pt;rotation:315;z-index:-2516576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F2E8B4">
        <v:shape id="_x0000_s1330" type="#_x0000_t136" alt="" style="position:absolute;left:0;text-align:left;margin-left:0;margin-top:0;width:474.6pt;height:284.75pt;rotation:315;z-index:-2516576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5E09ED5">
        <v:shape id="_x0000_s1329" type="#_x0000_t136" alt="" style="position:absolute;left:0;text-align:left;margin-left:0;margin-top:0;width:474.6pt;height:284.75pt;rotation:315;z-index:-2516576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ADDCBC6">
        <v:shape id="_x0000_s1328" type="#_x0000_t136" alt="" style="position:absolute;left:0;text-align:left;margin-left:0;margin-top:0;width:474.6pt;height:284.75pt;rotation:315;z-index:-2516576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7457799">
        <v:shape id="_x0000_s1327" type="#_x0000_t136" alt="" style="position:absolute;left:0;text-align:left;margin-left:0;margin-top:0;width:474.6pt;height:284.75pt;rotation:315;z-index:-25165763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1D48C7">
        <v:shape id="_x0000_s1326" type="#_x0000_t136" alt="" style="position:absolute;left:0;text-align:left;margin-left:0;margin-top:0;width:474.6pt;height:284.75pt;rotation:315;z-index:-2516576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945317D">
        <v:shape id="_x0000_s1325" type="#_x0000_t136" alt="" style="position:absolute;left:0;text-align:left;margin-left:0;margin-top:0;width:474.6pt;height:284.75pt;rotation:315;z-index:-2516576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CBD9CC2">
        <v:shape id="_x0000_s1324" type="#_x0000_t136" alt="" style="position:absolute;left:0;text-align:left;margin-left:0;margin-top:0;width:474.6pt;height:284.75pt;rotation:315;z-index:-2516576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147102">
        <v:shape id="_x0000_s1323" type="#_x0000_t136" alt="" style="position:absolute;left:0;text-align:left;margin-left:0;margin-top:0;width:474.6pt;height:284.75pt;rotation:315;z-index:-2516576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D444214">
        <v:shape id="_x0000_s1322" type="#_x0000_t136" alt="" style="position:absolute;left:0;text-align:left;margin-left:0;margin-top:0;width:474.6pt;height:284.75pt;rotation:315;z-index:-2516576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801129">
        <v:shape id="_x0000_s1321" type="#_x0000_t136" alt="" style="position:absolute;left:0;text-align:left;margin-left:0;margin-top:0;width:474.6pt;height:284.75pt;rotation:315;z-index:-2516576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6CE5E33">
        <v:shape id="_x0000_s1320" type="#_x0000_t136" alt="" style="position:absolute;left:0;text-align:left;margin-left:0;margin-top:0;width:474.6pt;height:284.75pt;rotation:315;z-index:-2516576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888CED">
        <v:shape id="_x0000_s1319" type="#_x0000_t136" alt="" style="position:absolute;left:0;text-align:left;margin-left:0;margin-top:0;width:474.6pt;height:284.75pt;rotation:315;z-index:-2516576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0AA5529">
        <v:shape id="_x0000_s1318" type="#_x0000_t136" alt="" style="position:absolute;left:0;text-align:left;margin-left:0;margin-top:0;width:474.6pt;height:284.75pt;rotation:315;z-index:-2516576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C6F2A05">
        <v:shape id="_x0000_s1317" type="#_x0000_t136" alt="" style="position:absolute;left:0;text-align:left;margin-left:0;margin-top:0;width:474.6pt;height:284.75pt;rotation:315;z-index:-2516576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FCEAB58">
        <v:shape id="_x0000_s1316" type="#_x0000_t136" alt="" style="position:absolute;left:0;text-align:left;margin-left:0;margin-top:0;width:474.6pt;height:284.75pt;rotation:315;z-index:-2516576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521FC0D">
        <v:shape id="_x0000_s1315" type="#_x0000_t136" alt="" style="position:absolute;left:0;text-align:left;margin-left:0;margin-top:0;width:474.6pt;height:284.75pt;rotation:315;z-index:-2516576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5E5CDC8">
        <v:shape id="_x0000_s1314" type="#_x0000_t136" alt="" style="position:absolute;left:0;text-align:left;margin-left:0;margin-top:0;width:474.6pt;height:284.75pt;rotation:315;z-index:-2516576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7FE1AF8">
        <v:shape id="_x0000_s1313" type="#_x0000_t136" alt="" style="position:absolute;left:0;text-align:left;margin-left:0;margin-top:0;width:474.6pt;height:284.75pt;rotation:315;z-index:-2516576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EB47BC">
        <v:shape id="_x0000_s1312" type="#_x0000_t136" alt="" style="position:absolute;left:0;text-align:left;margin-left:0;margin-top:0;width:474.6pt;height:284.75pt;rotation:315;z-index:-2516576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19C22A6">
        <v:shape id="_x0000_s1311" type="#_x0000_t136" alt="" style="position:absolute;left:0;text-align:left;margin-left:0;margin-top:0;width:474.6pt;height:284.75pt;rotation:315;z-index:-2516576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80FD40">
        <v:shape id="_x0000_s1310" type="#_x0000_t136" alt="" style="position:absolute;left:0;text-align:left;margin-left:0;margin-top:0;width:474.6pt;height:284.75pt;rotation:315;z-index:-2516576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DC140D9">
        <v:shape id="_x0000_s1309" type="#_x0000_t136" alt="" style="position:absolute;left:0;text-align:left;margin-left:0;margin-top:0;width:474.6pt;height:284.75pt;rotation:315;z-index:-25165766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BD7D1A3">
        <v:shape id="_x0000_s1308" type="#_x0000_t136" alt="" style="position:absolute;left:0;text-align:left;margin-left:0;margin-top:0;width:474.6pt;height:284.75pt;rotation:315;z-index:-2516576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E93CDF">
        <v:shape id="_x0000_s1307" type="#_x0000_t136" alt="" style="position:absolute;left:0;text-align:left;margin-left:0;margin-top:0;width:474.6pt;height:284.75pt;rotation:315;z-index:-2516576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87DFEC0">
        <v:shape id="_x0000_s1306" type="#_x0000_t136" alt="" style="position:absolute;left:0;text-align:left;margin-left:0;margin-top:0;width:474.6pt;height:284.75pt;rotation:315;z-index:-2516576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EF9DAB">
        <v:shape id="_x0000_s1305" type="#_x0000_t136" alt="" style="position:absolute;left:0;text-align:left;margin-left:0;margin-top:0;width:474.6pt;height:284.75pt;rotation:315;z-index:-2516576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D289CDA">
        <v:shape id="_x0000_s1304" type="#_x0000_t136" alt="" style="position:absolute;left:0;text-align:left;margin-left:0;margin-top:0;width:474.6pt;height:284.75pt;rotation:315;z-index:-2516576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01A8836">
        <v:shape id="_x0000_s1303" type="#_x0000_t136" alt="" style="position:absolute;left:0;text-align:left;margin-left:0;margin-top:0;width:474.6pt;height:284.75pt;rotation:315;z-index:-2516576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2CADF94">
        <v:shape id="_x0000_s1302" type="#_x0000_t136" alt="" style="position:absolute;left:0;text-align:left;margin-left:0;margin-top:0;width:474.6pt;height:284.75pt;rotation:315;z-index:-2516576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8C546DC">
        <v:shape id="_x0000_s1301" type="#_x0000_t136" alt="" style="position:absolute;left:0;text-align:left;margin-left:0;margin-top:0;width:474.6pt;height:284.75pt;rotation:315;z-index:-2516576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5D24FE4">
        <v:shape id="_x0000_s1300" type="#_x0000_t136" alt="" style="position:absolute;left:0;text-align:left;margin-left:0;margin-top:0;width:474.6pt;height:284.75pt;rotation:315;z-index:-2516576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2F6DC4">
        <v:shape id="_x0000_s1299" type="#_x0000_t136" alt="" style="position:absolute;left:0;text-align:left;margin-left:0;margin-top:0;width:474.6pt;height:284.75pt;rotation:315;z-index:-2516576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9612DB2">
        <v:shape id="_x0000_s1298" type="#_x0000_t136" alt="" style="position:absolute;left:0;text-align:left;margin-left:0;margin-top:0;width:474.6pt;height:284.75pt;rotation:315;z-index:-2516576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791B0E8">
        <v:shape id="_x0000_s1297" type="#_x0000_t136" alt="" style="position:absolute;left:0;text-align:left;margin-left:0;margin-top:0;width:474.6pt;height:284.75pt;rotation:315;z-index:-2516576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45E4E49">
        <v:shape id="_x0000_s1296" type="#_x0000_t136" alt="" style="position:absolute;left:0;text-align:left;margin-left:0;margin-top:0;width:474.6pt;height:284.75pt;rotation:315;z-index:-2516577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783DC3">
        <v:shape id="_x0000_s1295" type="#_x0000_t136" alt="" style="position:absolute;left:0;text-align:left;margin-left:0;margin-top:0;width:474.6pt;height:284.75pt;rotation:315;z-index:-25165770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9F6F2B1">
        <v:shape id="_x0000_s1294" type="#_x0000_t136" alt="" style="position:absolute;left:0;text-align:left;margin-left:0;margin-top:0;width:474.6pt;height:284.75pt;rotation:315;z-index:-2516576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3B0ED6E">
        <v:shape id="_x0000_s1293" type="#_x0000_t136" alt="" style="position:absolute;left:0;text-align:left;margin-left:0;margin-top:0;width:474.6pt;height:284.75pt;rotation:315;z-index:-25165769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7688C27">
        <v:shape id="_x0000_s1292" type="#_x0000_t136" alt="" style="position:absolute;left:0;text-align:left;margin-left:0;margin-top:0;width:474.6pt;height:284.75pt;rotation:315;z-index:-2516576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7C50F93">
        <v:shape id="_x0000_s1291" type="#_x0000_t136" alt="" style="position:absolute;left:0;text-align:left;margin-left:0;margin-top:0;width:474.6pt;height:284.75pt;rotation:315;z-index:-2516576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5BC3F7">
        <v:shape id="_x0000_s1290" type="#_x0000_t136" alt="" style="position:absolute;left:0;text-align:left;margin-left:0;margin-top:0;width:474.6pt;height:284.75pt;rotation:315;z-index:-2516576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5A7A68">
        <v:shape id="_x0000_s1289" type="#_x0000_t136" alt="" style="position:absolute;left:0;text-align:left;margin-left:0;margin-top:0;width:474.6pt;height:284.75pt;rotation:315;z-index:-2516576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1E92B2F">
        <v:shape id="_x0000_s1288" type="#_x0000_t136" alt="" style="position:absolute;left:0;text-align:left;margin-left:0;margin-top:0;width:474.6pt;height:284.75pt;rotation:315;z-index:-2516577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4BC0E05">
        <v:shape id="_x0000_s1287" type="#_x0000_t136" alt="" style="position:absolute;left:0;text-align:left;margin-left:0;margin-top:0;width:474.6pt;height:284.75pt;rotation:315;z-index:-2516577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996B947">
        <v:shape id="_x0000_s1286" type="#_x0000_t136" alt="" style="position:absolute;left:0;text-align:left;margin-left:0;margin-top:0;width:474.6pt;height:284.75pt;rotation:315;z-index:-2516577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016E1B8">
        <v:shape id="_x0000_s1285" type="#_x0000_t136" alt="" style="position:absolute;left:0;text-align:left;margin-left:0;margin-top:0;width:474.6pt;height:284.75pt;rotation:315;z-index:-2516577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9439398">
        <v:shape id="_x0000_s1284" type="#_x0000_t136" alt="" style="position:absolute;left:0;text-align:left;margin-left:0;margin-top:0;width:474.6pt;height:284.75pt;rotation:315;z-index:-2516577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4A71D7E">
        <v:shape id="_x0000_s1283" type="#_x0000_t136" alt="" style="position:absolute;left:0;text-align:left;margin-left:0;margin-top:0;width:474.6pt;height:284.75pt;rotation:315;z-index:-2516577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4B1686">
        <v:shape id="_x0000_s1282" type="#_x0000_t136" alt="" style="position:absolute;left:0;text-align:left;margin-left:0;margin-top:0;width:474.6pt;height:284.75pt;rotation:315;z-index:-2516577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A5A19AE">
        <v:shape id="_x0000_s1281" type="#_x0000_t136" alt="" style="position:absolute;left:0;text-align:left;margin-left:0;margin-top:0;width:474.6pt;height:284.75pt;rotation:315;z-index:-2516577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1E10F3C">
        <v:shape id="_x0000_s1280" type="#_x0000_t136" alt="" style="position:absolute;left:0;text-align:left;margin-left:0;margin-top:0;width:474.6pt;height:284.75pt;rotation:315;z-index:-2516577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21F3048">
        <v:shape id="_x0000_s1279" type="#_x0000_t136" alt="" style="position:absolute;left:0;text-align:left;margin-left:0;margin-top:0;width:474.6pt;height:284.75pt;rotation:315;z-index:-2516577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9064532">
        <v:shape id="_x0000_s1278" type="#_x0000_t136" alt="" style="position:absolute;left:0;text-align:left;margin-left:0;margin-top:0;width:474.6pt;height:284.75pt;rotation:315;z-index:-2516577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1D4DF0">
        <v:shape id="_x0000_s1277" type="#_x0000_t136" alt="" style="position:absolute;left:0;text-align:left;margin-left:0;margin-top:0;width:474.6pt;height:284.75pt;rotation:315;z-index:-25165773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7E21032">
        <v:shape id="_x0000_s1276" type="#_x0000_t136" alt="" style="position:absolute;left:0;text-align:left;margin-left:0;margin-top:0;width:474.6pt;height:284.75pt;rotation:315;z-index:-2516577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54C5C48">
        <v:shape id="_x0000_s1275" type="#_x0000_t136" alt="" style="position:absolute;left:0;text-align:left;margin-left:0;margin-top:0;width:474.6pt;height:284.7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54CF485">
        <v:shape id="_x0000_s1274" type="#_x0000_t136" alt="" style="position:absolute;left:0;text-align:left;margin-left:0;margin-top:0;width:474.6pt;height:284.75pt;rotation:315;z-index:-2516577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321B8B">
        <v:shape id="_x0000_s1273" type="#_x0000_t136" alt="" style="position:absolute;left:0;text-align:left;margin-left:0;margin-top:0;width:474.6pt;height:284.75pt;rotation:315;z-index:-2516577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DD5B8E3">
        <v:shape id="_x0000_s1272" type="#_x0000_t136" alt="" style="position:absolute;left:0;text-align:left;margin-left:0;margin-top:0;width:474.6pt;height:284.75pt;rotation:315;z-index:-2516577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E06AD73">
        <v:shape id="_x0000_s1271" type="#_x0000_t136" alt="" style="position:absolute;left:0;text-align:left;margin-left:0;margin-top:0;width:474.6pt;height:284.75pt;rotation:315;z-index:-2516577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40CF8D3">
        <v:shape id="_x0000_s1270" type="#_x0000_t136" alt="" style="position:absolute;left:0;text-align:left;margin-left:0;margin-top:0;width:474.6pt;height:284.75pt;rotation:315;z-index:-2516577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DDDAE0">
        <v:shape id="_x0000_s1269" type="#_x0000_t136" alt="" style="position:absolute;left:0;text-align:left;margin-left:0;margin-top:0;width:474.6pt;height:284.75pt;rotation:315;z-index:-2516577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D1D659">
        <v:shape id="_x0000_s1268" type="#_x0000_t136" alt="" style="position:absolute;left:0;text-align:left;margin-left:0;margin-top:0;width:474.6pt;height:284.75pt;rotation:315;z-index:-2516577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F5BB8D9">
        <v:shape id="_x0000_s1267" type="#_x0000_t136" alt="" style="position:absolute;left:0;text-align:left;margin-left:0;margin-top:0;width:474.6pt;height:284.75pt;rotation:315;z-index:-2516577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047C14D">
        <v:shape id="_x0000_s1266" type="#_x0000_t136" alt="" style="position:absolute;left:0;text-align:left;margin-left:0;margin-top:0;width:474.6pt;height:284.75pt;rotation:315;z-index:-2516577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5F5574D">
        <v:shape id="_x0000_s1265" type="#_x0000_t136" alt="" style="position:absolute;left:0;text-align:left;margin-left:0;margin-top:0;width:474.6pt;height:284.75pt;rotation:315;z-index:-2516577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DF3110C">
        <v:shape id="_x0000_s1264" type="#_x0000_t136" alt="" style="position:absolute;left:0;text-align:left;margin-left:0;margin-top:0;width:474.6pt;height:284.75pt;rotation:315;z-index:-2516577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1DE8A77">
        <v:shape id="_x0000_s1263" type="#_x0000_t136" alt="" style="position:absolute;left:0;text-align:left;margin-left:0;margin-top:0;width:474.6pt;height:284.75pt;rotation:315;z-index:-25165776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42C053">
        <v:shape id="_x0000_s1262" type="#_x0000_t136" alt="" style="position:absolute;left:0;text-align:left;margin-left:0;margin-top:0;width:474.6pt;height:284.75pt;rotation:315;z-index:-2516577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6606E94">
        <v:shape id="_x0000_s1261" type="#_x0000_t136" alt="" style="position:absolute;left:0;text-align:left;margin-left:0;margin-top:0;width:474.6pt;height:284.75pt;rotation:315;z-index:-25165776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6F37B13">
        <v:shape id="_x0000_s1260" type="#_x0000_t136" alt="" style="position:absolute;left:0;text-align:left;margin-left:0;margin-top:0;width:474.6pt;height:284.75pt;rotation:315;z-index:-2516577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53E897">
        <v:shape id="_x0000_s1259" type="#_x0000_t136" alt="" style="position:absolute;left:0;text-align:left;margin-left:0;margin-top:0;width:474.6pt;height:284.75pt;rotation:315;z-index:-2516577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274F7FF">
        <v:shape id="_x0000_s1258" type="#_x0000_t136" alt="" style="position:absolute;left:0;text-align:left;margin-left:0;margin-top:0;width:474.6pt;height:284.75pt;rotation:315;z-index:-2516577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D2A7CE0">
        <v:shape id="_x0000_s1257" type="#_x0000_t136" alt="" style="position:absolute;left:0;text-align:left;margin-left:0;margin-top:0;width:474.6pt;height:284.75pt;rotation:315;z-index:-2516577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897B8C">
        <v:shape id="_x0000_s1256" type="#_x0000_t136" alt="" style="position:absolute;left:0;text-align:left;margin-left:0;margin-top:0;width:474.6pt;height:284.75pt;rotation:315;z-index:-2516577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C0456C">
        <v:shape id="_x0000_s1255" type="#_x0000_t136" alt="" style="position:absolute;left:0;text-align:left;margin-left:0;margin-top:0;width:474.6pt;height:284.75pt;rotation:315;z-index:-2516577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BADFA5">
        <v:shape id="_x0000_s1254" type="#_x0000_t136" alt="" style="position:absolute;left:0;text-align:left;margin-left:0;margin-top:0;width:474.6pt;height:284.75pt;rotation:315;z-index:-2516577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AC7065">
        <v:shape id="_x0000_s1253" type="#_x0000_t136" alt="" style="position:absolute;left:0;text-align:left;margin-left:0;margin-top:0;width:474.6pt;height:284.75pt;rotation:315;z-index:-2516577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F2EEAF2">
        <v:shape id="_x0000_s1252" type="#_x0000_t136" alt="" style="position:absolute;left:0;text-align:left;margin-left:0;margin-top:0;width:474.6pt;height:284.75pt;rotation:315;z-index:-2516577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78B537C">
        <v:shape id="_x0000_s1251" type="#_x0000_t136" alt="" style="position:absolute;left:0;text-align:left;margin-left:0;margin-top:0;width:474.6pt;height:284.75pt;rotation:315;z-index:-2516577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9E48C4B">
        <v:shape id="_x0000_s1250" type="#_x0000_t136" alt="" style="position:absolute;left:0;text-align:left;margin-left:0;margin-top:0;width:474.6pt;height:284.75pt;rotation:315;z-index:-2516577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3BD8C19">
        <v:shape id="_x0000_s1249" type="#_x0000_t136" alt="" style="position:absolute;left:0;text-align:left;margin-left:0;margin-top:0;width:474.6pt;height:284.75pt;rotation:315;z-index:-2516577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F06DF3">
        <v:shape id="_x0000_s1248" type="#_x0000_t136" alt="" style="position:absolute;left:0;text-align:left;margin-left:0;margin-top:0;width:474.6pt;height:284.75pt;rotation:315;z-index:-2516577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D6551F">
        <v:shape id="_x0000_s1247" type="#_x0000_t136" alt="" style="position:absolute;left:0;text-align:left;margin-left:0;margin-top:0;width:474.6pt;height:284.75pt;rotation:315;z-index:-25165779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A99F803">
        <v:shape id="_x0000_s1246" type="#_x0000_t136" alt="" style="position:absolute;left:0;text-align:left;margin-left:0;margin-top:0;width:474.6pt;height:284.75pt;rotation:315;z-index:-2516577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152645C">
        <v:shape id="_x0000_s1245" type="#_x0000_t136" alt="" style="position:absolute;left:0;text-align:left;margin-left:0;margin-top:0;width:474.6pt;height:284.75pt;rotation:315;z-index:-25165779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1DC17E3">
        <v:shape id="_x0000_s1244" type="#_x0000_t136" alt="" style="position:absolute;left:0;text-align:left;margin-left:0;margin-top:0;width:474.6pt;height:284.75pt;rotation:315;z-index:-2516577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16C6122">
        <v:shape id="_x0000_s1243" type="#_x0000_t136" alt="" style="position:absolute;left:0;text-align:left;margin-left:0;margin-top:0;width:474.6pt;height:284.75pt;rotation:315;z-index:-2516577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58E2C91">
        <v:shape id="_x0000_s1242" type="#_x0000_t136" alt="" style="position:absolute;left:0;text-align:left;margin-left:0;margin-top:0;width:474.6pt;height:284.75pt;rotation:315;z-index:-2516577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823AB10">
        <v:shape id="_x0000_s1241" type="#_x0000_t136" alt="" style="position:absolute;left:0;text-align:left;margin-left:0;margin-top:0;width:474.6pt;height:284.75pt;rotation:315;z-index:-2516577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4DE854B">
        <v:shape id="_x0000_s1240" type="#_x0000_t136" alt="" style="position:absolute;left:0;text-align:left;margin-left:0;margin-top:0;width:474.6pt;height:284.75pt;rotation:315;z-index:-2516578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D80342">
        <v:shape id="_x0000_s1239" type="#_x0000_t136" alt="" style="position:absolute;left:0;text-align:left;margin-left:0;margin-top:0;width:474.6pt;height:284.75pt;rotation:315;z-index:-2516578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F1DC6A">
        <v:shape id="_x0000_s1238" type="#_x0000_t136" alt="" style="position:absolute;left:0;text-align:left;margin-left:0;margin-top:0;width:474.6pt;height:284.75pt;rotation:315;z-index:-2516578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075573">
        <v:shape id="_x0000_s1237" type="#_x0000_t136" alt="" style="position:absolute;left:0;text-align:left;margin-left:0;margin-top:0;width:474.6pt;height:284.75pt;rotation:315;z-index:-2516578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47288D">
        <v:shape id="_x0000_s1236" type="#_x0000_t136" alt="" style="position:absolute;left:0;text-align:left;margin-left:0;margin-top:0;width:474.6pt;height:284.75pt;rotation:315;z-index:-2516578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1EDCA8A">
        <v:shape id="_x0000_s1235" type="#_x0000_t136" alt="" style="position:absolute;left:0;text-align:left;margin-left:0;margin-top:0;width:474.6pt;height:284.75pt;rotation:315;z-index:-2516578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D977E76">
        <v:shape id="_x0000_s1234" type="#_x0000_t136" alt="" style="position:absolute;left:0;text-align:left;margin-left:0;margin-top:0;width:474.6pt;height:284.75pt;rotation:315;z-index:-2516578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BDE8171">
        <v:shape id="_x0000_s1233" type="#_x0000_t136" alt="" style="position:absolute;left:0;text-align:left;margin-left:0;margin-top:0;width:474.6pt;height:284.75pt;rotation:315;z-index:-2516578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B70482E">
        <v:shape id="_x0000_s1232" type="#_x0000_t136" alt="" style="position:absolute;left:0;text-align:left;margin-left:0;margin-top:0;width:474.6pt;height:284.75pt;rotation:315;z-index:-2516578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45D0676">
        <v:shape id="_x0000_s1231" type="#_x0000_t136" alt="" style="position:absolute;left:0;text-align:left;margin-left:0;margin-top:0;width:474.6pt;height:284.75pt;rotation:315;z-index:-2516578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ED7F5DC">
        <v:shape id="_x0000_s1230" type="#_x0000_t136" alt="" style="position:absolute;left:0;text-align:left;margin-left:0;margin-top:0;width:474.6pt;height:284.75pt;rotation:315;z-index:-2516578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CDBCDB1">
        <v:shape id="_x0000_s1229" type="#_x0000_t136" alt="" style="position:absolute;left:0;text-align:left;margin-left:0;margin-top:0;width:474.6pt;height:284.75pt;rotation:315;z-index:-25165782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7F764E3">
        <v:shape id="_x0000_s1228" type="#_x0000_t136" alt="" style="position:absolute;left:0;text-align:left;margin-left:0;margin-top:0;width:474.6pt;height:284.75pt;rotation:315;z-index:-2516578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8D52775">
        <v:shape id="_x0000_s1227" type="#_x0000_t136" alt="" style="position:absolute;left:0;text-align:left;margin-left:0;margin-top:0;width:474.6pt;height:284.75pt;rotation:315;z-index:-2516578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765CD14">
        <v:shape id="_x0000_s1226" type="#_x0000_t136" alt="" style="position:absolute;left:0;text-align:left;margin-left:0;margin-top:0;width:474.6pt;height:284.75pt;rotation:315;z-index:-2516578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7CCCD76">
        <v:shape id="_x0000_s1225" type="#_x0000_t136" alt="" style="position:absolute;left:0;text-align:left;margin-left:0;margin-top:0;width:474.6pt;height:284.75pt;rotation:315;z-index:-2516578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5FEA5F0">
        <v:shape id="_x0000_s1224" type="#_x0000_t136" alt="" style="position:absolute;left:0;text-align:left;margin-left:0;margin-top:0;width:474.6pt;height:284.75pt;rotation:315;z-index:-2516578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C2AF89">
        <v:shape id="_x0000_s1223" type="#_x0000_t136" alt="" style="position:absolute;left:0;text-align:left;margin-left:0;margin-top:0;width:474.6pt;height:284.75pt;rotation:315;z-index:-2516578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EA89DCE">
        <v:shape id="_x0000_s1222" type="#_x0000_t136" alt="" style="position:absolute;left:0;text-align:left;margin-left:0;margin-top:0;width:474.6pt;height:284.75pt;rotation:315;z-index:-2516578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2A616A">
        <v:shape id="_x0000_s1221" type="#_x0000_t136" alt="" style="position:absolute;left:0;text-align:left;margin-left:0;margin-top:0;width:474.6pt;height:284.75pt;rotation:315;z-index:-2516578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C4B5F2">
        <v:shape id="_x0000_s1220" type="#_x0000_t136" alt="" style="position:absolute;left:0;text-align:left;margin-left:0;margin-top:0;width:474.6pt;height:284.75pt;rotation:315;z-index:-2516578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EEF596A">
        <v:shape id="_x0000_s1219" type="#_x0000_t136" alt="" style="position:absolute;left:0;text-align:left;margin-left:0;margin-top:0;width:474.6pt;height:284.75pt;rotation:315;z-index:-2516578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C903B97">
        <v:shape id="_x0000_s1218" type="#_x0000_t136" alt="" style="position:absolute;left:0;text-align:left;margin-left:0;margin-top:0;width:474.6pt;height:284.75pt;rotation:315;z-index:-2516578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D7719F8">
        <v:shape id="_x0000_s1217" type="#_x0000_t136" alt="" style="position:absolute;left:0;text-align:left;margin-left:0;margin-top:0;width:474.6pt;height:284.75pt;rotation:315;z-index:-2516578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AA0B7E5">
        <v:shape id="_x0000_s1216" type="#_x0000_t136" alt="" style="position:absolute;left:0;text-align:left;margin-left:0;margin-top:0;width:474.6pt;height:284.75pt;rotation:315;z-index:-2516578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687B68A">
        <v:shape id="_x0000_s1215" type="#_x0000_t136" alt="" style="position:absolute;left:0;text-align:left;margin-left:0;margin-top:0;width:474.6pt;height:284.75pt;rotation:315;z-index:-25165786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D31F211">
        <v:shape id="_x0000_s1214" type="#_x0000_t136" alt="" style="position:absolute;left:0;text-align:left;margin-left:0;margin-top:0;width:474.6pt;height:284.75pt;rotation:315;z-index:-2516578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CFF0E49">
        <v:shape id="_x0000_s1213" type="#_x0000_t136" alt="" style="position:absolute;left:0;text-align:left;margin-left:0;margin-top:0;width:474.6pt;height:284.75pt;rotation:315;z-index:-25165785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277F18B">
        <v:shape id="_x0000_s1212" type="#_x0000_t136" alt="" style="position:absolute;left:0;text-align:left;margin-left:0;margin-top:0;width:474.6pt;height:284.75pt;rotation:315;z-index:-2516578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569C6CE">
        <v:shape id="_x0000_s1211" type="#_x0000_t136" alt="" style="position:absolute;left:0;text-align:left;margin-left:0;margin-top:0;width:474.6pt;height:284.75pt;rotation:315;z-index:-2516578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EC3A66">
        <v:shape id="_x0000_s1210" type="#_x0000_t136" alt="" style="position:absolute;left:0;text-align:left;margin-left:0;margin-top:0;width:474.6pt;height:284.75pt;rotation:315;z-index:-2516578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32B5BFF">
        <v:shape id="_x0000_s1209" type="#_x0000_t136" alt="" style="position:absolute;left:0;text-align:left;margin-left:0;margin-top:0;width:474.6pt;height:284.75pt;rotation:315;z-index:-2516578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7175D95">
        <v:shape id="_x0000_s1208" type="#_x0000_t136" alt="" style="position:absolute;left:0;text-align:left;margin-left:0;margin-top:0;width:474.6pt;height:284.75pt;rotation:315;z-index:-2516578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C757D3">
        <v:shape id="_x0000_s1207" type="#_x0000_t136" alt="" style="position:absolute;left:0;text-align:left;margin-left:0;margin-top:0;width:474.6pt;height:284.75pt;rotation:315;z-index:-2516578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B99DE17">
        <v:shape id="_x0000_s1206" type="#_x0000_t136" alt="" style="position:absolute;left:0;text-align:left;margin-left:0;margin-top:0;width:474.6pt;height:284.75pt;rotation:315;z-index:-2516578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DCEFED">
        <v:shape id="_x0000_s1205" type="#_x0000_t136" alt="" style="position:absolute;left:0;text-align:left;margin-left:0;margin-top:0;width:474.6pt;height:284.75pt;rotation:315;z-index:-2516578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08BCA96">
        <v:shape id="_x0000_s1204" type="#_x0000_t136" alt="" style="position:absolute;left:0;text-align:left;margin-left:0;margin-top:0;width:474.6pt;height:284.75pt;rotation:315;z-index:-2516578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5ED0381">
        <v:shape id="_x0000_s1203" type="#_x0000_t136" alt="" style="position:absolute;left:0;text-align:left;margin-left:0;margin-top:0;width:474.6pt;height:284.75pt;rotation:315;z-index:-2516578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BCC977A">
        <v:shape id="_x0000_s1202" type="#_x0000_t136" alt="" style="position:absolute;left:0;text-align:left;margin-left:0;margin-top:0;width:474.6pt;height:284.75pt;rotation:315;z-index:-2516578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B7888B2">
        <v:shape id="_x0000_s1201" type="#_x0000_t136" alt="" style="position:absolute;left:0;text-align:left;margin-left:0;margin-top:0;width:474.6pt;height:284.75pt;rotation:315;z-index:-2516578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13F9EA8">
        <v:shape id="_x0000_s1200" type="#_x0000_t136" alt="" style="position:absolute;left:0;text-align:left;margin-left:0;margin-top:0;width:474.6pt;height:284.75pt;rotation:315;z-index:-2516578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F7B36C1">
        <v:shape id="_x0000_s1199" type="#_x0000_t136" alt="" style="position:absolute;left:0;text-align:left;margin-left:0;margin-top:0;width:474.6pt;height:284.75pt;rotation:315;z-index:-2516578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0881163">
        <v:shape id="_x0000_s1198" type="#_x0000_t136" alt="" style="position:absolute;left:0;text-align:left;margin-left:0;margin-top:0;width:474.6pt;height:284.75pt;rotation:315;z-index:-2516578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3967BF">
        <v:shape id="_x0000_s1197" type="#_x0000_t136" alt="" style="position:absolute;left:0;text-align:left;margin-left:0;margin-top:0;width:474.6pt;height:284.75pt;rotation:315;z-index:-25165789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5FC10EB">
        <v:shape id="_x0000_s1196" type="#_x0000_t136" alt="" style="position:absolute;left:0;text-align:left;margin-left:0;margin-top:0;width:474.6pt;height:284.75pt;rotation:315;z-index:-2516578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802EC50">
        <v:shape id="_x0000_s1195" type="#_x0000_t136" alt="" style="position:absolute;left:0;text-align:left;margin-left:0;margin-top:0;width:474.6pt;height:284.75pt;rotation:315;z-index:-2516578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F996DC">
        <v:shape id="_x0000_s1194" type="#_x0000_t136" alt="" style="position:absolute;left:0;text-align:left;margin-left:0;margin-top:0;width:474.6pt;height:284.75pt;rotation:315;z-index:-2516578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949413">
        <v:shape id="_x0000_s1193" type="#_x0000_t136" alt="" style="position:absolute;left:0;text-align:left;margin-left:0;margin-top:0;width:474.6pt;height:284.75pt;rotation:315;z-index:-2516578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5D7D5A3">
        <v:shape id="_x0000_s1192" type="#_x0000_t136" alt="" style="position:absolute;left:0;text-align:left;margin-left:0;margin-top:0;width:474.6pt;height:284.75pt;rotation:315;z-index:-2516579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73B6F2">
        <v:shape id="_x0000_s1191" type="#_x0000_t136" alt="" style="position:absolute;left:0;text-align:left;margin-left:0;margin-top:0;width:474.6pt;height:284.75pt;rotation:315;z-index:-2516579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F8736B5">
        <v:shape id="_x0000_s1190" type="#_x0000_t136" alt="" style="position:absolute;left:0;text-align:left;margin-left:0;margin-top:0;width:474.6pt;height:284.75pt;rotation:315;z-index:-2516579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903FA83">
        <v:shape id="_x0000_s1189" type="#_x0000_t136" alt="" style="position:absolute;left:0;text-align:left;margin-left:0;margin-top:0;width:474.6pt;height:284.75pt;rotation:315;z-index:-2516579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FC40A50">
        <v:shape id="_x0000_s1188" type="#_x0000_t136" alt="" style="position:absolute;left:0;text-align:left;margin-left:0;margin-top:0;width:474.6pt;height:284.75pt;rotation:315;z-index:-2516579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D8608B0">
        <v:shape id="_x0000_s1187" type="#_x0000_t136" alt="" style="position:absolute;left:0;text-align:left;margin-left:0;margin-top:0;width:474.6pt;height:284.75pt;rotation:315;z-index:-2516579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AD743C6">
        <v:shape id="_x0000_s1186" type="#_x0000_t136" alt="" style="position:absolute;left:0;text-align:left;margin-left:0;margin-top:0;width:474.6pt;height:284.75pt;rotation:315;z-index:-2516579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8E54C4">
        <v:shape id="_x0000_s1185" type="#_x0000_t136" alt="" style="position:absolute;left:0;text-align:left;margin-left:0;margin-top:0;width:474.6pt;height:284.75pt;rotation:315;z-index:-2516579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F8C5BCC">
        <v:shape id="_x0000_s1184" type="#_x0000_t136" alt="" style="position:absolute;left:0;text-align:left;margin-left:0;margin-top:0;width:474.6pt;height:284.75pt;rotation:315;z-index:-2516579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C492595">
        <v:shape id="_x0000_s1183" type="#_x0000_t136" alt="" style="position:absolute;left:0;text-align:left;margin-left:0;margin-top:0;width:474.6pt;height:284.75pt;rotation:315;z-index:-2516579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8107730">
        <v:shape id="_x0000_s1182" type="#_x0000_t136" alt="" style="position:absolute;left:0;text-align:left;margin-left:0;margin-top:0;width:474.6pt;height:284.75pt;rotation:315;z-index:-2516579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C8D5360">
        <v:shape id="_x0000_s1181" type="#_x0000_t136" alt="" style="position:absolute;left:0;text-align:left;margin-left:0;margin-top:0;width:474.6pt;height:284.75pt;rotation:315;z-index:-25165792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958CEE">
        <v:shape id="_x0000_s1180" type="#_x0000_t136" alt="" style="position:absolute;left:0;text-align:left;margin-left:0;margin-top:0;width:474.6pt;height:284.75pt;rotation:315;z-index:-2516579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DF111F8">
        <v:shape id="_x0000_s1179" type="#_x0000_t136" alt="" style="position:absolute;left:0;text-align:left;margin-left:0;margin-top:0;width:474.6pt;height:284.75pt;rotation:315;z-index:-2516579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1F046DC">
        <v:shape id="_x0000_s1178" type="#_x0000_t136" alt="" style="position:absolute;left:0;text-align:left;margin-left:0;margin-top:0;width:474.6pt;height:284.75pt;rotation:315;z-index:-2516579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A11F44B">
        <v:shape id="_x0000_s1177" type="#_x0000_t136" alt="" style="position:absolute;left:0;text-align:left;margin-left:0;margin-top:0;width:474.6pt;height:284.75pt;rotation:315;z-index:-2516579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B59DBD7">
        <v:shape id="_x0000_s1176" type="#_x0000_t136" alt="" style="position:absolute;left:0;text-align:left;margin-left:0;margin-top:0;width:474.6pt;height:284.75pt;rotation:315;z-index:-2516579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D12D610">
        <v:shape id="_x0000_s1175" type="#_x0000_t136" alt="" style="position:absolute;left:0;text-align:left;margin-left:0;margin-top:0;width:474.6pt;height:284.75pt;rotation:315;z-index:-2516579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2BF93C">
        <v:shape id="_x0000_s1174" type="#_x0000_t136" alt="" style="position:absolute;left:0;text-align:left;margin-left:0;margin-top:0;width:474.6pt;height:284.75pt;rotation:315;z-index:-2516579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D6DEEF">
        <v:shape id="_x0000_s1173" type="#_x0000_t136" alt="" style="position:absolute;left:0;text-align:left;margin-left:0;margin-top:0;width:474.6pt;height:284.75pt;rotation:315;z-index:-2516579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88BBDDF">
        <v:shape id="_x0000_s1172" type="#_x0000_t136" alt="" style="position:absolute;left:0;text-align:left;margin-left:0;margin-top:0;width:474.6pt;height:284.75pt;rotation:315;z-index:-2516579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DE18584">
        <v:shape id="_x0000_s1171" type="#_x0000_t136" alt="" style="position:absolute;left:0;text-align:left;margin-left:0;margin-top:0;width:474.6pt;height:284.75pt;rotation:315;z-index:-2516579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15E07C0">
        <v:shape id="_x0000_s1170" type="#_x0000_t136" alt="" style="position:absolute;left:0;text-align:left;margin-left:0;margin-top:0;width:474.6pt;height:284.75pt;rotation:315;z-index:-2516579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9E5BCF7">
        <v:shape id="_x0000_s1169" type="#_x0000_t136" alt="" style="position:absolute;left:0;text-align:left;margin-left:0;margin-top:0;width:474.6pt;height:284.75pt;rotation:315;z-index:-2516579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6F3F4E">
        <v:shape id="_x0000_s1168" type="#_x0000_t136" alt="" style="position:absolute;left:0;text-align:left;margin-left:0;margin-top:0;width:474.6pt;height:284.75pt;rotation:315;z-index:-25165795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35D0D17">
        <v:shape id="_x0000_s1167" type="#_x0000_t136" alt="" style="position:absolute;left:0;text-align:left;margin-left:0;margin-top:0;width:474.6pt;height:284.75pt;rotation:315;z-index:-25165795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DEB5B0">
        <v:shape id="_x0000_s1166" type="#_x0000_t136" alt="" style="position:absolute;left:0;text-align:left;margin-left:0;margin-top:0;width:474.6pt;height:284.75pt;rotation:315;z-index:-25165795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72A696">
        <v:shape id="_x0000_s1165" type="#_x0000_t136" alt="" style="position:absolute;left:0;text-align:left;margin-left:0;margin-top:0;width:474.6pt;height:284.75pt;rotation:315;z-index:-25165795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7925869">
        <v:shape id="_x0000_s1164" type="#_x0000_t136" alt="" style="position:absolute;left:0;text-align:left;margin-left:0;margin-top:0;width:474.6pt;height:284.75pt;rotation:315;z-index:-2516579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AD0793A">
        <v:shape id="_x0000_s1163" type="#_x0000_t136" alt="" style="position:absolute;left:0;text-align:left;margin-left:0;margin-top:0;width:474.6pt;height:284.75pt;rotation:315;z-index:-2516579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23A914">
        <v:shape id="_x0000_s1162" type="#_x0000_t136" alt="" style="position:absolute;left:0;text-align:left;margin-left:0;margin-top:0;width:474.6pt;height:284.75pt;rotation:315;z-index:-2516579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4942475">
        <v:shape id="_x0000_s1161" type="#_x0000_t136" alt="" style="position:absolute;left:0;text-align:left;margin-left:0;margin-top:0;width:474.6pt;height:284.75pt;rotation:315;z-index:-2516579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CF06D7F">
        <v:shape id="_x0000_s1160" type="#_x0000_t136" alt="" style="position:absolute;left:0;text-align:left;margin-left:0;margin-top:0;width:474.6pt;height:284.75pt;rotation:315;z-index:-2516579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BF71593">
        <v:shape id="_x0000_s1159" type="#_x0000_t136" alt="" style="position:absolute;left:0;text-align:left;margin-left:0;margin-top:0;width:474.6pt;height:284.75pt;rotation:315;z-index:-2516579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52A2E03">
        <v:shape id="_x0000_s1158" type="#_x0000_t136" alt="" style="position:absolute;left:0;text-align:left;margin-left:0;margin-top:0;width:474.6pt;height:284.75pt;rotation:315;z-index:-2516579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271905">
        <v:shape id="_x0000_s1157" type="#_x0000_t136" alt="" style="position:absolute;left:0;text-align:left;margin-left:0;margin-top:0;width:474.6pt;height:284.75pt;rotation:315;z-index:-2516579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EC04A02">
        <v:shape id="_x0000_s1156" type="#_x0000_t136" alt="" style="position:absolute;left:0;text-align:left;margin-left:0;margin-top:0;width:474.6pt;height:284.75pt;rotation:315;z-index:-2516579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6ED05B7">
        <v:shape id="_x0000_s1155" type="#_x0000_t136" alt="" style="position:absolute;left:0;text-align:left;margin-left:0;margin-top:0;width:474.6pt;height:284.75pt;rotation:315;z-index:-2516579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711DC42">
        <v:shape id="_x0000_s1154" type="#_x0000_t136" alt="" style="position:absolute;left:0;text-align:left;margin-left:0;margin-top:0;width:474.6pt;height:284.75pt;rotation:315;z-index:-2516579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DFAEFEF">
        <v:shape id="_x0000_s1153" type="#_x0000_t136" alt="" style="position:absolute;left:0;text-align:left;margin-left:0;margin-top:0;width:474.6pt;height:284.75pt;rotation:315;z-index:-2516579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0B237D">
        <v:shape id="_x0000_s1152" type="#_x0000_t136" alt="" style="position:absolute;left:0;text-align:left;margin-left:0;margin-top:0;width:474.6pt;height:284.75pt;rotation:315;z-index:-25165798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EAD325D">
        <v:shape id="_x0000_s1151" type="#_x0000_t136" alt="" style="position:absolute;left:0;text-align:left;margin-left:0;margin-top:0;width:474.6pt;height:284.75pt;rotation:315;z-index:-25165798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1E351EC">
        <v:shape id="_x0000_s1150" type="#_x0000_t136" alt="" style="position:absolute;left:0;text-align:left;margin-left:0;margin-top:0;width:474.6pt;height:284.75pt;rotation:315;z-index:-25165798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5D321D0">
        <v:shape id="_x0000_s1149" type="#_x0000_t136" alt="" style="position:absolute;left:0;text-align:left;margin-left:0;margin-top:0;width:474.6pt;height:284.75pt;rotation:315;z-index:-25165798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CC0DCBD">
        <v:shape id="_x0000_s1148" type="#_x0000_t136" alt="" style="position:absolute;left:0;text-align:left;margin-left:0;margin-top:0;width:474.6pt;height:284.75pt;rotation:315;z-index:-2516579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D86669F">
        <v:shape id="_x0000_s1147" type="#_x0000_t136" alt="" style="position:absolute;left:0;text-align:left;margin-left:0;margin-top:0;width:474.6pt;height:284.75pt;rotation:315;z-index:-2516579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0B8DAFE">
        <v:shape id="_x0000_s1146" type="#_x0000_t136" alt="" style="position:absolute;left:0;text-align:left;margin-left:0;margin-top:0;width:474.6pt;height:284.75pt;rotation:315;z-index:-2516579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278E73A">
        <v:shape id="_x0000_s1145" type="#_x0000_t136" alt="" style="position:absolute;left:0;text-align:left;margin-left:0;margin-top:0;width:474.6pt;height:284.75pt;rotation:315;z-index:-2516579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48EC38">
        <v:shape id="_x0000_s1144" type="#_x0000_t136" alt="" style="position:absolute;left:0;text-align:left;margin-left:0;margin-top:0;width:474.6pt;height:284.75pt;rotation:315;z-index:-2516579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8564A55">
        <v:shape id="_x0000_s1143" type="#_x0000_t136" alt="" style="position:absolute;left:0;text-align:left;margin-left:0;margin-top:0;width:474.6pt;height:284.75pt;rotation:315;z-index:-2516580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431911B">
        <v:shape id="_x0000_s1142" type="#_x0000_t136" alt="" style="position:absolute;left:0;text-align:left;margin-left:0;margin-top:0;width:474.6pt;height:284.75pt;rotation:315;z-index:-2516580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2084BD">
        <v:shape id="_x0000_s1141" type="#_x0000_t136" alt="" style="position:absolute;left:0;text-align:left;margin-left:0;margin-top:0;width:474.6pt;height:284.75pt;rotation:315;z-index:-2516580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D282AD1">
        <v:shape id="_x0000_s1140" type="#_x0000_t136" alt="" style="position:absolute;left:0;text-align:left;margin-left:0;margin-top:0;width:474.6pt;height:284.75pt;rotation:315;z-index:-2516580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992EEA">
        <v:shape id="_x0000_s1139" type="#_x0000_t136" alt="" style="position:absolute;left:0;text-align:left;margin-left:0;margin-top:0;width:474.6pt;height:284.75pt;rotation:315;z-index:-2516580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8CF1808">
        <v:shape id="_x0000_s1138" type="#_x0000_t136" alt="" style="position:absolute;left:0;text-align:left;margin-left:0;margin-top:0;width:474.6pt;height:284.75pt;rotation:315;z-index:-2516580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441416C">
        <v:shape id="_x0000_s1137" type="#_x0000_t136" alt="" style="position:absolute;left:0;text-align:left;margin-left:0;margin-top:0;width:474.6pt;height:284.75pt;rotation:315;z-index:-2516580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E2E6F2">
        <v:shape id="_x0000_s1136" type="#_x0000_t136" alt="" style="position:absolute;left:0;text-align:left;margin-left:0;margin-top:0;width:474.6pt;height:284.75pt;rotation:315;z-index:-25165802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4F1BD8F">
        <v:shape id="_x0000_s1135" type="#_x0000_t136" alt="" style="position:absolute;left:0;text-align:left;margin-left:0;margin-top:0;width:474.6pt;height:284.75pt;rotation:315;z-index:-2516580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2EAD30F">
        <v:shape id="_x0000_s1134" type="#_x0000_t136" alt="" style="position:absolute;left:0;text-align:left;margin-left:0;margin-top:0;width:474.6pt;height:284.75pt;rotation:315;z-index:-25165801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7B9650">
        <v:shape id="_x0000_s1133" type="#_x0000_t136" alt="" style="position:absolute;left:0;text-align:left;margin-left:0;margin-top:0;width:474.6pt;height:284.75pt;rotation:315;z-index:-25165801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1ED25E">
        <v:shape id="_x0000_s1132" type="#_x0000_t136" alt="" style="position:absolute;left:0;text-align:left;margin-left:0;margin-top:0;width:474.6pt;height:284.75pt;rotation:315;z-index:-2516580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E75534D">
        <v:shape id="_x0000_s1131" type="#_x0000_t136" alt="" style="position:absolute;left:0;text-align:left;margin-left:0;margin-top:0;width:474.6pt;height:284.75pt;rotation:315;z-index:-2516580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3149E85">
        <v:shape id="_x0000_s1130" type="#_x0000_t136" alt="" style="position:absolute;left:0;text-align:left;margin-left:0;margin-top:0;width:474.6pt;height:284.75pt;rotation:315;z-index:-2516580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702A365">
        <v:shape id="_x0000_s1129" type="#_x0000_t136" alt="" style="position:absolute;left:0;text-align:left;margin-left:0;margin-top:0;width:474.6pt;height:284.75pt;rotation:315;z-index:-2516580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373D3BA">
        <v:shape id="_x0000_s1128" type="#_x0000_t136" alt="" style="position:absolute;left:0;text-align:left;margin-left:0;margin-top:0;width:474.6pt;height:284.75pt;rotation:315;z-index:-2516580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B60CCC">
        <v:shape id="_x0000_s1127" type="#_x0000_t136" alt="" style="position:absolute;left:0;text-align:left;margin-left:0;margin-top:0;width:474.6pt;height:284.75pt;rotation:315;z-index:-2516580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E45D4DB">
        <v:shape id="_x0000_s1126" type="#_x0000_t136" alt="" style="position:absolute;left:0;text-align:left;margin-left:0;margin-top:0;width:474.6pt;height:284.75pt;rotation:315;z-index:-2516580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B618076">
        <v:shape id="_x0000_s1125" type="#_x0000_t136" alt="" style="position:absolute;left:0;text-align:left;margin-left:0;margin-top:0;width:474.6pt;height:284.75pt;rotation:315;z-index:-2516580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C58EC6">
        <v:shape id="_x0000_s1124" type="#_x0000_t136" alt="" style="position:absolute;left:0;text-align:left;margin-left:0;margin-top:0;width:474.6pt;height:284.75pt;rotation:315;z-index:-2516580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53DA404">
        <v:shape id="_x0000_s1123" type="#_x0000_t136" alt="" style="position:absolute;left:0;text-align:left;margin-left:0;margin-top:0;width:474.6pt;height:284.75pt;rotation:315;z-index:-2516580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9341543">
        <v:shape id="_x0000_s1122" type="#_x0000_t136" alt="" style="position:absolute;left:0;text-align:left;margin-left:0;margin-top:0;width:474.6pt;height:284.75pt;rotation:315;z-index:-2516580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15A73FE">
        <v:shape id="_x0000_s1121" type="#_x0000_t136" alt="" style="position:absolute;left:0;text-align:left;margin-left:0;margin-top:0;width:474.6pt;height:284.75pt;rotation:315;z-index:-2516580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C8D0581">
        <v:shape id="_x0000_s1120" type="#_x0000_t136" alt="" style="position:absolute;left:0;text-align:left;margin-left:0;margin-top:0;width:474.6pt;height:284.75pt;rotation:315;z-index:-25165805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2C356D1">
        <v:shape id="_x0000_s1119" type="#_x0000_t136" alt="" style="position:absolute;left:0;text-align:left;margin-left:0;margin-top:0;width:474.6pt;height:284.75pt;rotation:315;z-index:-2516580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0E2D572">
        <v:shape id="_x0000_s1118" type="#_x0000_t136" alt="" style="position:absolute;left:0;text-align:left;margin-left:0;margin-top:0;width:474.6pt;height:284.75pt;rotation:315;z-index:-25165805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D9AC39A">
        <v:shape id="_x0000_s1117" type="#_x0000_t136" alt="" style="position:absolute;left:0;text-align:left;margin-left:0;margin-top:0;width:474.6pt;height:284.75pt;rotation:315;z-index:-25165805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C489C5E">
        <v:shape id="_x0000_s1116" type="#_x0000_t136" alt="" style="position:absolute;left:0;text-align:left;margin-left:0;margin-top:0;width:474.6pt;height:284.75pt;rotation:315;z-index:-2516580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3B6A188">
        <v:shape id="_x0000_s1115" type="#_x0000_t136" alt="" style="position:absolute;left:0;text-align:left;margin-left:0;margin-top:0;width:474.6pt;height:284.75pt;rotation:315;z-index:-2516580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B743B68">
        <v:shape id="_x0000_s1114" type="#_x0000_t136" alt="" style="position:absolute;left:0;text-align:left;margin-left:0;margin-top:0;width:474.6pt;height:284.75pt;rotation:315;z-index:-2516580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8B37F5C">
        <v:shape id="_x0000_s1113" type="#_x0000_t136" alt="" style="position:absolute;left:0;text-align:left;margin-left:0;margin-top:0;width:474.6pt;height:284.75pt;rotation:315;z-index:-2516580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8779DA">
        <v:shape id="_x0000_s1112" type="#_x0000_t136" alt="" style="position:absolute;left:0;text-align:left;margin-left:0;margin-top:0;width:474.6pt;height:284.75pt;rotation:315;z-index:-2516580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C53B3BC">
        <v:shape id="_x0000_s1111" type="#_x0000_t136" alt="" style="position:absolute;left:0;text-align:left;margin-left:0;margin-top:0;width:474.6pt;height:284.75pt;rotation:315;z-index:-2516580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2F3B99E">
        <v:shape id="_x0000_s1110" type="#_x0000_t136" alt="" style="position:absolute;left:0;text-align:left;margin-left:0;margin-top:0;width:474.6pt;height:284.75pt;rotation:315;z-index:-2516580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FA3A329">
        <v:shape id="_x0000_s1109" type="#_x0000_t136" alt="" style="position:absolute;left:0;text-align:left;margin-left:0;margin-top:0;width:474.6pt;height:284.75pt;rotation:315;z-index:-2516580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C3C7E2B">
        <v:shape id="_x0000_s1108" type="#_x0000_t136" alt="" style="position:absolute;left:0;text-align:left;margin-left:0;margin-top:0;width:474.6pt;height:284.75pt;rotation:315;z-index:-2516580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AC2A9EF">
        <v:shape id="_x0000_s1107" type="#_x0000_t136" alt="" style="position:absolute;left:0;text-align:left;margin-left:0;margin-top:0;width:474.6pt;height:284.75pt;rotation:315;z-index:-2516580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9C49E51">
        <v:shape id="_x0000_s1106" type="#_x0000_t136" alt="" style="position:absolute;left:0;text-align:left;margin-left:0;margin-top:0;width:474.6pt;height:284.75pt;rotation:315;z-index:-2516580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EA5E12B">
        <v:shape id="_x0000_s1105" type="#_x0000_t136" alt="" style="position:absolute;left:0;text-align:left;margin-left:0;margin-top:0;width:474.6pt;height:284.75pt;rotation:315;z-index:-2516580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FA6C6BB">
        <v:shape id="_x0000_s1104" type="#_x0000_t136" alt="" style="position:absolute;left:0;text-align:left;margin-left:0;margin-top:0;width:474.6pt;height:284.75pt;rotation:315;z-index:-25165808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3BB0EF4">
        <v:shape id="_x0000_s1103" type="#_x0000_t136" alt="" style="position:absolute;left:0;text-align:left;margin-left:0;margin-top:0;width:474.6pt;height:284.75pt;rotation:315;z-index:-25165808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4FE4E91">
        <v:shape id="_x0000_s1102" type="#_x0000_t136" alt="" style="position:absolute;left:0;text-align:left;margin-left:0;margin-top:0;width:474.6pt;height:284.75pt;rotation:315;z-index:-25165808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047DB6F">
        <v:shape id="_x0000_s1101" type="#_x0000_t136" alt="" style="position:absolute;left:0;text-align:left;margin-left:0;margin-top:0;width:474.6pt;height:284.75pt;rotation:315;z-index:-25165808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351BF95">
        <v:shape id="_x0000_s1100" type="#_x0000_t136" alt="" style="position:absolute;left:0;text-align:left;margin-left:0;margin-top:0;width:474.6pt;height:284.75pt;rotation:315;z-index:-2516580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454F155">
        <v:shape id="_x0000_s1099" type="#_x0000_t136" alt="" style="position:absolute;left:0;text-align:left;margin-left:0;margin-top:0;width:474.6pt;height:284.75pt;rotation:315;z-index:-2516580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BEAEF42">
        <v:shape id="_x0000_s1098" type="#_x0000_t136" alt="" style="position:absolute;left:0;text-align:left;margin-left:0;margin-top:0;width:474.6pt;height:284.75pt;rotation:315;z-index:-2516580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5D72A5B">
        <v:shape id="_x0000_s1097" type="#_x0000_t136" alt="" style="position:absolute;left:0;text-align:left;margin-left:0;margin-top:0;width:474.6pt;height:284.75pt;rotation:315;z-index:-2516580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433A82D">
        <v:shape id="_x0000_s1096" type="#_x0000_t136" alt="" style="position:absolute;left:0;text-align:left;margin-left:0;margin-top:0;width:474.6pt;height:284.75pt;rotation:315;z-index:-2516580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6F97AB">
        <v:shape id="_x0000_s1095" type="#_x0000_t136" alt="" style="position:absolute;left:0;text-align:left;margin-left:0;margin-top:0;width:474.6pt;height:284.75pt;rotation:315;z-index:-2516580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5374D42">
        <v:shape id="_x0000_s1094" type="#_x0000_t136" alt="" style="position:absolute;left:0;text-align:left;margin-left:0;margin-top:0;width:474.6pt;height:284.75pt;rotation:315;z-index:-2516580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89785D7">
        <v:shape id="_x0000_s1093" type="#_x0000_t136" alt="" style="position:absolute;left:0;text-align:left;margin-left:0;margin-top:0;width:474.6pt;height:284.75pt;rotation:315;z-index:-2516581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AEE9C51">
        <v:shape id="_x0000_s1092" type="#_x0000_t136" alt="" style="position:absolute;left:0;text-align:left;margin-left:0;margin-top:0;width:474.6pt;height:284.75pt;rotation:315;z-index:-2516581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4F8B237">
        <v:shape id="_x0000_s1091" type="#_x0000_t136" alt="" style="position:absolute;left:0;text-align:left;margin-left:0;margin-top:0;width:474.6pt;height:284.75pt;rotation:315;z-index:-2516581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3ED4B29">
        <v:shape id="_x0000_s1090" type="#_x0000_t136" alt="" style="position:absolute;left:0;text-align:left;margin-left:0;margin-top:0;width:474.6pt;height:284.75pt;rotation:315;z-index:-2516581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49A8FC">
        <v:shape id="_x0000_s1089" type="#_x0000_t136" alt="" style="position:absolute;left:0;text-align:left;margin-left:0;margin-top:0;width:474.6pt;height:284.75pt;rotation:315;z-index:-2516581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45DF6AE">
        <v:shape id="_x0000_s1088" type="#_x0000_t136" alt="" style="position:absolute;left:0;text-align:left;margin-left:0;margin-top:0;width:474.6pt;height:284.75pt;rotation:315;z-index:-25165811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7953D6A">
        <v:shape id="_x0000_s1087" type="#_x0000_t136" alt="" style="position:absolute;left:0;text-align:left;margin-left:0;margin-top:0;width:474.6pt;height:284.75pt;rotation:315;z-index:-2516581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1E65F6E">
        <v:shape id="_x0000_s1086" type="#_x0000_t136" alt="" style="position:absolute;left:0;text-align:left;margin-left:0;margin-top:0;width:474.6pt;height:284.75pt;rotation:315;z-index:-25165811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12595ED">
        <v:shape id="_x0000_s1085" type="#_x0000_t136" alt="" style="position:absolute;left:0;text-align:left;margin-left:0;margin-top:0;width:474.6pt;height:284.75pt;rotation:315;z-index:-25165811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F7E5398">
        <v:shape id="_x0000_s1084" type="#_x0000_t136" alt="" style="position:absolute;left:0;text-align:left;margin-left:0;margin-top:0;width:474.6pt;height:284.75pt;rotation:315;z-index:-2516581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00A9B78">
        <v:shape id="_x0000_s1083" type="#_x0000_t136" alt="" style="position:absolute;left:0;text-align:left;margin-left:0;margin-top:0;width:474.6pt;height:284.75pt;rotation:315;z-index:-2516581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ED9C5D">
        <v:shape id="_x0000_s1082" type="#_x0000_t136" alt="" style="position:absolute;left:0;text-align:left;margin-left:0;margin-top:0;width:474.6pt;height:284.75pt;rotation:315;z-index:-2516581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D06E855">
        <v:shape id="_x0000_s1081" type="#_x0000_t136" alt="" style="position:absolute;left:0;text-align:left;margin-left:0;margin-top:0;width:474.6pt;height:284.75pt;rotation:315;z-index:-2516581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8FC5BCB">
        <v:shape id="_x0000_s1080" type="#_x0000_t136" alt="" style="position:absolute;left:0;text-align:left;margin-left:0;margin-top:0;width:474.6pt;height:284.75pt;rotation:315;z-index:-2516581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0164FF5">
        <v:shape id="_x0000_s1079" type="#_x0000_t136" alt="" style="position:absolute;left:0;text-align:left;margin-left:0;margin-top:0;width:474.6pt;height:284.75pt;rotation:315;z-index:-2516581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E962883">
        <v:shape id="_x0000_s1078" type="#_x0000_t136" alt="" style="position:absolute;left:0;text-align:left;margin-left:0;margin-top:0;width:474.6pt;height:284.75pt;rotation:315;z-index:-2516581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F422482">
        <v:shape id="_x0000_s1077" type="#_x0000_t136" alt="" style="position:absolute;left:0;text-align:left;margin-left:0;margin-top:0;width:474.6pt;height:284.75pt;rotation:315;z-index:-2516581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F38AC93">
        <v:shape id="_x0000_s1076" type="#_x0000_t136" alt="" style="position:absolute;left:0;text-align:left;margin-left:0;margin-top:0;width:474.6pt;height:284.75pt;rotation:315;z-index:-2516581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01D44EE">
        <v:shape id="_x0000_s1075" type="#_x0000_t136" alt="" style="position:absolute;left:0;text-align:left;margin-left:0;margin-top:0;width:474.6pt;height:284.75pt;rotation:315;z-index:-2516581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BCCFB26">
        <v:shape id="_x0000_s1074" type="#_x0000_t136" alt="" style="position:absolute;left:0;text-align:left;margin-left:0;margin-top:0;width:474.6pt;height:284.75pt;rotation:315;z-index:-2516581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1336AE6">
        <v:shape id="_x0000_s1073" type="#_x0000_t136" alt="" style="position:absolute;left:0;text-align:left;margin-left:0;margin-top:0;width:474.6pt;height:284.75pt;rotation:315;z-index:-25165814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890E53E">
        <v:shape id="_x0000_s1072" type="#_x0000_t136" alt="" style="position:absolute;left:0;text-align:left;margin-left:0;margin-top:0;width:474.6pt;height:284.75pt;rotation:315;z-index:-25165814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89064CA">
        <v:shape id="_x0000_s1071" type="#_x0000_t136" alt="" style="position:absolute;left:0;text-align:left;margin-left:0;margin-top:0;width:474.6pt;height:284.75pt;rotation:315;z-index:-25165814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753B134">
        <v:shape id="_x0000_s1070" type="#_x0000_t136" alt="" style="position:absolute;left:0;text-align:left;margin-left:0;margin-top:0;width:474.6pt;height:284.75pt;rotation:315;z-index:-25165814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8BAF264">
        <v:shape id="_x0000_s1069" type="#_x0000_t136" alt="" style="position:absolute;left:0;text-align:left;margin-left:0;margin-top:0;width:474.6pt;height:284.75pt;rotation:315;z-index:-25165814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B57DE8">
        <v:shape id="_x0000_s1068" type="#_x0000_t136" alt="" style="position:absolute;left:0;text-align:left;margin-left:0;margin-top:0;width:474.6pt;height:284.75pt;rotation:315;z-index:-25165814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C427802">
        <v:shape id="_x0000_s1067" type="#_x0000_t136" alt="" style="position:absolute;left:0;text-align:left;margin-left:0;margin-top:0;width:474.6pt;height:284.75pt;rotation:315;z-index:-25165814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3178B30">
        <v:shape id="_x0000_s1066" type="#_x0000_t136" alt="" style="position:absolute;left:0;text-align:left;margin-left:0;margin-top:0;width:474.6pt;height:284.75pt;rotation:315;z-index:-25165814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B15C4AD">
        <v:shape id="_x0000_s1065" type="#_x0000_t136" alt="" style="position:absolute;left:0;text-align:left;margin-left:0;margin-top:0;width:474.6pt;height:284.75pt;rotation:315;z-index:-25165814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666A68D">
        <v:shape id="_x0000_s1064" type="#_x0000_t136" alt="" style="position:absolute;left:0;text-align:left;margin-left:0;margin-top:0;width:474.6pt;height:284.75pt;rotation:315;z-index:-25165815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5178BCC">
        <v:shape id="_x0000_s1063" type="#_x0000_t136" alt="" style="position:absolute;left:0;text-align:left;margin-left:0;margin-top:0;width:474.6pt;height:284.75pt;rotation:315;z-index:-25165816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678A2FD">
        <v:shape id="_x0000_s1062" type="#_x0000_t136" alt="" style="position:absolute;left:0;text-align:left;margin-left:0;margin-top:0;width:474.6pt;height:284.75pt;rotation:315;z-index:-25165816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D81244C">
        <v:shape id="_x0000_s1061" type="#_x0000_t136" alt="" style="position:absolute;left:0;text-align:left;margin-left:0;margin-top:0;width:474.6pt;height:284.75pt;rotation:315;z-index:-25165816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3CFB344">
        <v:shape id="_x0000_s1060" type="#_x0000_t136" alt="" style="position:absolute;left:0;text-align:left;margin-left:0;margin-top:0;width:474.6pt;height:284.75pt;rotation:315;z-index:-25165816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9CF4103">
        <v:shape id="_x0000_s1059" type="#_x0000_t136" alt="" style="position:absolute;left:0;text-align:left;margin-left:0;margin-top:0;width:474.6pt;height:284.75pt;rotation:315;z-index:-25165816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0DF335">
        <v:shape id="_x0000_s1058" type="#_x0000_t136" alt="" style="position:absolute;left:0;text-align:left;margin-left:0;margin-top:0;width:474.6pt;height:284.75pt;rotation:315;z-index:-25165817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6758AFF">
        <v:shape id="_x0000_s1057" type="#_x0000_t136" alt="" style="position:absolute;left:0;text-align:left;margin-left:0;margin-top:0;width:474.6pt;height:284.75pt;rotation:315;z-index:-25165817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F43C7AD">
        <v:shape id="_x0000_s1056" type="#_x0000_t136" alt="" style="position:absolute;left:0;text-align:left;margin-left:0;margin-top:0;width:474.6pt;height:284.75pt;rotation:315;z-index:-25165818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D4A6EE5">
        <v:shape id="_x0000_s1055" type="#_x0000_t136" alt="" style="position:absolute;left:0;text-align:left;margin-left:0;margin-top:0;width:474.6pt;height:284.75pt;rotation:315;z-index:-2516581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82C401">
        <v:shape id="_x0000_s1054" type="#_x0000_t136" alt="" style="position:absolute;left:0;text-align:left;margin-left:0;margin-top:0;width:474.6pt;height:284.75pt;rotation:315;z-index:-25165817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589FA99">
        <v:shape id="_x0000_s1053" type="#_x0000_t136" alt="" style="position:absolute;left:0;text-align:left;margin-left:0;margin-top:0;width:474.6pt;height:284.75pt;rotation:315;z-index:-25165817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2E8DC5F">
        <v:shape id="_x0000_s1052" type="#_x0000_t136" alt="" style="position:absolute;left:0;text-align:left;margin-left:0;margin-top:0;width:474.6pt;height:284.75pt;rotation:315;z-index:-25165817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A974B3B">
        <v:shape id="_x0000_s1051" type="#_x0000_t136" alt="" style="position:absolute;left:0;text-align:left;margin-left:0;margin-top:0;width:474.6pt;height:284.75pt;rotation:315;z-index:-2516581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F3BF296">
        <v:shape id="_x0000_s1050" type="#_x0000_t136" alt="" style="position:absolute;left:0;text-align:left;margin-left:0;margin-top:0;width:474.6pt;height:284.75pt;rotation:315;z-index:-25165817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8563DC0">
        <v:shape id="_x0000_s1049" type="#_x0000_t136" alt="" style="position:absolute;left:0;text-align:left;margin-left:0;margin-top:0;width:474.6pt;height:284.75pt;rotation:315;z-index:-25165817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E46BA94">
        <v:shape id="_x0000_s1048" type="#_x0000_t136" alt="" style="position:absolute;left:0;text-align:left;margin-left:0;margin-top:0;width:474.6pt;height:284.75pt;rotation:315;z-index:-25165819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219FA1F">
        <v:shape id="_x0000_s1047" type="#_x0000_t136" alt="" style="position:absolute;left:0;text-align:left;margin-left:0;margin-top:0;width:474.6pt;height:284.75pt;rotation:315;z-index:-25165819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836F294">
        <v:shape id="_x0000_s1046" type="#_x0000_t136" alt="" style="position:absolute;left:0;text-align:left;margin-left:0;margin-top:0;width:474.6pt;height:284.75pt;rotation:315;z-index:-25165819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7C4D62">
        <v:shape id="_x0000_s1045" type="#_x0000_t136" alt="" style="position:absolute;left:0;text-align:left;margin-left:0;margin-top:0;width:474.6pt;height:284.75pt;rotation:315;z-index:-25165819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4CEB21BF">
        <v:shape id="_x0000_s1044" type="#_x0000_t136" alt="" style="position:absolute;left:0;text-align:left;margin-left:0;margin-top:0;width:474.6pt;height:284.75pt;rotation:315;z-index:-25165819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80429D5">
        <v:shape id="_x0000_s1043" type="#_x0000_t136" alt="" style="position:absolute;left:0;text-align:left;margin-left:0;margin-top:0;width:474.6pt;height:284.75pt;rotation:315;z-index:-25165820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C96116E">
        <v:shape id="_x0000_s1042" type="#_x0000_t136" alt="" style="position:absolute;left:0;text-align:left;margin-left:0;margin-top:0;width:474.6pt;height:284.75pt;rotation:315;z-index:-25165820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4309B9F">
        <v:shape id="_x0000_s1041" type="#_x0000_t136" alt="" style="position:absolute;left:0;text-align:left;margin-left:0;margin-top:0;width:474.6pt;height:284.75pt;rotation:315;z-index:-25165820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DFB358A">
        <v:shape id="_x0000_s1040" type="#_x0000_t136" alt="" style="position:absolute;left:0;text-align:left;margin-left:0;margin-top:0;width:474.6pt;height:284.75pt;rotation:315;z-index:-25165821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B5FB764">
        <v:shape id="_x0000_s1039" type="#_x0000_t136" alt="" style="position:absolute;left:0;text-align:left;margin-left:0;margin-top:0;width:474.6pt;height:284.75pt;rotation:315;z-index:-25165821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8BED170">
        <v:shape id="_x0000_s1038" type="#_x0000_t136" alt="" style="position:absolute;left:0;text-align:left;margin-left:0;margin-top:0;width:474.6pt;height:284.75pt;rotation:315;z-index:-25165821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6C47F377">
        <v:shape id="_x0000_s1037" type="#_x0000_t136" alt="" style="position:absolute;left:0;text-align:left;margin-left:0;margin-top:0;width:474.6pt;height:284.75pt;rotation:315;z-index:-25165821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148B702">
        <v:shape id="_x0000_s1036" type="#_x0000_t136" alt="" style="position:absolute;left:0;text-align:left;margin-left:0;margin-top:0;width:474.6pt;height:284.75pt;rotation:315;z-index:-25165820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8E3D869">
        <v:shape id="_x0000_s1035" type="#_x0000_t136" alt="" style="position:absolute;left:0;text-align:left;margin-left:0;margin-top:0;width:474.6pt;height:284.75pt;rotation:315;z-index:-25165820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8E99635">
        <v:shape id="_x0000_s1034" type="#_x0000_t136" alt="" style="position:absolute;left:0;text-align:left;margin-left:0;margin-top:0;width:474.6pt;height:284.75pt;rotation:315;z-index:-25165820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0477A918">
        <v:shape id="_x0000_s1033" type="#_x0000_t136" alt="" style="position:absolute;left:0;text-align:left;margin-left:0;margin-top:0;width:474.6pt;height:284.75pt;rotation:315;z-index:-25165820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D7E2FD0">
        <v:shape id="_x0000_s1032" type="#_x0000_t136" alt="" style="position:absolute;left:0;text-align:left;margin-left:0;margin-top:0;width:474.6pt;height:284.75pt;rotation:315;z-index:-25165822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2D3A2B3">
        <v:shape id="_x0000_s1031" type="#_x0000_t136" alt="" style="position:absolute;left:0;text-align:left;margin-left:0;margin-top:0;width:474.6pt;height:284.75pt;rotation:315;z-index:-25165822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26AFC365">
        <v:shape id="_x0000_s1030" type="#_x0000_t136" alt="" style="position:absolute;left:0;text-align:left;margin-left:0;margin-top:0;width:474.6pt;height:284.75pt;rotation:315;z-index:-25165822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82F6AB1">
        <v:shape id="_x0000_s1029" type="#_x0000_t136" alt="" style="position:absolute;left:0;text-align:left;margin-left:0;margin-top:0;width:474.6pt;height:284.75pt;rotation:315;z-index:-25165822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3DD05FCE">
        <v:shape id="_x0000_s1028" type="#_x0000_t136" alt="" style="position:absolute;left:0;text-align:left;margin-left:0;margin-top:0;width:474.6pt;height:284.75pt;rotation:315;z-index:-251658231;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173F9420">
        <v:shape id="_x0000_s1027" type="#_x0000_t136" alt="" style="position:absolute;left:0;text-align:left;margin-left:0;margin-top:0;width:474.6pt;height:284.75pt;rotation:315;z-index:-2516582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743D8F9F">
        <v:shape id="_x0000_s1026" type="#_x0000_t136" alt="" style="position:absolute;left:0;text-align:left;margin-left:0;margin-top:0;width:474.6pt;height:284.75pt;rotation:315;z-index:-251658235;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r w:rsidR="00990680">
      <w:rPr>
        <w:noProof/>
      </w:rPr>
      <w:pict w14:anchorId="5EA2EEA2">
        <v:shape id="_x0000_s1025" type="#_x0000_t136" alt="" style="position:absolute;left:0;text-align:left;margin-left:0;margin-top:0;width:474.6pt;height:284.75pt;rotation:315;z-index:-251658237;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era Pro&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950FB" w14:textId="2E3F2E45" w:rsidR="003F7B89" w:rsidRDefault="00AE7A90">
    <w:pPr>
      <w:pStyle w:val="Header"/>
    </w:pPr>
    <w:r>
      <w:rPr>
        <w:noProof/>
      </w:rPr>
      <mc:AlternateContent>
        <mc:Choice Requires="wps">
          <w:drawing>
            <wp:anchor distT="0" distB="0" distL="0" distR="0" simplePos="0" relativeHeight="251659786" behindDoc="0" locked="0" layoutInCell="1" allowOverlap="1" wp14:anchorId="48DEE3C2" wp14:editId="5BDDEDF0">
              <wp:simplePos x="635" y="635"/>
              <wp:positionH relativeFrom="page">
                <wp:align>center</wp:align>
              </wp:positionH>
              <wp:positionV relativeFrom="page">
                <wp:align>top</wp:align>
              </wp:positionV>
              <wp:extent cx="2214245" cy="368300"/>
              <wp:effectExtent l="0" t="0" r="14605" b="12700"/>
              <wp:wrapNone/>
              <wp:docPr id="1980791656" name="Text Box 11"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0D9FD59E" w14:textId="47D2D49B"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DEE3C2" id="_x0000_t202" coordsize="21600,21600" o:spt="202" path="m,l,21600r21600,l21600,xe">
              <v:stroke joinstyle="miter"/>
              <v:path gradientshapeok="t" o:connecttype="rect"/>
            </v:shapetype>
            <v:shape id="Text Box 11" o:spid="_x0000_s1037" type="#_x0000_t202" alt="[IN-CONFIDENCE - RELEASE EXTERNAL]" style="position:absolute;left:0;text-align:left;margin-left:0;margin-top:0;width:174.35pt;height:29pt;z-index:25165978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" filled="f" stroked="f">
              <v:textbox style="mso-fit-shape-to-text:t" inset="0,15pt,0,0">
                <w:txbxContent>
                  <w:p w14:paraId="0D9FD59E" w14:textId="47D2D49B"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C6DBB" w14:textId="5DB28A58" w:rsidR="003F7B89" w:rsidRDefault="003F7B8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089E" w14:textId="5ABFDB42" w:rsidR="001C7CCA" w:rsidRPr="00774754" w:rsidRDefault="001C7CC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4651B" w14:textId="10089659" w:rsidR="00266907" w:rsidRPr="00774754" w:rsidRDefault="00AE7A90">
    <w:pPr>
      <w:pStyle w:val="Header"/>
    </w:pPr>
    <w:r>
      <w:rPr>
        <w:noProof/>
      </w:rPr>
      <mc:AlternateContent>
        <mc:Choice Requires="wps">
          <w:drawing>
            <wp:anchor distT="0" distB="0" distL="0" distR="0" simplePos="0" relativeHeight="251659789" behindDoc="0" locked="0" layoutInCell="1" allowOverlap="1" wp14:anchorId="347C92E6" wp14:editId="5E37F0A5">
              <wp:simplePos x="635" y="635"/>
              <wp:positionH relativeFrom="page">
                <wp:align>center</wp:align>
              </wp:positionH>
              <wp:positionV relativeFrom="page">
                <wp:align>top</wp:align>
              </wp:positionV>
              <wp:extent cx="2214245" cy="368300"/>
              <wp:effectExtent l="0" t="0" r="14605" b="12700"/>
              <wp:wrapNone/>
              <wp:docPr id="153107541" name="Text Box 14"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3270F8A7" w14:textId="32FFFA4E"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7C92E6" id="_x0000_t202" coordsize="21600,21600" o:spt="202" path="m,l,21600r21600,l21600,xe">
              <v:stroke joinstyle="miter"/>
              <v:path gradientshapeok="t" o:connecttype="rect"/>
            </v:shapetype>
            <v:shape id="Text Box 14" o:spid="_x0000_s1039" type="#_x0000_t202" alt="[IN-CONFIDENCE - RELEASE EXTERNAL]" style="position:absolute;left:0;text-align:left;margin-left:0;margin-top:0;width:174.35pt;height:29pt;z-index:2516597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" filled="f" stroked="f">
              <v:textbox style="mso-fit-shape-to-text:t" inset="0,15pt,0,0">
                <w:txbxContent>
                  <w:p w14:paraId="3270F8A7" w14:textId="32FFFA4E"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39387" w14:textId="5B50A600" w:rsidR="00266907" w:rsidRPr="00774754" w:rsidRDefault="0026690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83DDB" w14:textId="31630C71" w:rsidR="00266907" w:rsidRPr="00774754" w:rsidRDefault="00AE7A90">
    <w:pPr>
      <w:pStyle w:val="Header"/>
    </w:pPr>
    <w:r>
      <w:rPr>
        <w:noProof/>
      </w:rPr>
      <mc:AlternateContent>
        <mc:Choice Requires="wps">
          <w:drawing>
            <wp:anchor distT="0" distB="0" distL="0" distR="0" simplePos="0" relativeHeight="251659788" behindDoc="0" locked="0" layoutInCell="1" allowOverlap="1" wp14:anchorId="3FE1221E" wp14:editId="7EF3FB32">
              <wp:simplePos x="635" y="635"/>
              <wp:positionH relativeFrom="page">
                <wp:align>center</wp:align>
              </wp:positionH>
              <wp:positionV relativeFrom="page">
                <wp:align>top</wp:align>
              </wp:positionV>
              <wp:extent cx="2214245" cy="368300"/>
              <wp:effectExtent l="0" t="0" r="14605" b="12700"/>
              <wp:wrapNone/>
              <wp:docPr id="110719948" name="Text Box 13"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18497C8E" w14:textId="563C082F"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E1221E" id="_x0000_t202" coordsize="21600,21600" o:spt="202" path="m,l,21600r21600,l21600,xe">
              <v:stroke joinstyle="miter"/>
              <v:path gradientshapeok="t" o:connecttype="rect"/>
            </v:shapetype>
            <v:shape id="Text Box 13" o:spid="_x0000_s1041" type="#_x0000_t202" alt="[IN-CONFIDENCE - RELEASE EXTERNAL]" style="position:absolute;left:0;text-align:left;margin-left:0;margin-top:0;width:174.35pt;height:29pt;z-index:2516597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" filled="f" stroked="f">
              <v:textbox style="mso-fit-shape-to-text:t" inset="0,15pt,0,0">
                <w:txbxContent>
                  <w:p w14:paraId="18497C8E" w14:textId="563C082F"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2A26B" w14:textId="52DFE003" w:rsidR="00095FE4" w:rsidRDefault="00AE7A90">
    <w:pPr>
      <w:pStyle w:val="Header"/>
    </w:pPr>
    <w:r>
      <w:rPr>
        <w:noProof/>
      </w:rPr>
      <mc:AlternateContent>
        <mc:Choice Requires="wps">
          <w:drawing>
            <wp:anchor distT="0" distB="0" distL="0" distR="0" simplePos="0" relativeHeight="251659792" behindDoc="0" locked="0" layoutInCell="1" allowOverlap="1" wp14:anchorId="71A1AC07" wp14:editId="18BAC1FA">
              <wp:simplePos x="635" y="635"/>
              <wp:positionH relativeFrom="page">
                <wp:align>center</wp:align>
              </wp:positionH>
              <wp:positionV relativeFrom="page">
                <wp:align>top</wp:align>
              </wp:positionV>
              <wp:extent cx="2214245" cy="368300"/>
              <wp:effectExtent l="0" t="0" r="14605" b="12700"/>
              <wp:wrapNone/>
              <wp:docPr id="1197534798" name="Text Box 17"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660B898E" w14:textId="63A8FA5B"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A1AC07" id="_x0000_t202" coordsize="21600,21600" o:spt="202" path="m,l,21600r21600,l21600,xe">
              <v:stroke joinstyle="miter"/>
              <v:path gradientshapeok="t" o:connecttype="rect"/>
            </v:shapetype>
            <v:shape id="_x0000_s1043" type="#_x0000_t202" alt="[IN-CONFIDENCE - RELEASE EXTERNAL]" style="position:absolute;left:0;text-align:left;margin-left:0;margin-top:0;width:174.35pt;height:29pt;z-index:2516597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" filled="f" stroked="f">
              <v:textbox style="mso-fit-shape-to-text:t" inset="0,15pt,0,0">
                <w:txbxContent>
                  <w:p w14:paraId="660B898E" w14:textId="63A8FA5B"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A64B7" w14:textId="4C74CCD5" w:rsidR="00095FE4" w:rsidRDefault="00095FE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56FE" w14:textId="14531497" w:rsidR="00095FE4" w:rsidRDefault="00AE7A90">
    <w:pPr>
      <w:pStyle w:val="Header"/>
    </w:pPr>
    <w:r>
      <w:rPr>
        <w:noProof/>
      </w:rPr>
      <mc:AlternateContent>
        <mc:Choice Requires="wps">
          <w:drawing>
            <wp:anchor distT="0" distB="0" distL="0" distR="0" simplePos="0" relativeHeight="251659791" behindDoc="0" locked="0" layoutInCell="1" allowOverlap="1" wp14:anchorId="52499063" wp14:editId="38C50721">
              <wp:simplePos x="635" y="635"/>
              <wp:positionH relativeFrom="page">
                <wp:align>center</wp:align>
              </wp:positionH>
              <wp:positionV relativeFrom="page">
                <wp:align>top</wp:align>
              </wp:positionV>
              <wp:extent cx="2214245" cy="368300"/>
              <wp:effectExtent l="0" t="0" r="14605" b="12700"/>
              <wp:wrapNone/>
              <wp:docPr id="1384946204" name="Text Box 16"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1D1567D8" w14:textId="593D91EC"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499063" id="_x0000_t202" coordsize="21600,21600" o:spt="202" path="m,l,21600r21600,l21600,xe">
              <v:stroke joinstyle="miter"/>
              <v:path gradientshapeok="t" o:connecttype="rect"/>
            </v:shapetype>
            <v:shape id="Text Box 16" o:spid="_x0000_s1045" type="#_x0000_t202" alt="[IN-CONFIDENCE - RELEASE EXTERNAL]" style="position:absolute;left:0;text-align:left;margin-left:0;margin-top:0;width:174.35pt;height:29pt;z-index:25165979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" filled="f" stroked="f">
              <v:textbox style="mso-fit-shape-to-text:t" inset="0,15pt,0,0">
                <w:txbxContent>
                  <w:p w14:paraId="1D1567D8" w14:textId="593D91EC"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1FA98" w14:textId="21F644DE" w:rsidR="00095FE4" w:rsidRDefault="00AE7A90">
    <w:pPr>
      <w:pStyle w:val="Header"/>
    </w:pPr>
    <w:r>
      <w:rPr>
        <w:noProof/>
      </w:rPr>
      <mc:AlternateContent>
        <mc:Choice Requires="wps">
          <w:drawing>
            <wp:anchor distT="0" distB="0" distL="0" distR="0" simplePos="0" relativeHeight="251659795" behindDoc="0" locked="0" layoutInCell="1" allowOverlap="1" wp14:anchorId="7FBCCFB6" wp14:editId="400B4FAD">
              <wp:simplePos x="635" y="635"/>
              <wp:positionH relativeFrom="page">
                <wp:align>center</wp:align>
              </wp:positionH>
              <wp:positionV relativeFrom="page">
                <wp:align>top</wp:align>
              </wp:positionV>
              <wp:extent cx="2214245" cy="368300"/>
              <wp:effectExtent l="0" t="0" r="14605" b="12700"/>
              <wp:wrapNone/>
              <wp:docPr id="2144153761" name="Text Box 20"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38514869" w14:textId="2153BAFD"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BCCFB6" id="_x0000_t202" coordsize="21600,21600" o:spt="202" path="m,l,21600r21600,l21600,xe">
              <v:stroke joinstyle="miter"/>
              <v:path gradientshapeok="t" o:connecttype="rect"/>
            </v:shapetype>
            <v:shape id="Text Box 20" o:spid="_x0000_s1047" type="#_x0000_t202" alt="[IN-CONFIDENCE - RELEASE EXTERNAL]" style="position:absolute;left:0;text-align:left;margin-left:0;margin-top:0;width:174.35pt;height:29pt;z-index:25165979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" filled="f" stroked="f">
              <v:textbox style="mso-fit-shape-to-text:t" inset="0,15pt,0,0">
                <w:txbxContent>
                  <w:p w14:paraId="38514869" w14:textId="2153BAFD"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F9199" w14:textId="4E19F7FF" w:rsidR="00095FE4" w:rsidRDefault="00AE7A90">
    <w:pPr>
      <w:pStyle w:val="Header"/>
    </w:pPr>
    <w:r>
      <w:rPr>
        <w:noProof/>
      </w:rPr>
      <mc:AlternateContent>
        <mc:Choice Requires="wps">
          <w:drawing>
            <wp:anchor distT="0" distB="0" distL="0" distR="0" simplePos="0" relativeHeight="251659796" behindDoc="0" locked="0" layoutInCell="1" allowOverlap="1" wp14:anchorId="554BC5B5" wp14:editId="75261229">
              <wp:simplePos x="635" y="635"/>
              <wp:positionH relativeFrom="page">
                <wp:align>center</wp:align>
              </wp:positionH>
              <wp:positionV relativeFrom="page">
                <wp:align>top</wp:align>
              </wp:positionV>
              <wp:extent cx="2214245" cy="368300"/>
              <wp:effectExtent l="0" t="0" r="14605" b="12700"/>
              <wp:wrapNone/>
              <wp:docPr id="575149432" name="Text Box 21"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2739655F" w14:textId="5FF2BBE3"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4BC5B5" id="_x0000_t202" coordsize="21600,21600" o:spt="202" path="m,l,21600r21600,l21600,xe">
              <v:stroke joinstyle="miter"/>
              <v:path gradientshapeok="t" o:connecttype="rect"/>
            </v:shapetype>
            <v:shape id="Text Box 21" o:spid="_x0000_s1048" type="#_x0000_t202" alt="[IN-CONFIDENCE - RELEASE EXTERNAL]" style="position:absolute;left:0;text-align:left;margin-left:0;margin-top:0;width:174.35pt;height:29pt;z-index:2516597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" filled="f" stroked="f">
              <v:textbox style="mso-fit-shape-to-text:t" inset="0,15pt,0,0">
                <w:txbxContent>
                  <w:p w14:paraId="2739655F" w14:textId="5FF2BBE3"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E2CC8" w14:textId="2742F483" w:rsidR="00095FE4" w:rsidRDefault="00AE7A90">
    <w:pPr>
      <w:pStyle w:val="Header"/>
    </w:pPr>
    <w:r>
      <w:rPr>
        <w:noProof/>
      </w:rPr>
      <mc:AlternateContent>
        <mc:Choice Requires="wps">
          <w:drawing>
            <wp:anchor distT="0" distB="0" distL="0" distR="0" simplePos="0" relativeHeight="251659794" behindDoc="0" locked="0" layoutInCell="1" allowOverlap="1" wp14:anchorId="4EAB0E58" wp14:editId="713D538D">
              <wp:simplePos x="635" y="635"/>
              <wp:positionH relativeFrom="page">
                <wp:align>center</wp:align>
              </wp:positionH>
              <wp:positionV relativeFrom="page">
                <wp:align>top</wp:align>
              </wp:positionV>
              <wp:extent cx="2214245" cy="368300"/>
              <wp:effectExtent l="0" t="0" r="14605" b="12700"/>
              <wp:wrapNone/>
              <wp:docPr id="370334945" name="Text Box 19"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2FC55A85" w14:textId="412E695F"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AB0E58" id="_x0000_t202" coordsize="21600,21600" o:spt="202" path="m,l,21600r21600,l21600,xe">
              <v:stroke joinstyle="miter"/>
              <v:path gradientshapeok="t" o:connecttype="rect"/>
            </v:shapetype>
            <v:shape id="Text Box 19" o:spid="_x0000_s1051" type="#_x0000_t202" alt="[IN-CONFIDENCE - RELEASE EXTERNAL]" style="position:absolute;left:0;text-align:left;margin-left:0;margin-top:0;width:174.35pt;height:29pt;z-index:25165979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" filled="f" stroked="f">
              <v:textbox style="mso-fit-shape-to-text:t" inset="0,15pt,0,0">
                <w:txbxContent>
                  <w:p w14:paraId="2FC55A85" w14:textId="412E695F" w:rsidR="00AE7A90" w:rsidRPr="00AE7A90" w:rsidRDefault="00AE7A90" w:rsidP="00AE7A90">
                    <w:pPr>
                      <w:spacing w:after="0"/>
                      <w:rPr>
                        <w:rFonts w:ascii="Aptos" w:eastAsia="Aptos" w:hAnsi="Aptos" w:cs="Aptos"/>
                        <w:noProof/>
                        <w:color w:val="000000"/>
                        <w:sz w:val="20"/>
                        <w:szCs w:val="20"/>
                      </w:rPr>
                    </w:pPr>
                    <w:r w:rsidRPr="00AE7A90">
                      <w:rPr>
                        <w:rFonts w:ascii="Aptos" w:eastAsia="Aptos" w:hAnsi="Aptos" w:cs="Aptos"/>
                        <w:noProof/>
                        <w:color w:val="000000"/>
                        <w:sz w:val="20"/>
                        <w:szCs w:val="20"/>
                      </w:rPr>
                      <w:t>[IN-CONFIDENCE - RELEASE EXTERNAL]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xtybyfd7SGoTs/" int2:id="XQCs00VB">
      <int2:state int2:value="Rejected" int2:type="spell"/>
    </int2:textHash>
    <int2:textHash int2:hashCode="XgW9KBy+s8nLpv" int2:id="b9kqc72d">
      <int2:state int2:value="Rejected" int2:type="spell"/>
    </int2:textHash>
    <int2:textHash int2:hashCode="inuL9oYH7kEjVG" int2:id="nT0mEeLC">
      <int2:state int2:value="Rejected" int2:type="spell"/>
    </int2:textHash>
    <int2:bookmark int2:bookmarkName="_Int_ZdZ1KtUi" int2:invalidationBookmarkName="" int2:hashCode="jlmqni7ckLWjLr" int2:id="OcpqQ1Z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41E40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56AC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54B9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705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60AA9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10F2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E6CE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F627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08C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E0E0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005DB"/>
    <w:multiLevelType w:val="multilevel"/>
    <w:tmpl w:val="2A5C92AE"/>
    <w:lvl w:ilvl="0">
      <w:start w:val="1"/>
      <w:numFmt w:val="decimal"/>
      <w:pStyle w:val="TSNumber1"/>
      <w:lvlText w:val="%1"/>
      <w:lvlJc w:val="left"/>
      <w:pPr>
        <w:tabs>
          <w:tab w:val="num" w:pos="215"/>
        </w:tabs>
        <w:ind w:left="215" w:hanging="215"/>
      </w:pPr>
      <w:rPr>
        <w:rFonts w:hint="default"/>
      </w:rPr>
    </w:lvl>
    <w:lvl w:ilvl="1">
      <w:start w:val="1"/>
      <w:numFmt w:val="lowerLetter"/>
      <w:pStyle w:val="TSNumbera"/>
      <w:lvlText w:val="%2"/>
      <w:lvlJc w:val="left"/>
      <w:pPr>
        <w:tabs>
          <w:tab w:val="num" w:pos="425"/>
        </w:tabs>
        <w:ind w:left="425" w:hanging="210"/>
      </w:pPr>
      <w:rPr>
        <w:rFonts w:hint="default"/>
      </w:rPr>
    </w:lvl>
    <w:lvl w:ilvl="2">
      <w:start w:val="1"/>
      <w:numFmt w:val="lowerRoman"/>
      <w:pStyle w:val="TSNumberi"/>
      <w:lvlText w:val="%3"/>
      <w:lvlJc w:val="left"/>
      <w:pPr>
        <w:tabs>
          <w:tab w:val="num" w:pos="641"/>
        </w:tabs>
        <w:ind w:left="641" w:hanging="216"/>
      </w:pPr>
      <w:rPr>
        <w:rFonts w:hint="default"/>
      </w:rPr>
    </w:lvl>
    <w:lvl w:ilvl="3">
      <w:start w:val="1"/>
      <w:numFmt w:val="none"/>
      <w:suff w:val="nothing"/>
      <w:lvlText w:val=""/>
      <w:lvlJc w:val="left"/>
      <w:pPr>
        <w:ind w:left="641" w:firstLine="0"/>
      </w:pPr>
      <w:rPr>
        <w:rFonts w:hint="default"/>
      </w:rPr>
    </w:lvl>
    <w:lvl w:ilvl="4">
      <w:start w:val="1"/>
      <w:numFmt w:val="none"/>
      <w:suff w:val="nothing"/>
      <w:lvlText w:val=""/>
      <w:lvlJc w:val="left"/>
      <w:pPr>
        <w:ind w:left="641" w:firstLine="0"/>
      </w:pPr>
      <w:rPr>
        <w:rFonts w:hint="default"/>
      </w:rPr>
    </w:lvl>
    <w:lvl w:ilvl="5">
      <w:start w:val="1"/>
      <w:numFmt w:val="none"/>
      <w:suff w:val="nothing"/>
      <w:lvlText w:val=""/>
      <w:lvlJc w:val="left"/>
      <w:pPr>
        <w:ind w:left="641" w:firstLine="0"/>
      </w:pPr>
      <w:rPr>
        <w:rFonts w:hint="default"/>
      </w:rPr>
    </w:lvl>
    <w:lvl w:ilvl="6">
      <w:start w:val="1"/>
      <w:numFmt w:val="none"/>
      <w:suff w:val="nothing"/>
      <w:lvlText w:val=""/>
      <w:lvlJc w:val="left"/>
      <w:pPr>
        <w:ind w:left="641" w:firstLine="0"/>
      </w:pPr>
      <w:rPr>
        <w:rFonts w:hint="default"/>
      </w:rPr>
    </w:lvl>
    <w:lvl w:ilvl="7">
      <w:start w:val="1"/>
      <w:numFmt w:val="none"/>
      <w:suff w:val="nothing"/>
      <w:lvlText w:val=""/>
      <w:lvlJc w:val="left"/>
      <w:pPr>
        <w:ind w:left="641" w:firstLine="0"/>
      </w:pPr>
      <w:rPr>
        <w:rFonts w:hint="default"/>
      </w:rPr>
    </w:lvl>
    <w:lvl w:ilvl="8">
      <w:start w:val="1"/>
      <w:numFmt w:val="none"/>
      <w:suff w:val="nothing"/>
      <w:lvlText w:val=""/>
      <w:lvlJc w:val="left"/>
      <w:pPr>
        <w:ind w:left="641" w:firstLine="0"/>
      </w:pPr>
      <w:rPr>
        <w:rFonts w:hint="default"/>
      </w:rPr>
    </w:lvl>
  </w:abstractNum>
  <w:abstractNum w:abstractNumId="11" w15:restartNumberingAfterBreak="0">
    <w:nsid w:val="02117313"/>
    <w:multiLevelType w:val="hybridMultilevel"/>
    <w:tmpl w:val="F2425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2662EE1"/>
    <w:multiLevelType w:val="multilevel"/>
    <w:tmpl w:val="964C8094"/>
    <w:lvl w:ilvl="0">
      <w:start w:val="1"/>
      <w:numFmt w:val="bullet"/>
      <w:pStyle w:val="TSBullet1"/>
      <w:lvlText w:val=""/>
      <w:lvlJc w:val="left"/>
      <w:pPr>
        <w:tabs>
          <w:tab w:val="num" w:pos="215"/>
        </w:tabs>
        <w:ind w:left="215" w:hanging="215"/>
      </w:pPr>
      <w:rPr>
        <w:rFonts w:ascii="Symbol" w:hAnsi="Symbol" w:hint="default"/>
      </w:rPr>
    </w:lvl>
    <w:lvl w:ilvl="1">
      <w:start w:val="1"/>
      <w:numFmt w:val="bullet"/>
      <w:pStyle w:val="TSBullet2"/>
      <w:lvlText w:val="–"/>
      <w:lvlJc w:val="left"/>
      <w:pPr>
        <w:tabs>
          <w:tab w:val="num" w:pos="425"/>
        </w:tabs>
        <w:ind w:left="425" w:hanging="210"/>
      </w:pPr>
      <w:rPr>
        <w:rFonts w:ascii="Cera Pro" w:hAnsi="Cera Pro" w:hint="default"/>
      </w:rPr>
    </w:lvl>
    <w:lvl w:ilvl="2">
      <w:start w:val="1"/>
      <w:numFmt w:val="bullet"/>
      <w:pStyle w:val="TSBullet3"/>
      <w:lvlText w:val=""/>
      <w:lvlJc w:val="left"/>
      <w:pPr>
        <w:tabs>
          <w:tab w:val="num" w:pos="641"/>
        </w:tabs>
        <w:ind w:left="641" w:hanging="216"/>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E8463A5"/>
    <w:multiLevelType w:val="multilevel"/>
    <w:tmpl w:val="07826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7F10F8"/>
    <w:multiLevelType w:val="multilevel"/>
    <w:tmpl w:val="BDF4AC7E"/>
    <w:lvl w:ilvl="0">
      <w:start w:val="1"/>
      <w:numFmt w:val="decimal"/>
      <w:pStyle w:val="USNotes"/>
      <w:lvlText w:val="%1"/>
      <w:lvlJc w:val="left"/>
      <w:pPr>
        <w:tabs>
          <w:tab w:val="num" w:pos="215"/>
        </w:tabs>
        <w:ind w:left="215" w:hanging="215"/>
      </w:pPr>
      <w:rPr>
        <w:rFonts w:hint="default"/>
      </w:rPr>
    </w:lvl>
    <w:lvl w:ilvl="1">
      <w:start w:val="1"/>
      <w:numFmt w:val="none"/>
      <w:suff w:val="nothing"/>
      <w:lvlText w:val=""/>
      <w:lvlJc w:val="left"/>
      <w:pPr>
        <w:ind w:left="215"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0534ADA"/>
    <w:multiLevelType w:val="hybridMultilevel"/>
    <w:tmpl w:val="6536299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23A2248B"/>
    <w:multiLevelType w:val="multilevel"/>
    <w:tmpl w:val="F9DE42FE"/>
    <w:lvl w:ilvl="0">
      <w:start w:val="1"/>
      <w:numFmt w:val="bullet"/>
      <w:pStyle w:val="USBullet1"/>
      <w:lvlText w:val=""/>
      <w:lvlJc w:val="left"/>
      <w:pPr>
        <w:tabs>
          <w:tab w:val="num" w:pos="425"/>
        </w:tabs>
        <w:ind w:left="425" w:hanging="425"/>
      </w:pPr>
      <w:rPr>
        <w:rFonts w:ascii="Symbol" w:hAnsi="Symbol" w:hint="default"/>
      </w:rPr>
    </w:lvl>
    <w:lvl w:ilvl="1">
      <w:start w:val="1"/>
      <w:numFmt w:val="bullet"/>
      <w:pStyle w:val="USBullet2"/>
      <w:lvlText w:val="­"/>
      <w:lvlJc w:val="left"/>
      <w:pPr>
        <w:tabs>
          <w:tab w:val="num" w:pos="851"/>
        </w:tabs>
        <w:ind w:left="851" w:hanging="426"/>
      </w:pPr>
      <w:rPr>
        <w:rFonts w:ascii="Courier New" w:hAnsi="Courier New" w:hint="default"/>
      </w:rPr>
    </w:lvl>
    <w:lvl w:ilvl="2">
      <w:start w:val="1"/>
      <w:numFmt w:val="bullet"/>
      <w:pStyle w:val="USBullet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93D4ADC"/>
    <w:multiLevelType w:val="hybridMultilevel"/>
    <w:tmpl w:val="3F9CA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C13FFD"/>
    <w:multiLevelType w:val="hybridMultilevel"/>
    <w:tmpl w:val="77B2647E"/>
    <w:lvl w:ilvl="0" w:tplc="27A08312">
      <w:start w:val="1"/>
      <w:numFmt w:val="decimal"/>
      <w:pStyle w:val="USNumber1"/>
      <w:lvlText w:val="%1."/>
      <w:lvlJc w:val="left"/>
      <w:pPr>
        <w:tabs>
          <w:tab w:val="num" w:pos="-295"/>
        </w:tabs>
        <w:ind w:left="425" w:hanging="425"/>
      </w:pPr>
      <w:rPr>
        <w:b w:val="0"/>
        <w:bCs w:val="0"/>
      </w:rPr>
    </w:lvl>
    <w:lvl w:ilvl="1" w:tplc="697E735A">
      <w:start w:val="1"/>
      <w:numFmt w:val="lowerLetter"/>
      <w:pStyle w:val="USNumbera"/>
      <w:lvlText w:val="%2."/>
      <w:lvlJc w:val="left"/>
      <w:pPr>
        <w:tabs>
          <w:tab w:val="num" w:pos="131"/>
        </w:tabs>
        <w:ind w:left="851" w:hanging="426"/>
      </w:pPr>
    </w:lvl>
    <w:lvl w:ilvl="2" w:tplc="AB40303E">
      <w:start w:val="1"/>
      <w:numFmt w:val="lowerRoman"/>
      <w:pStyle w:val="USNumberi"/>
      <w:lvlText w:val="%3."/>
      <w:lvlJc w:val="left"/>
      <w:pPr>
        <w:tabs>
          <w:tab w:val="num" w:pos="556"/>
        </w:tabs>
        <w:ind w:left="1276" w:hanging="425"/>
      </w:pPr>
    </w:lvl>
    <w:lvl w:ilvl="3" w:tplc="3674678C">
      <w:start w:val="1"/>
      <w:numFmt w:val="decimal"/>
      <w:lvlText w:val="%4."/>
      <w:lvlJc w:val="left"/>
      <w:pPr>
        <w:ind w:left="2880" w:hanging="360"/>
      </w:pPr>
    </w:lvl>
    <w:lvl w:ilvl="4" w:tplc="D052571E">
      <w:start w:val="1"/>
      <w:numFmt w:val="lowerLetter"/>
      <w:lvlText w:val="%5."/>
      <w:lvlJc w:val="left"/>
      <w:pPr>
        <w:ind w:left="3600" w:hanging="360"/>
      </w:pPr>
    </w:lvl>
    <w:lvl w:ilvl="5" w:tplc="B1082B70">
      <w:start w:val="1"/>
      <w:numFmt w:val="lowerRoman"/>
      <w:lvlText w:val="%6."/>
      <w:lvlJc w:val="right"/>
      <w:pPr>
        <w:ind w:left="4320" w:hanging="180"/>
      </w:pPr>
    </w:lvl>
    <w:lvl w:ilvl="6" w:tplc="D61EF258">
      <w:start w:val="1"/>
      <w:numFmt w:val="decimal"/>
      <w:lvlText w:val="%7."/>
      <w:lvlJc w:val="left"/>
      <w:pPr>
        <w:ind w:left="5040" w:hanging="360"/>
      </w:pPr>
    </w:lvl>
    <w:lvl w:ilvl="7" w:tplc="D23E3AB8">
      <w:start w:val="1"/>
      <w:numFmt w:val="lowerLetter"/>
      <w:lvlText w:val="%8."/>
      <w:lvlJc w:val="left"/>
      <w:pPr>
        <w:ind w:left="5760" w:hanging="360"/>
      </w:pPr>
    </w:lvl>
    <w:lvl w:ilvl="8" w:tplc="05B8C5A8">
      <w:start w:val="1"/>
      <w:numFmt w:val="lowerRoman"/>
      <w:lvlText w:val="%9."/>
      <w:lvlJc w:val="right"/>
      <w:pPr>
        <w:ind w:left="6480" w:hanging="180"/>
      </w:pPr>
    </w:lvl>
  </w:abstractNum>
  <w:abstractNum w:abstractNumId="19" w15:restartNumberingAfterBreak="0">
    <w:nsid w:val="38833290"/>
    <w:multiLevelType w:val="multilevel"/>
    <w:tmpl w:val="66E61964"/>
    <w:lvl w:ilvl="0">
      <w:start w:val="1"/>
      <w:numFmt w:val="decimal"/>
      <w:pStyle w:val="NHHeading1"/>
      <w:lvlText w:val="%1"/>
      <w:lvlJc w:val="left"/>
      <w:pPr>
        <w:tabs>
          <w:tab w:val="num" w:pos="851"/>
        </w:tabs>
        <w:ind w:left="851" w:hanging="851"/>
      </w:pPr>
      <w:rPr>
        <w:rFonts w:hint="default"/>
      </w:rPr>
    </w:lvl>
    <w:lvl w:ilvl="1">
      <w:start w:val="1"/>
      <w:numFmt w:val="decimal"/>
      <w:pStyle w:val="NHHeading2"/>
      <w:lvlText w:val="%1.%2"/>
      <w:lvlJc w:val="left"/>
      <w:pPr>
        <w:tabs>
          <w:tab w:val="num" w:pos="851"/>
        </w:tabs>
        <w:ind w:left="851" w:hanging="851"/>
      </w:pPr>
      <w:rPr>
        <w:rFonts w:hint="default"/>
      </w:rPr>
    </w:lvl>
    <w:lvl w:ilvl="2">
      <w:start w:val="1"/>
      <w:numFmt w:val="decimal"/>
      <w:pStyle w:val="NHHeading3"/>
      <w:lvlText w:val="%1.%2.%3"/>
      <w:lvlJc w:val="left"/>
      <w:pPr>
        <w:tabs>
          <w:tab w:val="num" w:pos="851"/>
        </w:tabs>
        <w:ind w:left="851" w:hanging="851"/>
      </w:pPr>
      <w:rPr>
        <w:rFonts w:hint="default"/>
      </w:rPr>
    </w:lvl>
    <w:lvl w:ilvl="3">
      <w:start w:val="1"/>
      <w:numFmt w:val="none"/>
      <w:pStyle w:val="NHHeading4"/>
      <w:suff w:val="nothing"/>
      <w:lvlText w:val=""/>
      <w:lvlJc w:val="left"/>
      <w:pPr>
        <w:ind w:left="0" w:firstLine="0"/>
      </w:pPr>
      <w:rPr>
        <w:rFonts w:hint="default"/>
      </w:rPr>
    </w:lvl>
    <w:lvl w:ilvl="4">
      <w:start w:val="1"/>
      <w:numFmt w:val="none"/>
      <w:pStyle w:val="NHHeading5"/>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3CCC2705"/>
    <w:multiLevelType w:val="multilevel"/>
    <w:tmpl w:val="01848BE2"/>
    <w:lvl w:ilvl="0">
      <w:start w:val="1"/>
      <w:numFmt w:val="decimal"/>
      <w:pStyle w:val="ApxHeading1"/>
      <w:suff w:val="nothing"/>
      <w:lvlText w:val="Appendix %1"/>
      <w:lvlJc w:val="left"/>
      <w:pPr>
        <w:ind w:left="0" w:firstLine="0"/>
      </w:pPr>
      <w:rPr>
        <w:rFonts w:hint="default"/>
      </w:rPr>
    </w:lvl>
    <w:lvl w:ilvl="1">
      <w:start w:val="1"/>
      <w:numFmt w:val="none"/>
      <w:suff w:val="nothing"/>
      <w:lvlText w:val=""/>
      <w:lvlJc w:val="left"/>
      <w:pPr>
        <w:ind w:left="142" w:firstLine="0"/>
      </w:pPr>
      <w:rPr>
        <w:rFonts w:hint="default"/>
      </w:rPr>
    </w:lvl>
    <w:lvl w:ilvl="2">
      <w:start w:val="1"/>
      <w:numFmt w:val="none"/>
      <w:suff w:val="nothing"/>
      <w:lvlText w:val=""/>
      <w:lvlJc w:val="left"/>
      <w:pPr>
        <w:ind w:left="142" w:firstLine="0"/>
      </w:pPr>
      <w:rPr>
        <w:rFonts w:hint="default"/>
      </w:rPr>
    </w:lvl>
    <w:lvl w:ilvl="3">
      <w:start w:val="1"/>
      <w:numFmt w:val="none"/>
      <w:suff w:val="nothing"/>
      <w:lvlText w:val=""/>
      <w:lvlJc w:val="left"/>
      <w:pPr>
        <w:ind w:left="142" w:firstLine="0"/>
      </w:pPr>
      <w:rPr>
        <w:rFonts w:hint="default"/>
      </w:rPr>
    </w:lvl>
    <w:lvl w:ilvl="4">
      <w:start w:val="1"/>
      <w:numFmt w:val="none"/>
      <w:suff w:val="nothing"/>
      <w:lvlText w:val=""/>
      <w:lvlJc w:val="left"/>
      <w:pPr>
        <w:ind w:left="142" w:firstLine="0"/>
      </w:pPr>
      <w:rPr>
        <w:rFonts w:hint="default"/>
      </w:rPr>
    </w:lvl>
    <w:lvl w:ilvl="5">
      <w:start w:val="1"/>
      <w:numFmt w:val="none"/>
      <w:suff w:val="nothing"/>
      <w:lvlText w:val=""/>
      <w:lvlJc w:val="left"/>
      <w:pPr>
        <w:ind w:left="142" w:firstLine="0"/>
      </w:pPr>
      <w:rPr>
        <w:rFonts w:hint="default"/>
      </w:rPr>
    </w:lvl>
    <w:lvl w:ilvl="6">
      <w:start w:val="1"/>
      <w:numFmt w:val="none"/>
      <w:suff w:val="nothing"/>
      <w:lvlText w:val=""/>
      <w:lvlJc w:val="left"/>
      <w:pPr>
        <w:ind w:left="142" w:firstLine="0"/>
      </w:pPr>
      <w:rPr>
        <w:rFonts w:hint="default"/>
      </w:rPr>
    </w:lvl>
    <w:lvl w:ilvl="7">
      <w:start w:val="1"/>
      <w:numFmt w:val="none"/>
      <w:suff w:val="nothing"/>
      <w:lvlText w:val=""/>
      <w:lvlJc w:val="left"/>
      <w:pPr>
        <w:ind w:left="142" w:firstLine="0"/>
      </w:pPr>
      <w:rPr>
        <w:rFonts w:hint="default"/>
      </w:rPr>
    </w:lvl>
    <w:lvl w:ilvl="8">
      <w:start w:val="1"/>
      <w:numFmt w:val="none"/>
      <w:suff w:val="nothing"/>
      <w:lvlText w:val=""/>
      <w:lvlJc w:val="left"/>
      <w:pPr>
        <w:ind w:left="142" w:firstLine="0"/>
      </w:pPr>
      <w:rPr>
        <w:rFonts w:hint="default"/>
      </w:rPr>
    </w:lvl>
  </w:abstractNum>
  <w:abstractNum w:abstractNumId="21" w15:restartNumberingAfterBreak="0">
    <w:nsid w:val="3E5544BA"/>
    <w:multiLevelType w:val="hybridMultilevel"/>
    <w:tmpl w:val="FFFFFFFF"/>
    <w:lvl w:ilvl="0" w:tplc="43B2501C">
      <w:start w:val="1"/>
      <w:numFmt w:val="decimal"/>
      <w:lvlText w:val="%1."/>
      <w:lvlJc w:val="left"/>
      <w:pPr>
        <w:ind w:left="720" w:hanging="360"/>
      </w:pPr>
    </w:lvl>
    <w:lvl w:ilvl="1" w:tplc="D60AB94E">
      <w:start w:val="1"/>
      <w:numFmt w:val="lowerLetter"/>
      <w:lvlText w:val="%2."/>
      <w:lvlJc w:val="left"/>
      <w:pPr>
        <w:ind w:left="1440" w:hanging="360"/>
      </w:pPr>
    </w:lvl>
    <w:lvl w:ilvl="2" w:tplc="6A388434">
      <w:start w:val="1"/>
      <w:numFmt w:val="lowerRoman"/>
      <w:lvlText w:val="%3."/>
      <w:lvlJc w:val="right"/>
      <w:pPr>
        <w:ind w:left="2160" w:hanging="180"/>
      </w:pPr>
    </w:lvl>
    <w:lvl w:ilvl="3" w:tplc="5BF08754">
      <w:start w:val="1"/>
      <w:numFmt w:val="decimal"/>
      <w:lvlText w:val="%4."/>
      <w:lvlJc w:val="left"/>
      <w:pPr>
        <w:ind w:left="2880" w:hanging="360"/>
      </w:pPr>
    </w:lvl>
    <w:lvl w:ilvl="4" w:tplc="3652517A">
      <w:start w:val="1"/>
      <w:numFmt w:val="lowerLetter"/>
      <w:lvlText w:val="%5."/>
      <w:lvlJc w:val="left"/>
      <w:pPr>
        <w:ind w:left="3600" w:hanging="360"/>
      </w:pPr>
    </w:lvl>
    <w:lvl w:ilvl="5" w:tplc="0CF68198">
      <w:start w:val="1"/>
      <w:numFmt w:val="lowerRoman"/>
      <w:lvlText w:val="%6."/>
      <w:lvlJc w:val="right"/>
      <w:pPr>
        <w:ind w:left="4320" w:hanging="180"/>
      </w:pPr>
    </w:lvl>
    <w:lvl w:ilvl="6" w:tplc="146852C8">
      <w:start w:val="1"/>
      <w:numFmt w:val="decimal"/>
      <w:lvlText w:val="%7."/>
      <w:lvlJc w:val="left"/>
      <w:pPr>
        <w:ind w:left="5040" w:hanging="360"/>
      </w:pPr>
    </w:lvl>
    <w:lvl w:ilvl="7" w:tplc="1248D458">
      <w:start w:val="1"/>
      <w:numFmt w:val="lowerLetter"/>
      <w:lvlText w:val="%8."/>
      <w:lvlJc w:val="left"/>
      <w:pPr>
        <w:ind w:left="5760" w:hanging="360"/>
      </w:pPr>
    </w:lvl>
    <w:lvl w:ilvl="8" w:tplc="ACC6A10E">
      <w:start w:val="1"/>
      <w:numFmt w:val="lowerRoman"/>
      <w:lvlText w:val="%9."/>
      <w:lvlJc w:val="right"/>
      <w:pPr>
        <w:ind w:left="6480" w:hanging="180"/>
      </w:pPr>
    </w:lvl>
  </w:abstractNum>
  <w:abstractNum w:abstractNumId="22" w15:restartNumberingAfterBreak="0">
    <w:nsid w:val="41227B13"/>
    <w:multiLevelType w:val="multilevel"/>
    <w:tmpl w:val="6D106928"/>
    <w:lvl w:ilvl="0">
      <w:start w:val="1"/>
      <w:numFmt w:val="bullet"/>
      <w:pStyle w:val="TSMixedB2"/>
      <w:lvlText w:val=""/>
      <w:lvlJc w:val="left"/>
      <w:pPr>
        <w:tabs>
          <w:tab w:val="num" w:pos="425"/>
        </w:tabs>
        <w:ind w:left="425" w:hanging="210"/>
      </w:pPr>
      <w:rPr>
        <w:rFonts w:ascii="Symbol" w:hAnsi="Symbol" w:hint="default"/>
        <w:color w:val="auto"/>
        <w:sz w:val="16"/>
      </w:rPr>
    </w:lvl>
    <w:lvl w:ilvl="1">
      <w:start w:val="1"/>
      <w:numFmt w:val="bullet"/>
      <w:pStyle w:val="TSMixedB3"/>
      <w:lvlText w:val="-"/>
      <w:lvlJc w:val="left"/>
      <w:pPr>
        <w:tabs>
          <w:tab w:val="num" w:pos="641"/>
        </w:tabs>
        <w:ind w:left="641" w:hanging="216"/>
      </w:pPr>
      <w:rPr>
        <w:rFonts w:ascii="Courier New" w:hAnsi="Courier New" w:hint="default"/>
      </w:rPr>
    </w:lvl>
    <w:lvl w:ilvl="2">
      <w:start w:val="1"/>
      <w:numFmt w:val="none"/>
      <w:suff w:val="nothing"/>
      <w:lvlText w:val=""/>
      <w:lvlJc w:val="left"/>
      <w:pPr>
        <w:ind w:left="641" w:firstLine="0"/>
      </w:pPr>
      <w:rPr>
        <w:rFonts w:hint="default"/>
      </w:rPr>
    </w:lvl>
    <w:lvl w:ilvl="3">
      <w:start w:val="1"/>
      <w:numFmt w:val="none"/>
      <w:suff w:val="nothing"/>
      <w:lvlText w:val=""/>
      <w:lvlJc w:val="left"/>
      <w:pPr>
        <w:ind w:left="641" w:firstLine="0"/>
      </w:pPr>
      <w:rPr>
        <w:rFonts w:hint="default"/>
      </w:rPr>
    </w:lvl>
    <w:lvl w:ilvl="4">
      <w:start w:val="1"/>
      <w:numFmt w:val="none"/>
      <w:suff w:val="nothing"/>
      <w:lvlText w:val=""/>
      <w:lvlJc w:val="left"/>
      <w:pPr>
        <w:ind w:left="641" w:firstLine="0"/>
      </w:pPr>
      <w:rPr>
        <w:rFonts w:hint="default"/>
      </w:rPr>
    </w:lvl>
    <w:lvl w:ilvl="5">
      <w:start w:val="1"/>
      <w:numFmt w:val="none"/>
      <w:suff w:val="nothing"/>
      <w:lvlText w:val=""/>
      <w:lvlJc w:val="left"/>
      <w:pPr>
        <w:ind w:left="641" w:firstLine="0"/>
      </w:pPr>
      <w:rPr>
        <w:rFonts w:hint="default"/>
      </w:rPr>
    </w:lvl>
    <w:lvl w:ilvl="6">
      <w:start w:val="1"/>
      <w:numFmt w:val="none"/>
      <w:suff w:val="nothing"/>
      <w:lvlText w:val=""/>
      <w:lvlJc w:val="left"/>
      <w:pPr>
        <w:ind w:left="641" w:firstLine="0"/>
      </w:pPr>
      <w:rPr>
        <w:rFonts w:hint="default"/>
      </w:rPr>
    </w:lvl>
    <w:lvl w:ilvl="7">
      <w:start w:val="1"/>
      <w:numFmt w:val="none"/>
      <w:suff w:val="nothing"/>
      <w:lvlText w:val=""/>
      <w:lvlJc w:val="left"/>
      <w:pPr>
        <w:ind w:left="641" w:firstLine="0"/>
      </w:pPr>
      <w:rPr>
        <w:rFonts w:hint="default"/>
      </w:rPr>
    </w:lvl>
    <w:lvl w:ilvl="8">
      <w:start w:val="1"/>
      <w:numFmt w:val="none"/>
      <w:suff w:val="nothing"/>
      <w:lvlText w:val=""/>
      <w:lvlJc w:val="left"/>
      <w:pPr>
        <w:ind w:left="641" w:firstLine="0"/>
      </w:pPr>
      <w:rPr>
        <w:rFonts w:hint="default"/>
      </w:rPr>
    </w:lvl>
  </w:abstractNum>
  <w:abstractNum w:abstractNumId="23" w15:restartNumberingAfterBreak="0">
    <w:nsid w:val="49452C05"/>
    <w:multiLevelType w:val="multilevel"/>
    <w:tmpl w:val="6A9204BE"/>
    <w:lvl w:ilvl="0">
      <w:start w:val="1"/>
      <w:numFmt w:val="decimal"/>
      <w:pStyle w:val="LnHeading1"/>
      <w:lvlText w:val="%1"/>
      <w:lvlJc w:val="left"/>
      <w:pPr>
        <w:tabs>
          <w:tab w:val="num" w:pos="851"/>
        </w:tabs>
        <w:ind w:left="851" w:hanging="851"/>
      </w:pPr>
      <w:rPr>
        <w:rFonts w:hint="default"/>
      </w:rPr>
    </w:lvl>
    <w:lvl w:ilvl="1">
      <w:start w:val="1"/>
      <w:numFmt w:val="decimal"/>
      <w:pStyle w:val="LNPara2"/>
      <w:lvlText w:val="%1.%2"/>
      <w:lvlJc w:val="left"/>
      <w:pPr>
        <w:tabs>
          <w:tab w:val="num" w:pos="851"/>
        </w:tabs>
        <w:ind w:left="851" w:hanging="851"/>
      </w:pPr>
      <w:rPr>
        <w:rFonts w:hint="default"/>
      </w:rPr>
    </w:lvl>
    <w:lvl w:ilvl="2">
      <w:start w:val="1"/>
      <w:numFmt w:val="decimal"/>
      <w:pStyle w:val="LNPara3"/>
      <w:lvlText w:val="%1.%2.%3"/>
      <w:lvlJc w:val="left"/>
      <w:pPr>
        <w:tabs>
          <w:tab w:val="num" w:pos="851"/>
        </w:tabs>
        <w:ind w:left="851" w:hanging="851"/>
      </w:pPr>
      <w:rPr>
        <w:rFonts w:hint="default"/>
      </w:rPr>
    </w:lvl>
    <w:lvl w:ilvl="3">
      <w:start w:val="1"/>
      <w:numFmt w:val="lowerLetter"/>
      <w:pStyle w:val="LNParaa"/>
      <w:lvlText w:val="%4"/>
      <w:lvlJc w:val="left"/>
      <w:pPr>
        <w:tabs>
          <w:tab w:val="num" w:pos="1276"/>
        </w:tabs>
        <w:ind w:left="1276" w:hanging="425"/>
      </w:pPr>
      <w:rPr>
        <w:rFonts w:hint="default"/>
      </w:rPr>
    </w:lvl>
    <w:lvl w:ilvl="4">
      <w:start w:val="1"/>
      <w:numFmt w:val="lowerRoman"/>
      <w:pStyle w:val="LNParai"/>
      <w:lvlText w:val="%5"/>
      <w:lvlJc w:val="left"/>
      <w:pPr>
        <w:tabs>
          <w:tab w:val="num" w:pos="1701"/>
        </w:tabs>
        <w:ind w:left="1701" w:hanging="425"/>
      </w:pPr>
      <w:rPr>
        <w:rFonts w:hint="default"/>
      </w:rPr>
    </w:lvl>
    <w:lvl w:ilvl="5">
      <w:start w:val="1"/>
      <w:numFmt w:val="bullet"/>
      <w:pStyle w:val="LNParaB1"/>
      <w:lvlText w:val=""/>
      <w:lvlJc w:val="left"/>
      <w:pPr>
        <w:tabs>
          <w:tab w:val="num" w:pos="1276"/>
        </w:tabs>
        <w:ind w:left="1276" w:hanging="425"/>
      </w:pPr>
      <w:rPr>
        <w:rFonts w:ascii="Symbol" w:hAnsi="Symbol" w:hint="default"/>
        <w:color w:val="auto"/>
      </w:rPr>
    </w:lvl>
    <w:lvl w:ilvl="6">
      <w:start w:val="1"/>
      <w:numFmt w:val="bullet"/>
      <w:pStyle w:val="LNParaB2"/>
      <w:lvlText w:val="-"/>
      <w:lvlJc w:val="left"/>
      <w:pPr>
        <w:tabs>
          <w:tab w:val="num" w:pos="1701"/>
        </w:tabs>
        <w:ind w:left="1701" w:hanging="425"/>
      </w:pPr>
      <w:rPr>
        <w:rFonts w:ascii="Courier New" w:hAnsi="Courier New" w:hint="default"/>
      </w:rPr>
    </w:lvl>
    <w:lvl w:ilvl="7">
      <w:start w:val="1"/>
      <w:numFmt w:val="bullet"/>
      <w:pStyle w:val="LNParaB3"/>
      <w:lvlText w:val=""/>
      <w:lvlJc w:val="left"/>
      <w:pPr>
        <w:tabs>
          <w:tab w:val="num" w:pos="2126"/>
        </w:tabs>
        <w:ind w:left="2126" w:hanging="425"/>
      </w:pPr>
      <w:rPr>
        <w:rFonts w:ascii="Wingdings" w:hAnsi="Wingdings" w:hint="default"/>
      </w:rPr>
    </w:lvl>
    <w:lvl w:ilvl="8">
      <w:start w:val="1"/>
      <w:numFmt w:val="none"/>
      <w:suff w:val="nothing"/>
      <w:lvlText w:val=""/>
      <w:lvlJc w:val="left"/>
      <w:pPr>
        <w:ind w:left="2126" w:firstLine="0"/>
      </w:pPr>
      <w:rPr>
        <w:rFonts w:hint="default"/>
      </w:rPr>
    </w:lvl>
  </w:abstractNum>
  <w:abstractNum w:abstractNumId="24" w15:restartNumberingAfterBreak="0">
    <w:nsid w:val="4A5F6003"/>
    <w:multiLevelType w:val="hybridMultilevel"/>
    <w:tmpl w:val="D1B6D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203B34"/>
    <w:multiLevelType w:val="multilevel"/>
    <w:tmpl w:val="E6BC8096"/>
    <w:lvl w:ilvl="0">
      <w:start w:val="1"/>
      <w:numFmt w:val="decimal"/>
      <w:pStyle w:val="SNNumber1"/>
      <w:lvlText w:val="%1"/>
      <w:lvlJc w:val="left"/>
      <w:pPr>
        <w:tabs>
          <w:tab w:val="num" w:pos="851"/>
        </w:tabs>
        <w:ind w:left="851" w:hanging="851"/>
      </w:pPr>
      <w:rPr>
        <w:rFonts w:hint="default"/>
      </w:rPr>
    </w:lvl>
    <w:lvl w:ilvl="1">
      <w:start w:val="1"/>
      <w:numFmt w:val="lowerLetter"/>
      <w:pStyle w:val="SNParaa"/>
      <w:lvlText w:val="%2"/>
      <w:lvlJc w:val="left"/>
      <w:pPr>
        <w:tabs>
          <w:tab w:val="num" w:pos="1276"/>
        </w:tabs>
        <w:ind w:left="1276" w:hanging="425"/>
      </w:pPr>
      <w:rPr>
        <w:rFonts w:hint="default"/>
      </w:rPr>
    </w:lvl>
    <w:lvl w:ilvl="2">
      <w:start w:val="1"/>
      <w:numFmt w:val="lowerRoman"/>
      <w:pStyle w:val="SNParai"/>
      <w:lvlText w:val="%3"/>
      <w:lvlJc w:val="left"/>
      <w:pPr>
        <w:tabs>
          <w:tab w:val="num" w:pos="1276"/>
        </w:tabs>
        <w:ind w:left="1276" w:hanging="425"/>
      </w:pPr>
      <w:rPr>
        <w:rFonts w:hint="default"/>
      </w:rPr>
    </w:lvl>
    <w:lvl w:ilvl="3">
      <w:start w:val="1"/>
      <w:numFmt w:val="decimal"/>
      <w:pStyle w:val="SNPara1"/>
      <w:lvlText w:val="%4"/>
      <w:lvlJc w:val="left"/>
      <w:pPr>
        <w:tabs>
          <w:tab w:val="num" w:pos="1276"/>
        </w:tabs>
        <w:ind w:left="1276" w:hanging="425"/>
      </w:pPr>
      <w:rPr>
        <w:rFonts w:hint="default"/>
      </w:rPr>
    </w:lvl>
    <w:lvl w:ilvl="4">
      <w:start w:val="1"/>
      <w:numFmt w:val="bullet"/>
      <w:pStyle w:val="SNParaB1"/>
      <w:lvlText w:val=""/>
      <w:lvlJc w:val="left"/>
      <w:pPr>
        <w:tabs>
          <w:tab w:val="num" w:pos="1701"/>
        </w:tabs>
        <w:ind w:left="1701" w:hanging="425"/>
      </w:pPr>
      <w:rPr>
        <w:rFonts w:ascii="Symbol" w:hAnsi="Symbol" w:hint="default"/>
        <w:color w:val="auto"/>
      </w:rPr>
    </w:lvl>
    <w:lvl w:ilvl="5">
      <w:start w:val="1"/>
      <w:numFmt w:val="bullet"/>
      <w:pStyle w:val="SNParaB2"/>
      <w:lvlText w:val="-"/>
      <w:lvlJc w:val="left"/>
      <w:pPr>
        <w:tabs>
          <w:tab w:val="num" w:pos="2126"/>
        </w:tabs>
        <w:ind w:left="2126" w:hanging="425"/>
      </w:pPr>
      <w:rPr>
        <w:rFonts w:ascii="Courier New" w:hAnsi="Courier New" w:hint="default"/>
      </w:rPr>
    </w:lvl>
    <w:lvl w:ilvl="6">
      <w:start w:val="1"/>
      <w:numFmt w:val="none"/>
      <w:suff w:val="nothing"/>
      <w:lvlText w:val=""/>
      <w:lvlJc w:val="left"/>
      <w:pPr>
        <w:ind w:left="2126" w:firstLine="0"/>
      </w:pPr>
      <w:rPr>
        <w:rFonts w:hint="default"/>
      </w:rPr>
    </w:lvl>
    <w:lvl w:ilvl="7">
      <w:start w:val="1"/>
      <w:numFmt w:val="none"/>
      <w:suff w:val="nothing"/>
      <w:lvlText w:val=""/>
      <w:lvlJc w:val="left"/>
      <w:pPr>
        <w:ind w:left="2126" w:firstLine="0"/>
      </w:pPr>
      <w:rPr>
        <w:rFonts w:hint="default"/>
      </w:rPr>
    </w:lvl>
    <w:lvl w:ilvl="8">
      <w:start w:val="1"/>
      <w:numFmt w:val="none"/>
      <w:suff w:val="nothing"/>
      <w:lvlText w:val=""/>
      <w:lvlJc w:val="left"/>
      <w:pPr>
        <w:ind w:left="2126" w:firstLine="0"/>
      </w:pPr>
      <w:rPr>
        <w:rFonts w:hint="default"/>
      </w:rPr>
    </w:lvl>
  </w:abstractNum>
  <w:abstractNum w:abstractNumId="26" w15:restartNumberingAfterBreak="0">
    <w:nsid w:val="4F1348B4"/>
    <w:multiLevelType w:val="hybridMultilevel"/>
    <w:tmpl w:val="E932B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6F5E02"/>
    <w:multiLevelType w:val="multilevel"/>
    <w:tmpl w:val="B8D0B29C"/>
    <w:lvl w:ilvl="0">
      <w:start w:val="1"/>
      <w:numFmt w:val="bullet"/>
      <w:pStyle w:val="SNBullet1"/>
      <w:lvlText w:val=""/>
      <w:lvlJc w:val="left"/>
      <w:pPr>
        <w:tabs>
          <w:tab w:val="num" w:pos="1276"/>
        </w:tabs>
        <w:ind w:left="1276" w:hanging="425"/>
      </w:pPr>
      <w:rPr>
        <w:rFonts w:ascii="Symbol" w:hAnsi="Symbol" w:hint="default"/>
        <w:color w:val="auto"/>
      </w:rPr>
    </w:lvl>
    <w:lvl w:ilvl="1">
      <w:start w:val="1"/>
      <w:numFmt w:val="bullet"/>
      <w:pStyle w:val="SNBullet2"/>
      <w:lvlText w:val="-"/>
      <w:lvlJc w:val="left"/>
      <w:pPr>
        <w:tabs>
          <w:tab w:val="num" w:pos="1701"/>
        </w:tabs>
        <w:ind w:left="1701" w:hanging="425"/>
      </w:pPr>
      <w:rPr>
        <w:rFonts w:ascii="Courier New" w:hAnsi="Courier New" w:hint="default"/>
        <w:color w:val="auto"/>
      </w:rPr>
    </w:lvl>
    <w:lvl w:ilvl="2">
      <w:start w:val="1"/>
      <w:numFmt w:val="bullet"/>
      <w:pStyle w:val="SNBullet3"/>
      <w:lvlText w:val=""/>
      <w:lvlJc w:val="left"/>
      <w:pPr>
        <w:tabs>
          <w:tab w:val="num" w:pos="2126"/>
        </w:tabs>
        <w:ind w:left="2126" w:hanging="425"/>
      </w:pPr>
      <w:rPr>
        <w:rFonts w:ascii="Wingdings" w:hAnsi="Wingdings" w:hint="default"/>
        <w:color w:val="423E3C"/>
      </w:rPr>
    </w:lvl>
    <w:lvl w:ilvl="3">
      <w:start w:val="1"/>
      <w:numFmt w:val="none"/>
      <w:suff w:val="nothing"/>
      <w:lvlText w:val=""/>
      <w:lvlJc w:val="left"/>
      <w:pPr>
        <w:ind w:left="2126" w:firstLine="0"/>
      </w:pPr>
      <w:rPr>
        <w:rFonts w:hint="default"/>
      </w:rPr>
    </w:lvl>
    <w:lvl w:ilvl="4">
      <w:start w:val="1"/>
      <w:numFmt w:val="none"/>
      <w:suff w:val="nothing"/>
      <w:lvlText w:val=""/>
      <w:lvlJc w:val="left"/>
      <w:pPr>
        <w:ind w:left="2126" w:firstLine="0"/>
      </w:pPr>
      <w:rPr>
        <w:rFonts w:hint="default"/>
      </w:rPr>
    </w:lvl>
    <w:lvl w:ilvl="5">
      <w:start w:val="1"/>
      <w:numFmt w:val="none"/>
      <w:suff w:val="nothing"/>
      <w:lvlText w:val=""/>
      <w:lvlJc w:val="left"/>
      <w:pPr>
        <w:ind w:left="2126" w:firstLine="0"/>
      </w:pPr>
      <w:rPr>
        <w:rFonts w:hint="default"/>
      </w:rPr>
    </w:lvl>
    <w:lvl w:ilvl="6">
      <w:start w:val="1"/>
      <w:numFmt w:val="none"/>
      <w:suff w:val="nothing"/>
      <w:lvlText w:val=""/>
      <w:lvlJc w:val="left"/>
      <w:pPr>
        <w:ind w:left="2126" w:firstLine="0"/>
      </w:pPr>
      <w:rPr>
        <w:rFonts w:hint="default"/>
      </w:rPr>
    </w:lvl>
    <w:lvl w:ilvl="7">
      <w:start w:val="1"/>
      <w:numFmt w:val="none"/>
      <w:suff w:val="nothing"/>
      <w:lvlText w:val=""/>
      <w:lvlJc w:val="left"/>
      <w:pPr>
        <w:ind w:left="2126" w:firstLine="0"/>
      </w:pPr>
      <w:rPr>
        <w:rFonts w:hint="default"/>
      </w:rPr>
    </w:lvl>
    <w:lvl w:ilvl="8">
      <w:start w:val="1"/>
      <w:numFmt w:val="none"/>
      <w:suff w:val="space"/>
      <w:lvlText w:val=""/>
      <w:lvlJc w:val="left"/>
      <w:pPr>
        <w:ind w:left="2126" w:firstLine="0"/>
      </w:pPr>
      <w:rPr>
        <w:rFonts w:hint="default"/>
      </w:rPr>
    </w:lvl>
  </w:abstractNum>
  <w:abstractNum w:abstractNumId="28" w15:restartNumberingAfterBreak="0">
    <w:nsid w:val="59B24E90"/>
    <w:multiLevelType w:val="hybridMultilevel"/>
    <w:tmpl w:val="AFFC01D0"/>
    <w:lvl w:ilvl="0" w:tplc="13E21808">
      <w:start w:val="1"/>
      <w:numFmt w:val="decimal"/>
      <w:lvlText w:val="%1."/>
      <w:lvlJc w:val="left"/>
      <w:pPr>
        <w:tabs>
          <w:tab w:val="num" w:pos="425"/>
        </w:tabs>
        <w:ind w:left="425" w:hanging="425"/>
      </w:pPr>
      <w:rPr>
        <w:b w:val="0"/>
        <w:bCs w:val="0"/>
      </w:rPr>
    </w:lvl>
    <w:lvl w:ilvl="1" w:tplc="3982BDB2">
      <w:start w:val="1"/>
      <w:numFmt w:val="lowerLetter"/>
      <w:lvlText w:val="%2."/>
      <w:lvlJc w:val="left"/>
      <w:pPr>
        <w:tabs>
          <w:tab w:val="num" w:pos="851"/>
        </w:tabs>
        <w:ind w:left="851" w:hanging="426"/>
      </w:pPr>
    </w:lvl>
    <w:lvl w:ilvl="2" w:tplc="02C2461E">
      <w:start w:val="1"/>
      <w:numFmt w:val="lowerRoman"/>
      <w:lvlText w:val="%3."/>
      <w:lvlJc w:val="left"/>
      <w:pPr>
        <w:tabs>
          <w:tab w:val="num" w:pos="1276"/>
        </w:tabs>
        <w:ind w:left="1276" w:hanging="425"/>
      </w:pPr>
    </w:lvl>
    <w:lvl w:ilvl="3" w:tplc="62F81C48">
      <w:start w:val="1"/>
      <w:numFmt w:val="decimal"/>
      <w:lvlText w:val="%4."/>
      <w:lvlJc w:val="left"/>
      <w:pPr>
        <w:ind w:left="2880" w:hanging="360"/>
      </w:pPr>
    </w:lvl>
    <w:lvl w:ilvl="4" w:tplc="57B4FEB0">
      <w:start w:val="1"/>
      <w:numFmt w:val="lowerLetter"/>
      <w:lvlText w:val="%5."/>
      <w:lvlJc w:val="left"/>
      <w:pPr>
        <w:ind w:left="3600" w:hanging="360"/>
      </w:pPr>
    </w:lvl>
    <w:lvl w:ilvl="5" w:tplc="31AAD31E">
      <w:start w:val="1"/>
      <w:numFmt w:val="lowerRoman"/>
      <w:lvlText w:val="%6."/>
      <w:lvlJc w:val="right"/>
      <w:pPr>
        <w:ind w:left="4320" w:hanging="180"/>
      </w:pPr>
    </w:lvl>
    <w:lvl w:ilvl="6" w:tplc="A4FCC7B2">
      <w:start w:val="1"/>
      <w:numFmt w:val="decimal"/>
      <w:lvlText w:val="%7."/>
      <w:lvlJc w:val="left"/>
      <w:pPr>
        <w:ind w:left="5040" w:hanging="360"/>
      </w:pPr>
    </w:lvl>
    <w:lvl w:ilvl="7" w:tplc="8894FFA0">
      <w:start w:val="1"/>
      <w:numFmt w:val="lowerLetter"/>
      <w:lvlText w:val="%8."/>
      <w:lvlJc w:val="left"/>
      <w:pPr>
        <w:ind w:left="5760" w:hanging="360"/>
      </w:pPr>
    </w:lvl>
    <w:lvl w:ilvl="8" w:tplc="3B186892">
      <w:start w:val="1"/>
      <w:numFmt w:val="lowerRoman"/>
      <w:lvlText w:val="%9."/>
      <w:lvlJc w:val="right"/>
      <w:pPr>
        <w:ind w:left="6480" w:hanging="180"/>
      </w:pPr>
    </w:lvl>
  </w:abstractNum>
  <w:abstractNum w:abstractNumId="29" w15:restartNumberingAfterBreak="0">
    <w:nsid w:val="5A4D8C4B"/>
    <w:multiLevelType w:val="hybridMultilevel"/>
    <w:tmpl w:val="0A9434C6"/>
    <w:lvl w:ilvl="0" w:tplc="0BF64564">
      <w:start w:val="1"/>
      <w:numFmt w:val="decimal"/>
      <w:lvlText w:val="%1."/>
      <w:lvlJc w:val="left"/>
      <w:pPr>
        <w:ind w:left="360" w:hanging="360"/>
      </w:pPr>
    </w:lvl>
    <w:lvl w:ilvl="1" w:tplc="A01E0DCA">
      <w:start w:val="1"/>
      <w:numFmt w:val="lowerLetter"/>
      <w:lvlText w:val="%2."/>
      <w:lvlJc w:val="left"/>
      <w:pPr>
        <w:ind w:left="1080" w:hanging="360"/>
      </w:pPr>
    </w:lvl>
    <w:lvl w:ilvl="2" w:tplc="815872EE">
      <w:start w:val="1"/>
      <w:numFmt w:val="lowerRoman"/>
      <w:lvlText w:val="%3."/>
      <w:lvlJc w:val="right"/>
      <w:pPr>
        <w:ind w:left="1800" w:hanging="180"/>
      </w:pPr>
    </w:lvl>
    <w:lvl w:ilvl="3" w:tplc="89680418">
      <w:start w:val="1"/>
      <w:numFmt w:val="decimal"/>
      <w:lvlText w:val="%4."/>
      <w:lvlJc w:val="left"/>
      <w:pPr>
        <w:ind w:left="2520" w:hanging="360"/>
      </w:pPr>
    </w:lvl>
    <w:lvl w:ilvl="4" w:tplc="68644846">
      <w:start w:val="1"/>
      <w:numFmt w:val="lowerLetter"/>
      <w:lvlText w:val="%5."/>
      <w:lvlJc w:val="left"/>
      <w:pPr>
        <w:ind w:left="3240" w:hanging="360"/>
      </w:pPr>
    </w:lvl>
    <w:lvl w:ilvl="5" w:tplc="0F548A0A">
      <w:start w:val="1"/>
      <w:numFmt w:val="lowerRoman"/>
      <w:lvlText w:val="%6."/>
      <w:lvlJc w:val="right"/>
      <w:pPr>
        <w:ind w:left="3960" w:hanging="180"/>
      </w:pPr>
    </w:lvl>
    <w:lvl w:ilvl="6" w:tplc="2B54BA52">
      <w:start w:val="1"/>
      <w:numFmt w:val="decimal"/>
      <w:lvlText w:val="%7."/>
      <w:lvlJc w:val="left"/>
      <w:pPr>
        <w:ind w:left="4680" w:hanging="360"/>
      </w:pPr>
    </w:lvl>
    <w:lvl w:ilvl="7" w:tplc="5A30746A">
      <w:start w:val="1"/>
      <w:numFmt w:val="lowerLetter"/>
      <w:lvlText w:val="%8."/>
      <w:lvlJc w:val="left"/>
      <w:pPr>
        <w:ind w:left="5400" w:hanging="360"/>
      </w:pPr>
    </w:lvl>
    <w:lvl w:ilvl="8" w:tplc="9944655C">
      <w:start w:val="1"/>
      <w:numFmt w:val="lowerRoman"/>
      <w:lvlText w:val="%9."/>
      <w:lvlJc w:val="right"/>
      <w:pPr>
        <w:ind w:left="6120" w:hanging="180"/>
      </w:pPr>
    </w:lvl>
  </w:abstractNum>
  <w:abstractNum w:abstractNumId="30" w15:restartNumberingAfterBreak="0">
    <w:nsid w:val="5D957A91"/>
    <w:multiLevelType w:val="multilevel"/>
    <w:tmpl w:val="B542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E15500"/>
    <w:multiLevelType w:val="multilevel"/>
    <w:tmpl w:val="6072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CF3E49"/>
    <w:multiLevelType w:val="multilevel"/>
    <w:tmpl w:val="A1CECEA0"/>
    <w:lvl w:ilvl="0">
      <w:start w:val="1"/>
      <w:numFmt w:val="decimal"/>
      <w:pStyle w:val="SNHeading1"/>
      <w:lvlText w:val="%1"/>
      <w:lvlJc w:val="left"/>
      <w:pPr>
        <w:tabs>
          <w:tab w:val="num" w:pos="851"/>
        </w:tabs>
        <w:ind w:left="851" w:hanging="851"/>
      </w:pPr>
      <w:rPr>
        <w:rFonts w:hint="default"/>
      </w:rPr>
    </w:lvl>
    <w:lvl w:ilvl="1">
      <w:start w:val="1"/>
      <w:numFmt w:val="none"/>
      <w:suff w:val="nothing"/>
      <w:lvlText w:val=""/>
      <w:lvlJc w:val="left"/>
      <w:pPr>
        <w:ind w:left="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3" w15:restartNumberingAfterBreak="0">
    <w:nsid w:val="694C688F"/>
    <w:multiLevelType w:val="hybridMultilevel"/>
    <w:tmpl w:val="E0DC1B70"/>
    <w:styleLink w:val="CurrentList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381E35"/>
    <w:multiLevelType w:val="multilevel"/>
    <w:tmpl w:val="DC2CFF2C"/>
    <w:lvl w:ilvl="0">
      <w:start w:val="1"/>
      <w:numFmt w:val="bullet"/>
      <w:pStyle w:val="USMixedB2"/>
      <w:lvlText w:val=""/>
      <w:lvlJc w:val="left"/>
      <w:pPr>
        <w:tabs>
          <w:tab w:val="num" w:pos="851"/>
        </w:tabs>
        <w:ind w:left="851" w:hanging="426"/>
      </w:pPr>
      <w:rPr>
        <w:rFonts w:ascii="Symbol" w:hAnsi="Symbol" w:hint="default"/>
      </w:rPr>
    </w:lvl>
    <w:lvl w:ilvl="1">
      <w:start w:val="1"/>
      <w:numFmt w:val="bullet"/>
      <w:pStyle w:val="USMixedB3"/>
      <w:lvlText w:val="­"/>
      <w:lvlJc w:val="left"/>
      <w:pPr>
        <w:tabs>
          <w:tab w:val="num" w:pos="1276"/>
        </w:tabs>
        <w:ind w:left="1276" w:hanging="425"/>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B9901BD"/>
    <w:multiLevelType w:val="multilevel"/>
    <w:tmpl w:val="DEA8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CA94355"/>
    <w:multiLevelType w:val="multilevel"/>
    <w:tmpl w:val="B9C8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7451454">
    <w:abstractNumId w:val="29"/>
  </w:num>
  <w:num w:numId="2" w16cid:durableId="265816168">
    <w:abstractNumId w:val="21"/>
  </w:num>
  <w:num w:numId="3" w16cid:durableId="739639550">
    <w:abstractNumId w:val="19"/>
  </w:num>
  <w:num w:numId="4" w16cid:durableId="210851371">
    <w:abstractNumId w:val="16"/>
  </w:num>
  <w:num w:numId="5" w16cid:durableId="605188624">
    <w:abstractNumId w:val="34"/>
  </w:num>
  <w:num w:numId="6" w16cid:durableId="272783615">
    <w:abstractNumId w:val="18"/>
  </w:num>
  <w:num w:numId="7" w16cid:durableId="1116675963">
    <w:abstractNumId w:val="10"/>
  </w:num>
  <w:num w:numId="8" w16cid:durableId="1611818244">
    <w:abstractNumId w:val="22"/>
  </w:num>
  <w:num w:numId="9" w16cid:durableId="1892958297">
    <w:abstractNumId w:val="14"/>
  </w:num>
  <w:num w:numId="10" w16cid:durableId="575479823">
    <w:abstractNumId w:val="12"/>
  </w:num>
  <w:num w:numId="11" w16cid:durableId="1997102248">
    <w:abstractNumId w:val="23"/>
  </w:num>
  <w:num w:numId="12" w16cid:durableId="1292785177">
    <w:abstractNumId w:val="20"/>
  </w:num>
  <w:num w:numId="13" w16cid:durableId="504832462">
    <w:abstractNumId w:val="32"/>
  </w:num>
  <w:num w:numId="14" w16cid:durableId="533076794">
    <w:abstractNumId w:val="25"/>
  </w:num>
  <w:num w:numId="15" w16cid:durableId="700975726">
    <w:abstractNumId w:val="27"/>
  </w:num>
  <w:num w:numId="16" w16cid:durableId="2067606816">
    <w:abstractNumId w:val="9"/>
  </w:num>
  <w:num w:numId="17" w16cid:durableId="1237938294">
    <w:abstractNumId w:val="7"/>
  </w:num>
  <w:num w:numId="18" w16cid:durableId="1797289714">
    <w:abstractNumId w:val="6"/>
  </w:num>
  <w:num w:numId="19" w16cid:durableId="773674351">
    <w:abstractNumId w:val="5"/>
  </w:num>
  <w:num w:numId="20" w16cid:durableId="999039149">
    <w:abstractNumId w:val="4"/>
  </w:num>
  <w:num w:numId="21" w16cid:durableId="1118642245">
    <w:abstractNumId w:val="8"/>
  </w:num>
  <w:num w:numId="22" w16cid:durableId="1820462184">
    <w:abstractNumId w:val="3"/>
  </w:num>
  <w:num w:numId="23" w16cid:durableId="14232246">
    <w:abstractNumId w:val="2"/>
  </w:num>
  <w:num w:numId="24" w16cid:durableId="571113324">
    <w:abstractNumId w:val="1"/>
  </w:num>
  <w:num w:numId="25" w16cid:durableId="241724372">
    <w:abstractNumId w:val="0"/>
  </w:num>
  <w:num w:numId="26" w16cid:durableId="1747413433">
    <w:abstractNumId w:val="15"/>
  </w:num>
  <w:num w:numId="27" w16cid:durableId="2084334871">
    <w:abstractNumId w:val="33"/>
  </w:num>
  <w:num w:numId="28" w16cid:durableId="119345970">
    <w:abstractNumId w:val="18"/>
    <w:lvlOverride w:ilvl="0">
      <w:startOverride w:val="1"/>
    </w:lvlOverride>
  </w:num>
  <w:num w:numId="29" w16cid:durableId="1947888265">
    <w:abstractNumId w:val="18"/>
    <w:lvlOverride w:ilvl="0">
      <w:startOverride w:val="1"/>
    </w:lvlOverride>
  </w:num>
  <w:num w:numId="30" w16cid:durableId="201989805">
    <w:abstractNumId w:val="11"/>
  </w:num>
  <w:num w:numId="31" w16cid:durableId="682240793">
    <w:abstractNumId w:val="17"/>
  </w:num>
  <w:num w:numId="32" w16cid:durableId="267591726">
    <w:abstractNumId w:val="26"/>
  </w:num>
  <w:num w:numId="33" w16cid:durableId="920289147">
    <w:abstractNumId w:val="28"/>
  </w:num>
  <w:num w:numId="34" w16cid:durableId="271712510">
    <w:abstractNumId w:val="24"/>
  </w:num>
  <w:num w:numId="35" w16cid:durableId="375739921">
    <w:abstractNumId w:val="18"/>
    <w:lvlOverride w:ilvl="0">
      <w:startOverride w:val="1"/>
    </w:lvlOverride>
  </w:num>
  <w:num w:numId="36" w16cid:durableId="1159692189">
    <w:abstractNumId w:val="18"/>
    <w:lvlOverride w:ilvl="0">
      <w:startOverride w:val="1"/>
    </w:lvlOverride>
  </w:num>
  <w:num w:numId="37" w16cid:durableId="1511527112">
    <w:abstractNumId w:val="30"/>
  </w:num>
  <w:num w:numId="38" w16cid:durableId="1288128000">
    <w:abstractNumId w:val="18"/>
    <w:lvlOverride w:ilvl="0">
      <w:startOverride w:val="1"/>
    </w:lvlOverride>
  </w:num>
  <w:num w:numId="39" w16cid:durableId="1620061710">
    <w:abstractNumId w:val="31"/>
  </w:num>
  <w:num w:numId="40" w16cid:durableId="363218831">
    <w:abstractNumId w:val="35"/>
  </w:num>
  <w:num w:numId="41" w16cid:durableId="1969584486">
    <w:abstractNumId w:val="36"/>
  </w:num>
  <w:num w:numId="42" w16cid:durableId="1138111839">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5"/>
  <w:characterSpacingControl w:val="doNotCompress"/>
  <w:hdrShapeDefaults>
    <o:shapedefaults v:ext="edit" spidmax="3585"/>
    <o:shapelayout v:ext="edit">
      <o:idmap v:ext="edit" data="1,3"/>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2NbI0NbcwMzE0NbFU0lEKTi0uzszPAykwNKgFADjxAtstAAAA"/>
    <w:docVar w:name="ContentsAppendix" w:val="1"/>
    <w:docVar w:name="ContentsAppendixLevel" w:val="1"/>
    <w:docVar w:name="ContentsCreated" w:val="1"/>
    <w:docVar w:name="ContentsFigure" w:val="1"/>
    <w:docVar w:name="ContentsMain" w:val="1"/>
    <w:docVar w:name="ContentsMainLevel" w:val="3"/>
    <w:docVar w:name="ContentsTable" w:val="1"/>
    <w:docVar w:name="DocumentStatus" w:val="LETTER"/>
    <w:docVar w:name="dvAlternateCover" w:val="False"/>
    <w:docVar w:name="IsA3Sections" w:val="False"/>
    <w:docVar w:name="IsfirstTb" w:val="True"/>
    <w:docVar w:name="IsInTable" w:val="False"/>
    <w:docVar w:name="rptAddress" w:val=" "/>
    <w:docVar w:name="rptAttention" w:val=" "/>
    <w:docVar w:name="rptAttentionTitle" w:val=" "/>
    <w:docVar w:name="rptAuthorName" w:val=" "/>
    <w:docVar w:name="rptAuthorName2" w:val=" "/>
    <w:docVar w:name="rptAuthorTitle" w:val=" "/>
    <w:docVar w:name="rptAuthorTitle2" w:val=" "/>
    <w:docVar w:name="rptByEmail" w:val=" "/>
    <w:docVar w:name="rptCC" w:val=" "/>
    <w:docVar w:name="rptChkByEmail" w:val="True"/>
    <w:docVar w:name="rptClosing" w:val=" "/>
    <w:docVar w:name="rptClosing0" w:val=" "/>
    <w:docVar w:name="rptCommercialInConfidence" w:val="Commercial In Confidence"/>
    <w:docVar w:name="rptCoverImage" w:val="Image 2 (Desert Road)"/>
    <w:docVar w:name="rptDate" w:val="10 March 2014"/>
    <w:docVar w:name="rptDDI" w:val=" "/>
    <w:docVar w:name="rptDDI2" w:val=" "/>
    <w:docVar w:name="rptEmail" w:val=" "/>
    <w:docVar w:name="rptEmail2" w:val=" "/>
    <w:docVar w:name="rptEnclosures" w:val=" "/>
    <w:docVar w:name="rptFax" w:val=" "/>
    <w:docVar w:name="rptFax2" w:val=" "/>
    <w:docVar w:name="rptGreeting" w:val=" "/>
    <w:docVar w:name="rptGreeting0" w:val=" "/>
    <w:docVar w:name="rptGreetingText" w:val=" "/>
    <w:docVar w:name="rptInsertSignature" w:val="True"/>
    <w:docVar w:name="rptLetterImageFile" w:val=" "/>
    <w:docVar w:name="rptLetterImageFile2" w:val=" "/>
    <w:docVar w:name="rptMobile" w:val=" "/>
    <w:docVar w:name="rptMobile2" w:val=" "/>
    <w:docVar w:name="rptOffice" w:val=" "/>
    <w:docVar w:name="rptOffice2" w:val=" "/>
    <w:docVar w:name="rptPrintPhysical" w:val="False"/>
    <w:docVar w:name="rptProposalDate" w:val="5 July 2022"/>
    <w:docVar w:name="rptProposalSubtitle" w:val="Tables formatting"/>
    <w:docVar w:name="rptProposalTitle" w:val="Sample report with New MJ Styles"/>
    <w:docVar w:name="rptSalutation" w:val=" "/>
    <w:docVar w:name="rptSignOff" w:val=" "/>
    <w:docVar w:name="rptSignOff0" w:val=" "/>
    <w:docVar w:name="rptStatus" w:val="Draft Report"/>
    <w:docVar w:name="rptSubject" w:val=" "/>
    <w:docVar w:name="ShowDraft" w:val="True"/>
    <w:docVar w:name="ShowSaveDate" w:val="True"/>
  </w:docVars>
  <w:rsids>
    <w:rsidRoot w:val="00F8040A"/>
    <w:rsid w:val="0000031E"/>
    <w:rsid w:val="0000087A"/>
    <w:rsid w:val="000010B6"/>
    <w:rsid w:val="0000158E"/>
    <w:rsid w:val="00001739"/>
    <w:rsid w:val="00001B71"/>
    <w:rsid w:val="00001BE5"/>
    <w:rsid w:val="00002B8C"/>
    <w:rsid w:val="0000319E"/>
    <w:rsid w:val="000038D4"/>
    <w:rsid w:val="00003F3B"/>
    <w:rsid w:val="000042D7"/>
    <w:rsid w:val="000043EC"/>
    <w:rsid w:val="0000484F"/>
    <w:rsid w:val="00005B2B"/>
    <w:rsid w:val="00005F33"/>
    <w:rsid w:val="00006792"/>
    <w:rsid w:val="0000687E"/>
    <w:rsid w:val="00006DBB"/>
    <w:rsid w:val="00006DC6"/>
    <w:rsid w:val="00006F43"/>
    <w:rsid w:val="000070F0"/>
    <w:rsid w:val="0000776B"/>
    <w:rsid w:val="00007816"/>
    <w:rsid w:val="00007DD5"/>
    <w:rsid w:val="00007EE2"/>
    <w:rsid w:val="000100BE"/>
    <w:rsid w:val="000107DC"/>
    <w:rsid w:val="00010A74"/>
    <w:rsid w:val="00010EBE"/>
    <w:rsid w:val="00012923"/>
    <w:rsid w:val="000131AA"/>
    <w:rsid w:val="0001373C"/>
    <w:rsid w:val="000141BA"/>
    <w:rsid w:val="00014308"/>
    <w:rsid w:val="0001486A"/>
    <w:rsid w:val="00015F2C"/>
    <w:rsid w:val="00016313"/>
    <w:rsid w:val="000165E3"/>
    <w:rsid w:val="00016837"/>
    <w:rsid w:val="00016D10"/>
    <w:rsid w:val="00016D93"/>
    <w:rsid w:val="00017283"/>
    <w:rsid w:val="00017352"/>
    <w:rsid w:val="0001773E"/>
    <w:rsid w:val="0001792B"/>
    <w:rsid w:val="00017D4D"/>
    <w:rsid w:val="00017EAA"/>
    <w:rsid w:val="0002162B"/>
    <w:rsid w:val="00021863"/>
    <w:rsid w:val="00021E29"/>
    <w:rsid w:val="000223F4"/>
    <w:rsid w:val="000229D0"/>
    <w:rsid w:val="00022AE7"/>
    <w:rsid w:val="000234D9"/>
    <w:rsid w:val="0002412D"/>
    <w:rsid w:val="000251BD"/>
    <w:rsid w:val="000253BE"/>
    <w:rsid w:val="00025609"/>
    <w:rsid w:val="00025903"/>
    <w:rsid w:val="00025F82"/>
    <w:rsid w:val="000261F7"/>
    <w:rsid w:val="00026AE2"/>
    <w:rsid w:val="0002701A"/>
    <w:rsid w:val="000302FE"/>
    <w:rsid w:val="000309B0"/>
    <w:rsid w:val="00030BF8"/>
    <w:rsid w:val="000312D1"/>
    <w:rsid w:val="00032EFF"/>
    <w:rsid w:val="0003403D"/>
    <w:rsid w:val="000340E3"/>
    <w:rsid w:val="0003498F"/>
    <w:rsid w:val="00035451"/>
    <w:rsid w:val="00036D2C"/>
    <w:rsid w:val="000374ED"/>
    <w:rsid w:val="0003798F"/>
    <w:rsid w:val="00040364"/>
    <w:rsid w:val="0004044B"/>
    <w:rsid w:val="00040694"/>
    <w:rsid w:val="00040D91"/>
    <w:rsid w:val="00040DC9"/>
    <w:rsid w:val="00041336"/>
    <w:rsid w:val="000416D2"/>
    <w:rsid w:val="00042072"/>
    <w:rsid w:val="00042A7F"/>
    <w:rsid w:val="00042BB8"/>
    <w:rsid w:val="00042EB5"/>
    <w:rsid w:val="00043799"/>
    <w:rsid w:val="0004425D"/>
    <w:rsid w:val="00044E6D"/>
    <w:rsid w:val="00044F75"/>
    <w:rsid w:val="00045E16"/>
    <w:rsid w:val="000465C8"/>
    <w:rsid w:val="0005057F"/>
    <w:rsid w:val="00050840"/>
    <w:rsid w:val="0005124A"/>
    <w:rsid w:val="000515ED"/>
    <w:rsid w:val="00052A4C"/>
    <w:rsid w:val="00052E15"/>
    <w:rsid w:val="00053066"/>
    <w:rsid w:val="000536AF"/>
    <w:rsid w:val="00055AC3"/>
    <w:rsid w:val="00055D9F"/>
    <w:rsid w:val="00056327"/>
    <w:rsid w:val="00057221"/>
    <w:rsid w:val="0005783C"/>
    <w:rsid w:val="000602A8"/>
    <w:rsid w:val="000609F0"/>
    <w:rsid w:val="00060DBE"/>
    <w:rsid w:val="00061161"/>
    <w:rsid w:val="00061478"/>
    <w:rsid w:val="00061B70"/>
    <w:rsid w:val="00061BD9"/>
    <w:rsid w:val="00061C97"/>
    <w:rsid w:val="0006200D"/>
    <w:rsid w:val="000628B4"/>
    <w:rsid w:val="0006300A"/>
    <w:rsid w:val="000632B2"/>
    <w:rsid w:val="000640B1"/>
    <w:rsid w:val="000646F6"/>
    <w:rsid w:val="000650BD"/>
    <w:rsid w:val="00065320"/>
    <w:rsid w:val="00065C63"/>
    <w:rsid w:val="00065D75"/>
    <w:rsid w:val="000662D1"/>
    <w:rsid w:val="00066363"/>
    <w:rsid w:val="00067610"/>
    <w:rsid w:val="00067D5D"/>
    <w:rsid w:val="00067E60"/>
    <w:rsid w:val="00067F84"/>
    <w:rsid w:val="00070168"/>
    <w:rsid w:val="00070B4B"/>
    <w:rsid w:val="00071474"/>
    <w:rsid w:val="00071702"/>
    <w:rsid w:val="0007232B"/>
    <w:rsid w:val="000736E4"/>
    <w:rsid w:val="00074F80"/>
    <w:rsid w:val="00075E74"/>
    <w:rsid w:val="000766F0"/>
    <w:rsid w:val="00077532"/>
    <w:rsid w:val="0008144E"/>
    <w:rsid w:val="00081960"/>
    <w:rsid w:val="0008197F"/>
    <w:rsid w:val="00082006"/>
    <w:rsid w:val="000831E1"/>
    <w:rsid w:val="000831E9"/>
    <w:rsid w:val="00083504"/>
    <w:rsid w:val="000837A6"/>
    <w:rsid w:val="00083EB5"/>
    <w:rsid w:val="00085065"/>
    <w:rsid w:val="000851F5"/>
    <w:rsid w:val="00085291"/>
    <w:rsid w:val="00085373"/>
    <w:rsid w:val="00085F32"/>
    <w:rsid w:val="000862A0"/>
    <w:rsid w:val="000867F2"/>
    <w:rsid w:val="00086B89"/>
    <w:rsid w:val="00086D0B"/>
    <w:rsid w:val="00086D70"/>
    <w:rsid w:val="00087629"/>
    <w:rsid w:val="00087D45"/>
    <w:rsid w:val="00087FF7"/>
    <w:rsid w:val="00090487"/>
    <w:rsid w:val="0009078A"/>
    <w:rsid w:val="0009163E"/>
    <w:rsid w:val="000925D1"/>
    <w:rsid w:val="00092E0E"/>
    <w:rsid w:val="00092F1C"/>
    <w:rsid w:val="00093344"/>
    <w:rsid w:val="000936E9"/>
    <w:rsid w:val="00093F4A"/>
    <w:rsid w:val="000954E0"/>
    <w:rsid w:val="00095759"/>
    <w:rsid w:val="00095FE4"/>
    <w:rsid w:val="000962B5"/>
    <w:rsid w:val="000975CB"/>
    <w:rsid w:val="000978E8"/>
    <w:rsid w:val="000979C4"/>
    <w:rsid w:val="000A0C20"/>
    <w:rsid w:val="000A11B2"/>
    <w:rsid w:val="000A134B"/>
    <w:rsid w:val="000A1F7E"/>
    <w:rsid w:val="000A295E"/>
    <w:rsid w:val="000A29D0"/>
    <w:rsid w:val="000A2D2B"/>
    <w:rsid w:val="000A3813"/>
    <w:rsid w:val="000A3CD6"/>
    <w:rsid w:val="000A425B"/>
    <w:rsid w:val="000A4B20"/>
    <w:rsid w:val="000A61E5"/>
    <w:rsid w:val="000A64EF"/>
    <w:rsid w:val="000A77E7"/>
    <w:rsid w:val="000B0238"/>
    <w:rsid w:val="000B05A3"/>
    <w:rsid w:val="000B0AA1"/>
    <w:rsid w:val="000B0C2C"/>
    <w:rsid w:val="000B0F93"/>
    <w:rsid w:val="000B1211"/>
    <w:rsid w:val="000B1CBD"/>
    <w:rsid w:val="000B2011"/>
    <w:rsid w:val="000B20E4"/>
    <w:rsid w:val="000B2370"/>
    <w:rsid w:val="000B2433"/>
    <w:rsid w:val="000B2581"/>
    <w:rsid w:val="000B2D9C"/>
    <w:rsid w:val="000B3F5F"/>
    <w:rsid w:val="000B42F2"/>
    <w:rsid w:val="000B42F8"/>
    <w:rsid w:val="000B4321"/>
    <w:rsid w:val="000B6302"/>
    <w:rsid w:val="000B634F"/>
    <w:rsid w:val="000B9592"/>
    <w:rsid w:val="000C26A2"/>
    <w:rsid w:val="000C3D9A"/>
    <w:rsid w:val="000C49D6"/>
    <w:rsid w:val="000C4B65"/>
    <w:rsid w:val="000C5447"/>
    <w:rsid w:val="000C56B0"/>
    <w:rsid w:val="000C5CB4"/>
    <w:rsid w:val="000C60FE"/>
    <w:rsid w:val="000C6655"/>
    <w:rsid w:val="000C73D2"/>
    <w:rsid w:val="000C7766"/>
    <w:rsid w:val="000C798F"/>
    <w:rsid w:val="000C79B2"/>
    <w:rsid w:val="000C7E21"/>
    <w:rsid w:val="000D07F3"/>
    <w:rsid w:val="000D1A36"/>
    <w:rsid w:val="000D22CF"/>
    <w:rsid w:val="000D24EB"/>
    <w:rsid w:val="000D2A10"/>
    <w:rsid w:val="000D3545"/>
    <w:rsid w:val="000D3802"/>
    <w:rsid w:val="000D403F"/>
    <w:rsid w:val="000D414C"/>
    <w:rsid w:val="000D46FA"/>
    <w:rsid w:val="000D5193"/>
    <w:rsid w:val="000D545E"/>
    <w:rsid w:val="000D5BFC"/>
    <w:rsid w:val="000D5C60"/>
    <w:rsid w:val="000D5FB9"/>
    <w:rsid w:val="000D766C"/>
    <w:rsid w:val="000D7898"/>
    <w:rsid w:val="000D7D82"/>
    <w:rsid w:val="000E001F"/>
    <w:rsid w:val="000E02DE"/>
    <w:rsid w:val="000E1B49"/>
    <w:rsid w:val="000E1D0B"/>
    <w:rsid w:val="000E1DDF"/>
    <w:rsid w:val="000E1F83"/>
    <w:rsid w:val="000E2710"/>
    <w:rsid w:val="000E3006"/>
    <w:rsid w:val="000E3793"/>
    <w:rsid w:val="000E3A52"/>
    <w:rsid w:val="000E3FE9"/>
    <w:rsid w:val="000E43D7"/>
    <w:rsid w:val="000E4A56"/>
    <w:rsid w:val="000E506B"/>
    <w:rsid w:val="000E6607"/>
    <w:rsid w:val="000E7259"/>
    <w:rsid w:val="000F19BF"/>
    <w:rsid w:val="000F3192"/>
    <w:rsid w:val="000F4A82"/>
    <w:rsid w:val="000F4C76"/>
    <w:rsid w:val="000F55C0"/>
    <w:rsid w:val="000F5B6F"/>
    <w:rsid w:val="000F5F65"/>
    <w:rsid w:val="000F6CF2"/>
    <w:rsid w:val="000F70B2"/>
    <w:rsid w:val="000F736D"/>
    <w:rsid w:val="000F7450"/>
    <w:rsid w:val="000F7840"/>
    <w:rsid w:val="000F9B17"/>
    <w:rsid w:val="0010112C"/>
    <w:rsid w:val="00102D83"/>
    <w:rsid w:val="001035EF"/>
    <w:rsid w:val="00103CC1"/>
    <w:rsid w:val="00103CDD"/>
    <w:rsid w:val="001044A8"/>
    <w:rsid w:val="001048F8"/>
    <w:rsid w:val="001062F5"/>
    <w:rsid w:val="001064B2"/>
    <w:rsid w:val="00106AA5"/>
    <w:rsid w:val="00106AB4"/>
    <w:rsid w:val="00106DD0"/>
    <w:rsid w:val="0010799D"/>
    <w:rsid w:val="001105B0"/>
    <w:rsid w:val="00110656"/>
    <w:rsid w:val="00110E4C"/>
    <w:rsid w:val="00111503"/>
    <w:rsid w:val="00111828"/>
    <w:rsid w:val="00111F07"/>
    <w:rsid w:val="0011257F"/>
    <w:rsid w:val="00112E16"/>
    <w:rsid w:val="0011324F"/>
    <w:rsid w:val="00113C10"/>
    <w:rsid w:val="00113EFD"/>
    <w:rsid w:val="0011465F"/>
    <w:rsid w:val="00114913"/>
    <w:rsid w:val="00114A87"/>
    <w:rsid w:val="00114BB0"/>
    <w:rsid w:val="001158D4"/>
    <w:rsid w:val="001158DA"/>
    <w:rsid w:val="00115A89"/>
    <w:rsid w:val="001161D7"/>
    <w:rsid w:val="00116BB3"/>
    <w:rsid w:val="00117BB0"/>
    <w:rsid w:val="00120252"/>
    <w:rsid w:val="0012049D"/>
    <w:rsid w:val="001211FC"/>
    <w:rsid w:val="001213D7"/>
    <w:rsid w:val="00121913"/>
    <w:rsid w:val="00121B1D"/>
    <w:rsid w:val="001226CD"/>
    <w:rsid w:val="001232CB"/>
    <w:rsid w:val="00123711"/>
    <w:rsid w:val="001238E6"/>
    <w:rsid w:val="00125184"/>
    <w:rsid w:val="00126040"/>
    <w:rsid w:val="00127352"/>
    <w:rsid w:val="00127B03"/>
    <w:rsid w:val="0013015E"/>
    <w:rsid w:val="001304E2"/>
    <w:rsid w:val="00130538"/>
    <w:rsid w:val="001313A1"/>
    <w:rsid w:val="001319AC"/>
    <w:rsid w:val="00131C71"/>
    <w:rsid w:val="00132037"/>
    <w:rsid w:val="00132486"/>
    <w:rsid w:val="001338D2"/>
    <w:rsid w:val="001346CC"/>
    <w:rsid w:val="00134D60"/>
    <w:rsid w:val="00134F25"/>
    <w:rsid w:val="001351FF"/>
    <w:rsid w:val="00135902"/>
    <w:rsid w:val="0013636D"/>
    <w:rsid w:val="00136F30"/>
    <w:rsid w:val="00137AF4"/>
    <w:rsid w:val="00140918"/>
    <w:rsid w:val="00141498"/>
    <w:rsid w:val="00141529"/>
    <w:rsid w:val="001423A8"/>
    <w:rsid w:val="00142828"/>
    <w:rsid w:val="001437E3"/>
    <w:rsid w:val="00143F17"/>
    <w:rsid w:val="00145240"/>
    <w:rsid w:val="001457B4"/>
    <w:rsid w:val="001464CA"/>
    <w:rsid w:val="00146817"/>
    <w:rsid w:val="00146A80"/>
    <w:rsid w:val="001475CF"/>
    <w:rsid w:val="00147875"/>
    <w:rsid w:val="00147BC6"/>
    <w:rsid w:val="00147D02"/>
    <w:rsid w:val="00147E3D"/>
    <w:rsid w:val="001504ED"/>
    <w:rsid w:val="00150501"/>
    <w:rsid w:val="001506B6"/>
    <w:rsid w:val="001510CC"/>
    <w:rsid w:val="001510D4"/>
    <w:rsid w:val="001512D4"/>
    <w:rsid w:val="001513F7"/>
    <w:rsid w:val="00151B0B"/>
    <w:rsid w:val="00151EAD"/>
    <w:rsid w:val="00152022"/>
    <w:rsid w:val="00154244"/>
    <w:rsid w:val="00154855"/>
    <w:rsid w:val="00154B65"/>
    <w:rsid w:val="00155436"/>
    <w:rsid w:val="00155C69"/>
    <w:rsid w:val="00155EB7"/>
    <w:rsid w:val="00156A0E"/>
    <w:rsid w:val="00156F81"/>
    <w:rsid w:val="00157095"/>
    <w:rsid w:val="00157578"/>
    <w:rsid w:val="00157AC3"/>
    <w:rsid w:val="00157D6F"/>
    <w:rsid w:val="00157EF3"/>
    <w:rsid w:val="00160F24"/>
    <w:rsid w:val="0016157B"/>
    <w:rsid w:val="0016188D"/>
    <w:rsid w:val="00162338"/>
    <w:rsid w:val="00162B2F"/>
    <w:rsid w:val="00162F87"/>
    <w:rsid w:val="001634AE"/>
    <w:rsid w:val="00163DED"/>
    <w:rsid w:val="001650D5"/>
    <w:rsid w:val="001651C3"/>
    <w:rsid w:val="00165F27"/>
    <w:rsid w:val="00166CE5"/>
    <w:rsid w:val="001705A3"/>
    <w:rsid w:val="001709EC"/>
    <w:rsid w:val="00170D29"/>
    <w:rsid w:val="00170F58"/>
    <w:rsid w:val="00171D46"/>
    <w:rsid w:val="001727DA"/>
    <w:rsid w:val="001730A4"/>
    <w:rsid w:val="0017316E"/>
    <w:rsid w:val="00173912"/>
    <w:rsid w:val="00174040"/>
    <w:rsid w:val="001746E6"/>
    <w:rsid w:val="001749B4"/>
    <w:rsid w:val="00175240"/>
    <w:rsid w:val="001763D5"/>
    <w:rsid w:val="00176C28"/>
    <w:rsid w:val="001772B4"/>
    <w:rsid w:val="00180B6B"/>
    <w:rsid w:val="00180DFC"/>
    <w:rsid w:val="001811E4"/>
    <w:rsid w:val="0018165D"/>
    <w:rsid w:val="0018197E"/>
    <w:rsid w:val="00181E2C"/>
    <w:rsid w:val="00182EFA"/>
    <w:rsid w:val="001840A2"/>
    <w:rsid w:val="00184D3F"/>
    <w:rsid w:val="00184E24"/>
    <w:rsid w:val="00185909"/>
    <w:rsid w:val="00185E97"/>
    <w:rsid w:val="00186004"/>
    <w:rsid w:val="001862D6"/>
    <w:rsid w:val="00186781"/>
    <w:rsid w:val="001919A5"/>
    <w:rsid w:val="00191CB8"/>
    <w:rsid w:val="001922EC"/>
    <w:rsid w:val="0019355B"/>
    <w:rsid w:val="00193F1D"/>
    <w:rsid w:val="0019490A"/>
    <w:rsid w:val="00194A09"/>
    <w:rsid w:val="001950CD"/>
    <w:rsid w:val="001959A3"/>
    <w:rsid w:val="001962BD"/>
    <w:rsid w:val="00197129"/>
    <w:rsid w:val="00197CB1"/>
    <w:rsid w:val="001A00B5"/>
    <w:rsid w:val="001A0835"/>
    <w:rsid w:val="001A0CB8"/>
    <w:rsid w:val="001A0DC9"/>
    <w:rsid w:val="001A14E3"/>
    <w:rsid w:val="001A1B65"/>
    <w:rsid w:val="001A23C5"/>
    <w:rsid w:val="001A249C"/>
    <w:rsid w:val="001A28DE"/>
    <w:rsid w:val="001A391D"/>
    <w:rsid w:val="001A4D71"/>
    <w:rsid w:val="001A6CA9"/>
    <w:rsid w:val="001A6FB1"/>
    <w:rsid w:val="001A712A"/>
    <w:rsid w:val="001A7566"/>
    <w:rsid w:val="001A77C3"/>
    <w:rsid w:val="001A7E11"/>
    <w:rsid w:val="001A7F14"/>
    <w:rsid w:val="001B0287"/>
    <w:rsid w:val="001B04A3"/>
    <w:rsid w:val="001B0E28"/>
    <w:rsid w:val="001B12E6"/>
    <w:rsid w:val="001B1300"/>
    <w:rsid w:val="001B19FF"/>
    <w:rsid w:val="001B2B16"/>
    <w:rsid w:val="001B3134"/>
    <w:rsid w:val="001B3D7B"/>
    <w:rsid w:val="001B3E5B"/>
    <w:rsid w:val="001B4892"/>
    <w:rsid w:val="001B4F70"/>
    <w:rsid w:val="001B5B51"/>
    <w:rsid w:val="001B5C1C"/>
    <w:rsid w:val="001B5EBB"/>
    <w:rsid w:val="001B6A4D"/>
    <w:rsid w:val="001B6C10"/>
    <w:rsid w:val="001B7882"/>
    <w:rsid w:val="001B7A73"/>
    <w:rsid w:val="001C0C77"/>
    <w:rsid w:val="001C16A4"/>
    <w:rsid w:val="001C1820"/>
    <w:rsid w:val="001C1EAF"/>
    <w:rsid w:val="001C224D"/>
    <w:rsid w:val="001C27E5"/>
    <w:rsid w:val="001C2999"/>
    <w:rsid w:val="001C2E9C"/>
    <w:rsid w:val="001C32C3"/>
    <w:rsid w:val="001C425C"/>
    <w:rsid w:val="001C4F1E"/>
    <w:rsid w:val="001C5585"/>
    <w:rsid w:val="001C5646"/>
    <w:rsid w:val="001C5980"/>
    <w:rsid w:val="001C6C49"/>
    <w:rsid w:val="001C743D"/>
    <w:rsid w:val="001C7C17"/>
    <w:rsid w:val="001C7CCA"/>
    <w:rsid w:val="001C7DC4"/>
    <w:rsid w:val="001D24BD"/>
    <w:rsid w:val="001D2A69"/>
    <w:rsid w:val="001D3098"/>
    <w:rsid w:val="001D3333"/>
    <w:rsid w:val="001D3C3A"/>
    <w:rsid w:val="001D3DE5"/>
    <w:rsid w:val="001D468C"/>
    <w:rsid w:val="001D488B"/>
    <w:rsid w:val="001D5002"/>
    <w:rsid w:val="001D64D5"/>
    <w:rsid w:val="001D652D"/>
    <w:rsid w:val="001D7570"/>
    <w:rsid w:val="001D782D"/>
    <w:rsid w:val="001E02BD"/>
    <w:rsid w:val="001E1186"/>
    <w:rsid w:val="001E17A7"/>
    <w:rsid w:val="001E229F"/>
    <w:rsid w:val="001E2790"/>
    <w:rsid w:val="001E2BFD"/>
    <w:rsid w:val="001E2E13"/>
    <w:rsid w:val="001E3BC3"/>
    <w:rsid w:val="001E5220"/>
    <w:rsid w:val="001E68D7"/>
    <w:rsid w:val="001E7C2C"/>
    <w:rsid w:val="001E7D0D"/>
    <w:rsid w:val="001F1409"/>
    <w:rsid w:val="001F15B9"/>
    <w:rsid w:val="001F335E"/>
    <w:rsid w:val="001F3AA3"/>
    <w:rsid w:val="001F3FD7"/>
    <w:rsid w:val="001F400C"/>
    <w:rsid w:val="001F4085"/>
    <w:rsid w:val="001F56DD"/>
    <w:rsid w:val="001F56F7"/>
    <w:rsid w:val="001F5C84"/>
    <w:rsid w:val="001F613B"/>
    <w:rsid w:val="001F699D"/>
    <w:rsid w:val="001F7517"/>
    <w:rsid w:val="001F75EC"/>
    <w:rsid w:val="001F7861"/>
    <w:rsid w:val="0020054D"/>
    <w:rsid w:val="0020223A"/>
    <w:rsid w:val="00202821"/>
    <w:rsid w:val="00202902"/>
    <w:rsid w:val="00202A50"/>
    <w:rsid w:val="00202BFB"/>
    <w:rsid w:val="002031E1"/>
    <w:rsid w:val="0020377F"/>
    <w:rsid w:val="002047D6"/>
    <w:rsid w:val="00204ED7"/>
    <w:rsid w:val="00205157"/>
    <w:rsid w:val="0020597D"/>
    <w:rsid w:val="00205C9E"/>
    <w:rsid w:val="00206BC2"/>
    <w:rsid w:val="00207054"/>
    <w:rsid w:val="002071FE"/>
    <w:rsid w:val="00207846"/>
    <w:rsid w:val="002079AF"/>
    <w:rsid w:val="00210582"/>
    <w:rsid w:val="0021136B"/>
    <w:rsid w:val="0021193B"/>
    <w:rsid w:val="002126CE"/>
    <w:rsid w:val="00212D79"/>
    <w:rsid w:val="00213318"/>
    <w:rsid w:val="00213979"/>
    <w:rsid w:val="00214294"/>
    <w:rsid w:val="00214A66"/>
    <w:rsid w:val="00214D3B"/>
    <w:rsid w:val="00215ECF"/>
    <w:rsid w:val="0021668E"/>
    <w:rsid w:val="00216838"/>
    <w:rsid w:val="00216D2F"/>
    <w:rsid w:val="00220986"/>
    <w:rsid w:val="00220B1F"/>
    <w:rsid w:val="00220D66"/>
    <w:rsid w:val="00220E9B"/>
    <w:rsid w:val="00221A62"/>
    <w:rsid w:val="002227AC"/>
    <w:rsid w:val="00222C20"/>
    <w:rsid w:val="0022317E"/>
    <w:rsid w:val="00223A08"/>
    <w:rsid w:val="00223D48"/>
    <w:rsid w:val="00225112"/>
    <w:rsid w:val="00225247"/>
    <w:rsid w:val="00227526"/>
    <w:rsid w:val="002276BE"/>
    <w:rsid w:val="0023026F"/>
    <w:rsid w:val="00231313"/>
    <w:rsid w:val="002315B8"/>
    <w:rsid w:val="002315B9"/>
    <w:rsid w:val="00231930"/>
    <w:rsid w:val="00232EC3"/>
    <w:rsid w:val="002331C1"/>
    <w:rsid w:val="00233EF3"/>
    <w:rsid w:val="00234DBC"/>
    <w:rsid w:val="00234FDA"/>
    <w:rsid w:val="00235842"/>
    <w:rsid w:val="0023605C"/>
    <w:rsid w:val="002363B1"/>
    <w:rsid w:val="00240904"/>
    <w:rsid w:val="00240EEB"/>
    <w:rsid w:val="00241182"/>
    <w:rsid w:val="00241370"/>
    <w:rsid w:val="00242520"/>
    <w:rsid w:val="00242816"/>
    <w:rsid w:val="00242FAB"/>
    <w:rsid w:val="00243073"/>
    <w:rsid w:val="00243612"/>
    <w:rsid w:val="00243AF7"/>
    <w:rsid w:val="002457FA"/>
    <w:rsid w:val="00245973"/>
    <w:rsid w:val="002466B3"/>
    <w:rsid w:val="00246D15"/>
    <w:rsid w:val="00247340"/>
    <w:rsid w:val="002500E0"/>
    <w:rsid w:val="00250852"/>
    <w:rsid w:val="00251461"/>
    <w:rsid w:val="002516B4"/>
    <w:rsid w:val="002519D8"/>
    <w:rsid w:val="00251D79"/>
    <w:rsid w:val="00252472"/>
    <w:rsid w:val="002529E7"/>
    <w:rsid w:val="00252F35"/>
    <w:rsid w:val="00253042"/>
    <w:rsid w:val="002553F3"/>
    <w:rsid w:val="0025554E"/>
    <w:rsid w:val="0025599E"/>
    <w:rsid w:val="00257495"/>
    <w:rsid w:val="002604A4"/>
    <w:rsid w:val="00261C1A"/>
    <w:rsid w:val="00263CCF"/>
    <w:rsid w:val="00264441"/>
    <w:rsid w:val="002649B6"/>
    <w:rsid w:val="00264B9B"/>
    <w:rsid w:val="002650D3"/>
    <w:rsid w:val="002651A2"/>
    <w:rsid w:val="00265731"/>
    <w:rsid w:val="00266907"/>
    <w:rsid w:val="00266E5E"/>
    <w:rsid w:val="00267BAF"/>
    <w:rsid w:val="00270472"/>
    <w:rsid w:val="00270D62"/>
    <w:rsid w:val="00271AA6"/>
    <w:rsid w:val="00271E85"/>
    <w:rsid w:val="00271EF3"/>
    <w:rsid w:val="0027219D"/>
    <w:rsid w:val="0027403B"/>
    <w:rsid w:val="00274F0F"/>
    <w:rsid w:val="00275015"/>
    <w:rsid w:val="002751AF"/>
    <w:rsid w:val="0027562E"/>
    <w:rsid w:val="00275A9A"/>
    <w:rsid w:val="0027BD5C"/>
    <w:rsid w:val="002801CB"/>
    <w:rsid w:val="00280AB2"/>
    <w:rsid w:val="00280C30"/>
    <w:rsid w:val="00281A7B"/>
    <w:rsid w:val="00281D4C"/>
    <w:rsid w:val="0028257D"/>
    <w:rsid w:val="00286DA4"/>
    <w:rsid w:val="002872ED"/>
    <w:rsid w:val="00287B90"/>
    <w:rsid w:val="00291C67"/>
    <w:rsid w:val="0029326F"/>
    <w:rsid w:val="00293374"/>
    <w:rsid w:val="0029361F"/>
    <w:rsid w:val="002936DC"/>
    <w:rsid w:val="0029448E"/>
    <w:rsid w:val="0029481B"/>
    <w:rsid w:val="0029493E"/>
    <w:rsid w:val="00295D5F"/>
    <w:rsid w:val="00296A7C"/>
    <w:rsid w:val="0029730F"/>
    <w:rsid w:val="002A02DD"/>
    <w:rsid w:val="002A0441"/>
    <w:rsid w:val="002A1362"/>
    <w:rsid w:val="002A142E"/>
    <w:rsid w:val="002A17F8"/>
    <w:rsid w:val="002A2422"/>
    <w:rsid w:val="002A2489"/>
    <w:rsid w:val="002A275A"/>
    <w:rsid w:val="002A30CE"/>
    <w:rsid w:val="002A3192"/>
    <w:rsid w:val="002A339E"/>
    <w:rsid w:val="002A346F"/>
    <w:rsid w:val="002A3AF1"/>
    <w:rsid w:val="002A42B6"/>
    <w:rsid w:val="002A4492"/>
    <w:rsid w:val="002A4571"/>
    <w:rsid w:val="002A501B"/>
    <w:rsid w:val="002A59DA"/>
    <w:rsid w:val="002A5F8B"/>
    <w:rsid w:val="002A6192"/>
    <w:rsid w:val="002A6354"/>
    <w:rsid w:val="002A6ABC"/>
    <w:rsid w:val="002A7C8B"/>
    <w:rsid w:val="002B0385"/>
    <w:rsid w:val="002B1016"/>
    <w:rsid w:val="002B1059"/>
    <w:rsid w:val="002B16A2"/>
    <w:rsid w:val="002B1BF5"/>
    <w:rsid w:val="002B20EA"/>
    <w:rsid w:val="002B24DC"/>
    <w:rsid w:val="002B2888"/>
    <w:rsid w:val="002B2AE6"/>
    <w:rsid w:val="002B3563"/>
    <w:rsid w:val="002B35FF"/>
    <w:rsid w:val="002B3A6F"/>
    <w:rsid w:val="002B4250"/>
    <w:rsid w:val="002B50E2"/>
    <w:rsid w:val="002B52C2"/>
    <w:rsid w:val="002B5710"/>
    <w:rsid w:val="002B7DB8"/>
    <w:rsid w:val="002C0913"/>
    <w:rsid w:val="002C0F6E"/>
    <w:rsid w:val="002C1A0A"/>
    <w:rsid w:val="002C2268"/>
    <w:rsid w:val="002C22E6"/>
    <w:rsid w:val="002C2619"/>
    <w:rsid w:val="002C2EDB"/>
    <w:rsid w:val="002C3FDF"/>
    <w:rsid w:val="002C45E8"/>
    <w:rsid w:val="002C4A56"/>
    <w:rsid w:val="002C65B9"/>
    <w:rsid w:val="002C7E8D"/>
    <w:rsid w:val="002D01D4"/>
    <w:rsid w:val="002D0FBD"/>
    <w:rsid w:val="002D12A6"/>
    <w:rsid w:val="002D165F"/>
    <w:rsid w:val="002D17D7"/>
    <w:rsid w:val="002D1DDA"/>
    <w:rsid w:val="002D23D1"/>
    <w:rsid w:val="002D240B"/>
    <w:rsid w:val="002D2A38"/>
    <w:rsid w:val="002D2C74"/>
    <w:rsid w:val="002D333A"/>
    <w:rsid w:val="002D35BC"/>
    <w:rsid w:val="002D3AE1"/>
    <w:rsid w:val="002D3C5D"/>
    <w:rsid w:val="002D4153"/>
    <w:rsid w:val="002D4A2F"/>
    <w:rsid w:val="002D4FB6"/>
    <w:rsid w:val="002D59A3"/>
    <w:rsid w:val="002D635D"/>
    <w:rsid w:val="002D6CBD"/>
    <w:rsid w:val="002D72FC"/>
    <w:rsid w:val="002D7C09"/>
    <w:rsid w:val="002D7DCC"/>
    <w:rsid w:val="002D7E8E"/>
    <w:rsid w:val="002E06C9"/>
    <w:rsid w:val="002E0CBA"/>
    <w:rsid w:val="002E0FB6"/>
    <w:rsid w:val="002E2754"/>
    <w:rsid w:val="002E2839"/>
    <w:rsid w:val="002E478F"/>
    <w:rsid w:val="002E4A06"/>
    <w:rsid w:val="002E52E1"/>
    <w:rsid w:val="002E622E"/>
    <w:rsid w:val="002E62DD"/>
    <w:rsid w:val="002E6355"/>
    <w:rsid w:val="002E6790"/>
    <w:rsid w:val="002E6F32"/>
    <w:rsid w:val="002E7BB0"/>
    <w:rsid w:val="002F023D"/>
    <w:rsid w:val="002F07D7"/>
    <w:rsid w:val="002F0842"/>
    <w:rsid w:val="002F1CEF"/>
    <w:rsid w:val="002F2531"/>
    <w:rsid w:val="002F2A7A"/>
    <w:rsid w:val="002F2B4F"/>
    <w:rsid w:val="002F3715"/>
    <w:rsid w:val="002F42CB"/>
    <w:rsid w:val="002F58D5"/>
    <w:rsid w:val="002F59DF"/>
    <w:rsid w:val="002F6788"/>
    <w:rsid w:val="002F6E9F"/>
    <w:rsid w:val="002F715D"/>
    <w:rsid w:val="002F7700"/>
    <w:rsid w:val="002F7CA3"/>
    <w:rsid w:val="003003A4"/>
    <w:rsid w:val="00300439"/>
    <w:rsid w:val="00300909"/>
    <w:rsid w:val="003013EF"/>
    <w:rsid w:val="003022EB"/>
    <w:rsid w:val="0030300D"/>
    <w:rsid w:val="00304125"/>
    <w:rsid w:val="00305776"/>
    <w:rsid w:val="003066E3"/>
    <w:rsid w:val="00306D66"/>
    <w:rsid w:val="00306F77"/>
    <w:rsid w:val="00307436"/>
    <w:rsid w:val="00307629"/>
    <w:rsid w:val="00310429"/>
    <w:rsid w:val="00310A35"/>
    <w:rsid w:val="0031201A"/>
    <w:rsid w:val="00312398"/>
    <w:rsid w:val="003124B3"/>
    <w:rsid w:val="0031270D"/>
    <w:rsid w:val="00312B8C"/>
    <w:rsid w:val="00312E25"/>
    <w:rsid w:val="0031370B"/>
    <w:rsid w:val="00313909"/>
    <w:rsid w:val="003142AC"/>
    <w:rsid w:val="00314311"/>
    <w:rsid w:val="003154AF"/>
    <w:rsid w:val="00316CF5"/>
    <w:rsid w:val="003175CD"/>
    <w:rsid w:val="0031799E"/>
    <w:rsid w:val="00321380"/>
    <w:rsid w:val="00321686"/>
    <w:rsid w:val="00321A55"/>
    <w:rsid w:val="00322D00"/>
    <w:rsid w:val="00322F55"/>
    <w:rsid w:val="00322F5E"/>
    <w:rsid w:val="003233D2"/>
    <w:rsid w:val="0032355C"/>
    <w:rsid w:val="003235C8"/>
    <w:rsid w:val="00323BC5"/>
    <w:rsid w:val="00324750"/>
    <w:rsid w:val="003248AD"/>
    <w:rsid w:val="00324E8B"/>
    <w:rsid w:val="00325596"/>
    <w:rsid w:val="00326C1B"/>
    <w:rsid w:val="00326C8A"/>
    <w:rsid w:val="00327BEC"/>
    <w:rsid w:val="003307D8"/>
    <w:rsid w:val="00331918"/>
    <w:rsid w:val="003326AB"/>
    <w:rsid w:val="00333B21"/>
    <w:rsid w:val="00333D69"/>
    <w:rsid w:val="003343F7"/>
    <w:rsid w:val="003349F9"/>
    <w:rsid w:val="00334FFA"/>
    <w:rsid w:val="00335198"/>
    <w:rsid w:val="003352F4"/>
    <w:rsid w:val="0033534A"/>
    <w:rsid w:val="00335EF2"/>
    <w:rsid w:val="003361A3"/>
    <w:rsid w:val="003364E0"/>
    <w:rsid w:val="00336E61"/>
    <w:rsid w:val="00340494"/>
    <w:rsid w:val="00340890"/>
    <w:rsid w:val="0034111F"/>
    <w:rsid w:val="00341187"/>
    <w:rsid w:val="00341272"/>
    <w:rsid w:val="0034169C"/>
    <w:rsid w:val="00341DA8"/>
    <w:rsid w:val="00342BD4"/>
    <w:rsid w:val="00342F60"/>
    <w:rsid w:val="00343A36"/>
    <w:rsid w:val="00343BCD"/>
    <w:rsid w:val="003443C3"/>
    <w:rsid w:val="003447CE"/>
    <w:rsid w:val="003447D2"/>
    <w:rsid w:val="00344ABB"/>
    <w:rsid w:val="00345F47"/>
    <w:rsid w:val="00346420"/>
    <w:rsid w:val="00346513"/>
    <w:rsid w:val="00346ECF"/>
    <w:rsid w:val="0035007E"/>
    <w:rsid w:val="00350FAA"/>
    <w:rsid w:val="00351820"/>
    <w:rsid w:val="003519A4"/>
    <w:rsid w:val="00351B3D"/>
    <w:rsid w:val="00351D7D"/>
    <w:rsid w:val="00352622"/>
    <w:rsid w:val="00352F4D"/>
    <w:rsid w:val="00353289"/>
    <w:rsid w:val="003532F9"/>
    <w:rsid w:val="00353840"/>
    <w:rsid w:val="00353C09"/>
    <w:rsid w:val="00353EB2"/>
    <w:rsid w:val="00354170"/>
    <w:rsid w:val="00354639"/>
    <w:rsid w:val="00354970"/>
    <w:rsid w:val="00355040"/>
    <w:rsid w:val="00355148"/>
    <w:rsid w:val="0035562C"/>
    <w:rsid w:val="00355EDB"/>
    <w:rsid w:val="003569D2"/>
    <w:rsid w:val="00356B3A"/>
    <w:rsid w:val="00356C08"/>
    <w:rsid w:val="00357127"/>
    <w:rsid w:val="003577C4"/>
    <w:rsid w:val="00360312"/>
    <w:rsid w:val="003603AC"/>
    <w:rsid w:val="0036178F"/>
    <w:rsid w:val="003636AA"/>
    <w:rsid w:val="003642AB"/>
    <w:rsid w:val="00364809"/>
    <w:rsid w:val="0036576F"/>
    <w:rsid w:val="00365A46"/>
    <w:rsid w:val="00366713"/>
    <w:rsid w:val="0036699C"/>
    <w:rsid w:val="00367EFF"/>
    <w:rsid w:val="0037110E"/>
    <w:rsid w:val="00371AB2"/>
    <w:rsid w:val="0037228C"/>
    <w:rsid w:val="00373591"/>
    <w:rsid w:val="00373A77"/>
    <w:rsid w:val="00373F73"/>
    <w:rsid w:val="0037523F"/>
    <w:rsid w:val="00375C6D"/>
    <w:rsid w:val="00375CD9"/>
    <w:rsid w:val="003760DF"/>
    <w:rsid w:val="00376500"/>
    <w:rsid w:val="003777B7"/>
    <w:rsid w:val="00377B6B"/>
    <w:rsid w:val="0038021A"/>
    <w:rsid w:val="003806F0"/>
    <w:rsid w:val="003809C5"/>
    <w:rsid w:val="00380AAF"/>
    <w:rsid w:val="00380E66"/>
    <w:rsid w:val="00380E86"/>
    <w:rsid w:val="00381318"/>
    <w:rsid w:val="00381493"/>
    <w:rsid w:val="003838A5"/>
    <w:rsid w:val="00384107"/>
    <w:rsid w:val="003844BF"/>
    <w:rsid w:val="00384ECD"/>
    <w:rsid w:val="00384F39"/>
    <w:rsid w:val="00385384"/>
    <w:rsid w:val="00385EF6"/>
    <w:rsid w:val="0038689C"/>
    <w:rsid w:val="003869D9"/>
    <w:rsid w:val="00386ADE"/>
    <w:rsid w:val="003909D5"/>
    <w:rsid w:val="00390D69"/>
    <w:rsid w:val="00390DCB"/>
    <w:rsid w:val="00392D1D"/>
    <w:rsid w:val="003932C9"/>
    <w:rsid w:val="00393479"/>
    <w:rsid w:val="003934D2"/>
    <w:rsid w:val="00393BA3"/>
    <w:rsid w:val="00393DC3"/>
    <w:rsid w:val="003942AE"/>
    <w:rsid w:val="00394542"/>
    <w:rsid w:val="00394809"/>
    <w:rsid w:val="00395821"/>
    <w:rsid w:val="003962D1"/>
    <w:rsid w:val="003964DF"/>
    <w:rsid w:val="003965CF"/>
    <w:rsid w:val="00396C49"/>
    <w:rsid w:val="00396F24"/>
    <w:rsid w:val="00396F6C"/>
    <w:rsid w:val="003972FB"/>
    <w:rsid w:val="003975DE"/>
    <w:rsid w:val="00397668"/>
    <w:rsid w:val="003A03B8"/>
    <w:rsid w:val="003A0567"/>
    <w:rsid w:val="003A0B85"/>
    <w:rsid w:val="003A1A6E"/>
    <w:rsid w:val="003A1CA4"/>
    <w:rsid w:val="003A304C"/>
    <w:rsid w:val="003A3CFC"/>
    <w:rsid w:val="003A3E44"/>
    <w:rsid w:val="003A42A4"/>
    <w:rsid w:val="003A4D8A"/>
    <w:rsid w:val="003A5682"/>
    <w:rsid w:val="003A6739"/>
    <w:rsid w:val="003A686D"/>
    <w:rsid w:val="003A7161"/>
    <w:rsid w:val="003A7A7B"/>
    <w:rsid w:val="003A7C47"/>
    <w:rsid w:val="003B0078"/>
    <w:rsid w:val="003B0163"/>
    <w:rsid w:val="003B1C75"/>
    <w:rsid w:val="003B1FD4"/>
    <w:rsid w:val="003B26E8"/>
    <w:rsid w:val="003B312E"/>
    <w:rsid w:val="003B3974"/>
    <w:rsid w:val="003B486B"/>
    <w:rsid w:val="003B48F9"/>
    <w:rsid w:val="003B4C9B"/>
    <w:rsid w:val="003B5342"/>
    <w:rsid w:val="003B574A"/>
    <w:rsid w:val="003B5AEA"/>
    <w:rsid w:val="003B68AC"/>
    <w:rsid w:val="003B6B73"/>
    <w:rsid w:val="003B6F51"/>
    <w:rsid w:val="003B77B4"/>
    <w:rsid w:val="003B77BC"/>
    <w:rsid w:val="003C0A27"/>
    <w:rsid w:val="003C137C"/>
    <w:rsid w:val="003C2736"/>
    <w:rsid w:val="003C35F0"/>
    <w:rsid w:val="003C4E28"/>
    <w:rsid w:val="003C4F0B"/>
    <w:rsid w:val="003C5554"/>
    <w:rsid w:val="003C5A89"/>
    <w:rsid w:val="003C75A6"/>
    <w:rsid w:val="003C7695"/>
    <w:rsid w:val="003C797B"/>
    <w:rsid w:val="003D0795"/>
    <w:rsid w:val="003D0EF6"/>
    <w:rsid w:val="003D11EE"/>
    <w:rsid w:val="003D21D8"/>
    <w:rsid w:val="003D2476"/>
    <w:rsid w:val="003D247F"/>
    <w:rsid w:val="003D2A81"/>
    <w:rsid w:val="003D2B85"/>
    <w:rsid w:val="003D3DA0"/>
    <w:rsid w:val="003D3DB3"/>
    <w:rsid w:val="003D4045"/>
    <w:rsid w:val="003D4499"/>
    <w:rsid w:val="003D4FD1"/>
    <w:rsid w:val="003D55AF"/>
    <w:rsid w:val="003D56C6"/>
    <w:rsid w:val="003D6D36"/>
    <w:rsid w:val="003D7AF0"/>
    <w:rsid w:val="003D7D71"/>
    <w:rsid w:val="003E150A"/>
    <w:rsid w:val="003E183C"/>
    <w:rsid w:val="003E1CE8"/>
    <w:rsid w:val="003E2405"/>
    <w:rsid w:val="003E32A7"/>
    <w:rsid w:val="003E3A63"/>
    <w:rsid w:val="003E5E33"/>
    <w:rsid w:val="003E66B0"/>
    <w:rsid w:val="003E797A"/>
    <w:rsid w:val="003F1151"/>
    <w:rsid w:val="003F1AA8"/>
    <w:rsid w:val="003F2137"/>
    <w:rsid w:val="003F2FF1"/>
    <w:rsid w:val="003F3829"/>
    <w:rsid w:val="003F3F3C"/>
    <w:rsid w:val="003F4A13"/>
    <w:rsid w:val="003F5270"/>
    <w:rsid w:val="003F65D8"/>
    <w:rsid w:val="003F6A70"/>
    <w:rsid w:val="003F6AA1"/>
    <w:rsid w:val="003F71BA"/>
    <w:rsid w:val="003F7B89"/>
    <w:rsid w:val="003F7D07"/>
    <w:rsid w:val="0040037B"/>
    <w:rsid w:val="00400917"/>
    <w:rsid w:val="00401158"/>
    <w:rsid w:val="004012F7"/>
    <w:rsid w:val="00401996"/>
    <w:rsid w:val="00401A62"/>
    <w:rsid w:val="0040262F"/>
    <w:rsid w:val="00402A45"/>
    <w:rsid w:val="0040384A"/>
    <w:rsid w:val="00403C59"/>
    <w:rsid w:val="0040492D"/>
    <w:rsid w:val="004049CE"/>
    <w:rsid w:val="00404B0D"/>
    <w:rsid w:val="004053D7"/>
    <w:rsid w:val="00405B8C"/>
    <w:rsid w:val="0040667D"/>
    <w:rsid w:val="00406775"/>
    <w:rsid w:val="004068AE"/>
    <w:rsid w:val="00406C02"/>
    <w:rsid w:val="00406F6F"/>
    <w:rsid w:val="00407062"/>
    <w:rsid w:val="00407293"/>
    <w:rsid w:val="00407731"/>
    <w:rsid w:val="004079AA"/>
    <w:rsid w:val="00407C64"/>
    <w:rsid w:val="00407EA4"/>
    <w:rsid w:val="00410021"/>
    <w:rsid w:val="004100C9"/>
    <w:rsid w:val="00410C38"/>
    <w:rsid w:val="00410E24"/>
    <w:rsid w:val="00410E30"/>
    <w:rsid w:val="00411089"/>
    <w:rsid w:val="00411EFE"/>
    <w:rsid w:val="00411FED"/>
    <w:rsid w:val="00412333"/>
    <w:rsid w:val="00412A82"/>
    <w:rsid w:val="00412D55"/>
    <w:rsid w:val="00412D5F"/>
    <w:rsid w:val="004131B1"/>
    <w:rsid w:val="004134A0"/>
    <w:rsid w:val="00413DDD"/>
    <w:rsid w:val="00414673"/>
    <w:rsid w:val="00414BA8"/>
    <w:rsid w:val="00415A18"/>
    <w:rsid w:val="00416367"/>
    <w:rsid w:val="004168CB"/>
    <w:rsid w:val="00416EBB"/>
    <w:rsid w:val="004171D5"/>
    <w:rsid w:val="00417CCC"/>
    <w:rsid w:val="00420B9A"/>
    <w:rsid w:val="00421276"/>
    <w:rsid w:val="004213DA"/>
    <w:rsid w:val="00421728"/>
    <w:rsid w:val="00422582"/>
    <w:rsid w:val="00422DE7"/>
    <w:rsid w:val="004231A1"/>
    <w:rsid w:val="00423500"/>
    <w:rsid w:val="00423FE3"/>
    <w:rsid w:val="0042486F"/>
    <w:rsid w:val="00424D49"/>
    <w:rsid w:val="00425E3B"/>
    <w:rsid w:val="00425F30"/>
    <w:rsid w:val="00426B4E"/>
    <w:rsid w:val="004270E0"/>
    <w:rsid w:val="00427E02"/>
    <w:rsid w:val="00430096"/>
    <w:rsid w:val="00431540"/>
    <w:rsid w:val="004328F3"/>
    <w:rsid w:val="00432EED"/>
    <w:rsid w:val="0043332C"/>
    <w:rsid w:val="004339AA"/>
    <w:rsid w:val="00434196"/>
    <w:rsid w:val="004344E2"/>
    <w:rsid w:val="00435248"/>
    <w:rsid w:val="00435446"/>
    <w:rsid w:val="00435AB6"/>
    <w:rsid w:val="00436B6B"/>
    <w:rsid w:val="00437732"/>
    <w:rsid w:val="004403DA"/>
    <w:rsid w:val="0044046A"/>
    <w:rsid w:val="00440622"/>
    <w:rsid w:val="00440685"/>
    <w:rsid w:val="004406D1"/>
    <w:rsid w:val="00440C53"/>
    <w:rsid w:val="0044147F"/>
    <w:rsid w:val="00441F0D"/>
    <w:rsid w:val="00442610"/>
    <w:rsid w:val="00442A3F"/>
    <w:rsid w:val="00442BA9"/>
    <w:rsid w:val="0044304A"/>
    <w:rsid w:val="0044345A"/>
    <w:rsid w:val="0044358E"/>
    <w:rsid w:val="00443B57"/>
    <w:rsid w:val="004447EF"/>
    <w:rsid w:val="00444F8A"/>
    <w:rsid w:val="0044553F"/>
    <w:rsid w:val="00446929"/>
    <w:rsid w:val="0044706E"/>
    <w:rsid w:val="00447390"/>
    <w:rsid w:val="00447E6A"/>
    <w:rsid w:val="00447FAD"/>
    <w:rsid w:val="004502AD"/>
    <w:rsid w:val="00451065"/>
    <w:rsid w:val="00452993"/>
    <w:rsid w:val="00453B2F"/>
    <w:rsid w:val="0045405E"/>
    <w:rsid w:val="00454077"/>
    <w:rsid w:val="00454492"/>
    <w:rsid w:val="0045451D"/>
    <w:rsid w:val="004547B6"/>
    <w:rsid w:val="00454EE0"/>
    <w:rsid w:val="00455187"/>
    <w:rsid w:val="004553AB"/>
    <w:rsid w:val="00455A7A"/>
    <w:rsid w:val="00455C75"/>
    <w:rsid w:val="0045630A"/>
    <w:rsid w:val="00457290"/>
    <w:rsid w:val="00457D75"/>
    <w:rsid w:val="004613FE"/>
    <w:rsid w:val="004615BC"/>
    <w:rsid w:val="004621AA"/>
    <w:rsid w:val="00462A80"/>
    <w:rsid w:val="00462AAD"/>
    <w:rsid w:val="00462F26"/>
    <w:rsid w:val="00463143"/>
    <w:rsid w:val="0046345E"/>
    <w:rsid w:val="00463544"/>
    <w:rsid w:val="00463A0D"/>
    <w:rsid w:val="00463B7C"/>
    <w:rsid w:val="0046628B"/>
    <w:rsid w:val="00466BAE"/>
    <w:rsid w:val="00466E82"/>
    <w:rsid w:val="004701A2"/>
    <w:rsid w:val="00470ABD"/>
    <w:rsid w:val="00471338"/>
    <w:rsid w:val="00471A21"/>
    <w:rsid w:val="00471AEE"/>
    <w:rsid w:val="00471C0A"/>
    <w:rsid w:val="00471C79"/>
    <w:rsid w:val="00471CC9"/>
    <w:rsid w:val="004730F3"/>
    <w:rsid w:val="00473E95"/>
    <w:rsid w:val="00473F35"/>
    <w:rsid w:val="00474861"/>
    <w:rsid w:val="004749B7"/>
    <w:rsid w:val="00475641"/>
    <w:rsid w:val="00475E44"/>
    <w:rsid w:val="00476573"/>
    <w:rsid w:val="004770BD"/>
    <w:rsid w:val="00477282"/>
    <w:rsid w:val="00477588"/>
    <w:rsid w:val="00477E0D"/>
    <w:rsid w:val="004810A5"/>
    <w:rsid w:val="0048115E"/>
    <w:rsid w:val="00481778"/>
    <w:rsid w:val="00481BD1"/>
    <w:rsid w:val="0048226D"/>
    <w:rsid w:val="004839BA"/>
    <w:rsid w:val="00484C51"/>
    <w:rsid w:val="004852C6"/>
    <w:rsid w:val="0048554F"/>
    <w:rsid w:val="004874E4"/>
    <w:rsid w:val="00487511"/>
    <w:rsid w:val="00490760"/>
    <w:rsid w:val="00490A2D"/>
    <w:rsid w:val="00491BF2"/>
    <w:rsid w:val="00491D1F"/>
    <w:rsid w:val="0049203E"/>
    <w:rsid w:val="00492201"/>
    <w:rsid w:val="00492EFF"/>
    <w:rsid w:val="00493706"/>
    <w:rsid w:val="0049380E"/>
    <w:rsid w:val="004938EA"/>
    <w:rsid w:val="004940A3"/>
    <w:rsid w:val="004943B7"/>
    <w:rsid w:val="00494CD1"/>
    <w:rsid w:val="00494D83"/>
    <w:rsid w:val="0049503E"/>
    <w:rsid w:val="00495045"/>
    <w:rsid w:val="004956C6"/>
    <w:rsid w:val="00495801"/>
    <w:rsid w:val="0049580E"/>
    <w:rsid w:val="00495DF1"/>
    <w:rsid w:val="00495F2E"/>
    <w:rsid w:val="0049654E"/>
    <w:rsid w:val="00496BA0"/>
    <w:rsid w:val="004973FE"/>
    <w:rsid w:val="004A015F"/>
    <w:rsid w:val="004A0F2C"/>
    <w:rsid w:val="004A1012"/>
    <w:rsid w:val="004A1723"/>
    <w:rsid w:val="004A1848"/>
    <w:rsid w:val="004A1D68"/>
    <w:rsid w:val="004A1F8F"/>
    <w:rsid w:val="004A235C"/>
    <w:rsid w:val="004A2CE1"/>
    <w:rsid w:val="004A3FE7"/>
    <w:rsid w:val="004A469B"/>
    <w:rsid w:val="004A4DEA"/>
    <w:rsid w:val="004A6260"/>
    <w:rsid w:val="004A62E2"/>
    <w:rsid w:val="004A6F75"/>
    <w:rsid w:val="004A7247"/>
    <w:rsid w:val="004A746A"/>
    <w:rsid w:val="004A7807"/>
    <w:rsid w:val="004A7AF0"/>
    <w:rsid w:val="004A7CA4"/>
    <w:rsid w:val="004B02BB"/>
    <w:rsid w:val="004B130D"/>
    <w:rsid w:val="004B16D8"/>
    <w:rsid w:val="004B1EC1"/>
    <w:rsid w:val="004B2328"/>
    <w:rsid w:val="004B278E"/>
    <w:rsid w:val="004B3DD8"/>
    <w:rsid w:val="004B477E"/>
    <w:rsid w:val="004B4E28"/>
    <w:rsid w:val="004B4E62"/>
    <w:rsid w:val="004B54C3"/>
    <w:rsid w:val="004B679E"/>
    <w:rsid w:val="004B742D"/>
    <w:rsid w:val="004B7A60"/>
    <w:rsid w:val="004C05F1"/>
    <w:rsid w:val="004C08CE"/>
    <w:rsid w:val="004C15A5"/>
    <w:rsid w:val="004C1EEB"/>
    <w:rsid w:val="004C2416"/>
    <w:rsid w:val="004C285D"/>
    <w:rsid w:val="004C3B87"/>
    <w:rsid w:val="004C3C22"/>
    <w:rsid w:val="004C4E6B"/>
    <w:rsid w:val="004C5163"/>
    <w:rsid w:val="004C550E"/>
    <w:rsid w:val="004C59F0"/>
    <w:rsid w:val="004C64AE"/>
    <w:rsid w:val="004C6CE2"/>
    <w:rsid w:val="004C71BE"/>
    <w:rsid w:val="004C7E58"/>
    <w:rsid w:val="004D115B"/>
    <w:rsid w:val="004D18C2"/>
    <w:rsid w:val="004D1E41"/>
    <w:rsid w:val="004D1EAF"/>
    <w:rsid w:val="004D2154"/>
    <w:rsid w:val="004D229F"/>
    <w:rsid w:val="004D2756"/>
    <w:rsid w:val="004D2B10"/>
    <w:rsid w:val="004D2D9B"/>
    <w:rsid w:val="004D3921"/>
    <w:rsid w:val="004D3CBB"/>
    <w:rsid w:val="004D4239"/>
    <w:rsid w:val="004D4A2C"/>
    <w:rsid w:val="004D4E9B"/>
    <w:rsid w:val="004D53E7"/>
    <w:rsid w:val="004D5629"/>
    <w:rsid w:val="004D5A18"/>
    <w:rsid w:val="004D5FDB"/>
    <w:rsid w:val="004D67B1"/>
    <w:rsid w:val="004D6B91"/>
    <w:rsid w:val="004D6CE8"/>
    <w:rsid w:val="004D6ED1"/>
    <w:rsid w:val="004D7EB7"/>
    <w:rsid w:val="004E0CDA"/>
    <w:rsid w:val="004E338D"/>
    <w:rsid w:val="004E4D97"/>
    <w:rsid w:val="004E5F0E"/>
    <w:rsid w:val="004E5F11"/>
    <w:rsid w:val="004E5FE5"/>
    <w:rsid w:val="004E62F9"/>
    <w:rsid w:val="004E6644"/>
    <w:rsid w:val="004E66B0"/>
    <w:rsid w:val="004E6B46"/>
    <w:rsid w:val="004E6CF9"/>
    <w:rsid w:val="004E6DC3"/>
    <w:rsid w:val="004F0B40"/>
    <w:rsid w:val="004F100F"/>
    <w:rsid w:val="004F110E"/>
    <w:rsid w:val="004F2333"/>
    <w:rsid w:val="004F3AEC"/>
    <w:rsid w:val="004F3C7F"/>
    <w:rsid w:val="004F3EC5"/>
    <w:rsid w:val="004F476D"/>
    <w:rsid w:val="004F4A63"/>
    <w:rsid w:val="004F4DCE"/>
    <w:rsid w:val="004F54E6"/>
    <w:rsid w:val="004F57D5"/>
    <w:rsid w:val="004F658B"/>
    <w:rsid w:val="004F7279"/>
    <w:rsid w:val="004FE8BD"/>
    <w:rsid w:val="00500061"/>
    <w:rsid w:val="0050142F"/>
    <w:rsid w:val="005018CA"/>
    <w:rsid w:val="005028B1"/>
    <w:rsid w:val="00502CAB"/>
    <w:rsid w:val="00504473"/>
    <w:rsid w:val="00505AB8"/>
    <w:rsid w:val="00506562"/>
    <w:rsid w:val="005066E4"/>
    <w:rsid w:val="00506FC8"/>
    <w:rsid w:val="005072DD"/>
    <w:rsid w:val="005079DE"/>
    <w:rsid w:val="00507C1E"/>
    <w:rsid w:val="00507E63"/>
    <w:rsid w:val="005101E2"/>
    <w:rsid w:val="005102D8"/>
    <w:rsid w:val="005105D6"/>
    <w:rsid w:val="00511168"/>
    <w:rsid w:val="0051150E"/>
    <w:rsid w:val="00512666"/>
    <w:rsid w:val="00512DCE"/>
    <w:rsid w:val="005137C3"/>
    <w:rsid w:val="00513AD6"/>
    <w:rsid w:val="00514802"/>
    <w:rsid w:val="005152F8"/>
    <w:rsid w:val="005159C9"/>
    <w:rsid w:val="00515D31"/>
    <w:rsid w:val="00517682"/>
    <w:rsid w:val="00520233"/>
    <w:rsid w:val="00520463"/>
    <w:rsid w:val="005211AE"/>
    <w:rsid w:val="0052148F"/>
    <w:rsid w:val="00523612"/>
    <w:rsid w:val="00523D26"/>
    <w:rsid w:val="00524339"/>
    <w:rsid w:val="00524F93"/>
    <w:rsid w:val="00524FD0"/>
    <w:rsid w:val="005251E7"/>
    <w:rsid w:val="00525ABC"/>
    <w:rsid w:val="00525EF5"/>
    <w:rsid w:val="005266D2"/>
    <w:rsid w:val="0052681F"/>
    <w:rsid w:val="00526E17"/>
    <w:rsid w:val="005271AA"/>
    <w:rsid w:val="00527481"/>
    <w:rsid w:val="0052759B"/>
    <w:rsid w:val="00527A7D"/>
    <w:rsid w:val="00527B54"/>
    <w:rsid w:val="00530400"/>
    <w:rsid w:val="0053053C"/>
    <w:rsid w:val="005306E1"/>
    <w:rsid w:val="00531A1D"/>
    <w:rsid w:val="00531DC5"/>
    <w:rsid w:val="0053291F"/>
    <w:rsid w:val="00532BD0"/>
    <w:rsid w:val="0053316F"/>
    <w:rsid w:val="00533664"/>
    <w:rsid w:val="00534264"/>
    <w:rsid w:val="00534C9A"/>
    <w:rsid w:val="00534F9B"/>
    <w:rsid w:val="00535F38"/>
    <w:rsid w:val="005365A4"/>
    <w:rsid w:val="0053702F"/>
    <w:rsid w:val="00537C8D"/>
    <w:rsid w:val="0054182B"/>
    <w:rsid w:val="005418DC"/>
    <w:rsid w:val="00542B92"/>
    <w:rsid w:val="00542CE7"/>
    <w:rsid w:val="0054321F"/>
    <w:rsid w:val="005440C8"/>
    <w:rsid w:val="00544EBA"/>
    <w:rsid w:val="00544FC8"/>
    <w:rsid w:val="0054681C"/>
    <w:rsid w:val="00546D1F"/>
    <w:rsid w:val="00547486"/>
    <w:rsid w:val="00547691"/>
    <w:rsid w:val="005477CC"/>
    <w:rsid w:val="00547FBC"/>
    <w:rsid w:val="00550232"/>
    <w:rsid w:val="0055069F"/>
    <w:rsid w:val="005508C6"/>
    <w:rsid w:val="00550AD1"/>
    <w:rsid w:val="00550B04"/>
    <w:rsid w:val="00550EC9"/>
    <w:rsid w:val="005515B4"/>
    <w:rsid w:val="00552EB0"/>
    <w:rsid w:val="00553087"/>
    <w:rsid w:val="0055377B"/>
    <w:rsid w:val="00555417"/>
    <w:rsid w:val="00555496"/>
    <w:rsid w:val="005556F5"/>
    <w:rsid w:val="00556367"/>
    <w:rsid w:val="005569EF"/>
    <w:rsid w:val="005576AC"/>
    <w:rsid w:val="005612C7"/>
    <w:rsid w:val="00561469"/>
    <w:rsid w:val="00561D20"/>
    <w:rsid w:val="00562632"/>
    <w:rsid w:val="005628D2"/>
    <w:rsid w:val="00562DF4"/>
    <w:rsid w:val="00562DFB"/>
    <w:rsid w:val="00563496"/>
    <w:rsid w:val="0056388D"/>
    <w:rsid w:val="00563C0C"/>
    <w:rsid w:val="00564B4C"/>
    <w:rsid w:val="00565960"/>
    <w:rsid w:val="00565BFC"/>
    <w:rsid w:val="00565E92"/>
    <w:rsid w:val="00566C60"/>
    <w:rsid w:val="005677EC"/>
    <w:rsid w:val="0057049C"/>
    <w:rsid w:val="005706BC"/>
    <w:rsid w:val="005727E6"/>
    <w:rsid w:val="00572F00"/>
    <w:rsid w:val="00573035"/>
    <w:rsid w:val="00573A56"/>
    <w:rsid w:val="00573AF0"/>
    <w:rsid w:val="00574041"/>
    <w:rsid w:val="005747B5"/>
    <w:rsid w:val="005747EE"/>
    <w:rsid w:val="0057498B"/>
    <w:rsid w:val="00574CEC"/>
    <w:rsid w:val="00574F4F"/>
    <w:rsid w:val="00575365"/>
    <w:rsid w:val="0057539A"/>
    <w:rsid w:val="00575456"/>
    <w:rsid w:val="0057587B"/>
    <w:rsid w:val="00575FB1"/>
    <w:rsid w:val="00576752"/>
    <w:rsid w:val="005769E3"/>
    <w:rsid w:val="00576B9A"/>
    <w:rsid w:val="00577082"/>
    <w:rsid w:val="00577D6B"/>
    <w:rsid w:val="005804CF"/>
    <w:rsid w:val="00580616"/>
    <w:rsid w:val="005807FF"/>
    <w:rsid w:val="00580EEB"/>
    <w:rsid w:val="0058156F"/>
    <w:rsid w:val="0058373A"/>
    <w:rsid w:val="00583C6B"/>
    <w:rsid w:val="00583D19"/>
    <w:rsid w:val="0058470E"/>
    <w:rsid w:val="0058533F"/>
    <w:rsid w:val="005859A7"/>
    <w:rsid w:val="00585DAE"/>
    <w:rsid w:val="00586080"/>
    <w:rsid w:val="005867BF"/>
    <w:rsid w:val="00586943"/>
    <w:rsid w:val="005878C0"/>
    <w:rsid w:val="00590D08"/>
    <w:rsid w:val="0059100F"/>
    <w:rsid w:val="0059148A"/>
    <w:rsid w:val="0059193F"/>
    <w:rsid w:val="00592FDD"/>
    <w:rsid w:val="00594168"/>
    <w:rsid w:val="00594C5A"/>
    <w:rsid w:val="00594D65"/>
    <w:rsid w:val="00594FEE"/>
    <w:rsid w:val="00595848"/>
    <w:rsid w:val="005959FD"/>
    <w:rsid w:val="00596459"/>
    <w:rsid w:val="00596680"/>
    <w:rsid w:val="00597F1B"/>
    <w:rsid w:val="005A04A5"/>
    <w:rsid w:val="005A11ED"/>
    <w:rsid w:val="005A25D9"/>
    <w:rsid w:val="005A28A0"/>
    <w:rsid w:val="005A2C46"/>
    <w:rsid w:val="005A2DE6"/>
    <w:rsid w:val="005A3374"/>
    <w:rsid w:val="005A3CDF"/>
    <w:rsid w:val="005A4002"/>
    <w:rsid w:val="005A4BCA"/>
    <w:rsid w:val="005A4C9A"/>
    <w:rsid w:val="005A65A8"/>
    <w:rsid w:val="005A76D3"/>
    <w:rsid w:val="005A77E7"/>
    <w:rsid w:val="005A78EC"/>
    <w:rsid w:val="005A7ABD"/>
    <w:rsid w:val="005B07D4"/>
    <w:rsid w:val="005B0950"/>
    <w:rsid w:val="005B0A49"/>
    <w:rsid w:val="005B0C6E"/>
    <w:rsid w:val="005B0E6D"/>
    <w:rsid w:val="005B101F"/>
    <w:rsid w:val="005B1053"/>
    <w:rsid w:val="005B127E"/>
    <w:rsid w:val="005B246E"/>
    <w:rsid w:val="005B31E8"/>
    <w:rsid w:val="005B381C"/>
    <w:rsid w:val="005B428F"/>
    <w:rsid w:val="005B590B"/>
    <w:rsid w:val="005B66C5"/>
    <w:rsid w:val="005B6C90"/>
    <w:rsid w:val="005B77B4"/>
    <w:rsid w:val="005B7D05"/>
    <w:rsid w:val="005BBC0D"/>
    <w:rsid w:val="005C0320"/>
    <w:rsid w:val="005C06EA"/>
    <w:rsid w:val="005C0BB4"/>
    <w:rsid w:val="005C194A"/>
    <w:rsid w:val="005C1EA2"/>
    <w:rsid w:val="005C1F38"/>
    <w:rsid w:val="005C236F"/>
    <w:rsid w:val="005C2D01"/>
    <w:rsid w:val="005C3408"/>
    <w:rsid w:val="005C3B77"/>
    <w:rsid w:val="005C46E2"/>
    <w:rsid w:val="005C4EC5"/>
    <w:rsid w:val="005C583C"/>
    <w:rsid w:val="005C6195"/>
    <w:rsid w:val="005C6EE6"/>
    <w:rsid w:val="005C7310"/>
    <w:rsid w:val="005C7517"/>
    <w:rsid w:val="005C7700"/>
    <w:rsid w:val="005D12B7"/>
    <w:rsid w:val="005D200E"/>
    <w:rsid w:val="005D2493"/>
    <w:rsid w:val="005D2748"/>
    <w:rsid w:val="005D29E9"/>
    <w:rsid w:val="005D30B8"/>
    <w:rsid w:val="005D3272"/>
    <w:rsid w:val="005D3B4D"/>
    <w:rsid w:val="005D40A0"/>
    <w:rsid w:val="005D44F3"/>
    <w:rsid w:val="005D4ABB"/>
    <w:rsid w:val="005D4B1C"/>
    <w:rsid w:val="005D626A"/>
    <w:rsid w:val="005E039A"/>
    <w:rsid w:val="005E3F80"/>
    <w:rsid w:val="005E3FAC"/>
    <w:rsid w:val="005E54C8"/>
    <w:rsid w:val="005E5FFA"/>
    <w:rsid w:val="005E62CD"/>
    <w:rsid w:val="005E6440"/>
    <w:rsid w:val="005E657A"/>
    <w:rsid w:val="005E6F59"/>
    <w:rsid w:val="005F0FD6"/>
    <w:rsid w:val="005F18F4"/>
    <w:rsid w:val="005F20DE"/>
    <w:rsid w:val="005F2547"/>
    <w:rsid w:val="005F2DCF"/>
    <w:rsid w:val="005F30B8"/>
    <w:rsid w:val="005F3394"/>
    <w:rsid w:val="005F45DA"/>
    <w:rsid w:val="005F488F"/>
    <w:rsid w:val="005F49A2"/>
    <w:rsid w:val="005F4BAC"/>
    <w:rsid w:val="005F5F36"/>
    <w:rsid w:val="005F75F2"/>
    <w:rsid w:val="006008E2"/>
    <w:rsid w:val="00600EB5"/>
    <w:rsid w:val="006017B3"/>
    <w:rsid w:val="006019DE"/>
    <w:rsid w:val="00601ED7"/>
    <w:rsid w:val="00602F73"/>
    <w:rsid w:val="00603996"/>
    <w:rsid w:val="0060403E"/>
    <w:rsid w:val="00604475"/>
    <w:rsid w:val="0060598E"/>
    <w:rsid w:val="00605ABC"/>
    <w:rsid w:val="00605E73"/>
    <w:rsid w:val="00605FD8"/>
    <w:rsid w:val="00610026"/>
    <w:rsid w:val="006105C9"/>
    <w:rsid w:val="00610F2B"/>
    <w:rsid w:val="00611B94"/>
    <w:rsid w:val="00613E5C"/>
    <w:rsid w:val="00614FCA"/>
    <w:rsid w:val="00615204"/>
    <w:rsid w:val="00615420"/>
    <w:rsid w:val="006162F5"/>
    <w:rsid w:val="00616958"/>
    <w:rsid w:val="00617635"/>
    <w:rsid w:val="00617748"/>
    <w:rsid w:val="00617DC2"/>
    <w:rsid w:val="00620C24"/>
    <w:rsid w:val="00620D97"/>
    <w:rsid w:val="00621058"/>
    <w:rsid w:val="006221E2"/>
    <w:rsid w:val="00622BAC"/>
    <w:rsid w:val="00622BED"/>
    <w:rsid w:val="00622CF2"/>
    <w:rsid w:val="006233B4"/>
    <w:rsid w:val="0062374F"/>
    <w:rsid w:val="0062389D"/>
    <w:rsid w:val="00624EEB"/>
    <w:rsid w:val="006257D9"/>
    <w:rsid w:val="006258B4"/>
    <w:rsid w:val="00626A3E"/>
    <w:rsid w:val="00626B86"/>
    <w:rsid w:val="00626C9A"/>
    <w:rsid w:val="0062747F"/>
    <w:rsid w:val="00627512"/>
    <w:rsid w:val="0063007B"/>
    <w:rsid w:val="0063031C"/>
    <w:rsid w:val="006305B9"/>
    <w:rsid w:val="00630A57"/>
    <w:rsid w:val="006310C0"/>
    <w:rsid w:val="00631510"/>
    <w:rsid w:val="00632214"/>
    <w:rsid w:val="00632B7E"/>
    <w:rsid w:val="00632CA5"/>
    <w:rsid w:val="00632CAD"/>
    <w:rsid w:val="00632CCD"/>
    <w:rsid w:val="006332C5"/>
    <w:rsid w:val="00633360"/>
    <w:rsid w:val="006333CA"/>
    <w:rsid w:val="0063399F"/>
    <w:rsid w:val="006341AA"/>
    <w:rsid w:val="006344D9"/>
    <w:rsid w:val="006346AB"/>
    <w:rsid w:val="00634E48"/>
    <w:rsid w:val="006359AF"/>
    <w:rsid w:val="006367A4"/>
    <w:rsid w:val="00636EBF"/>
    <w:rsid w:val="006372B3"/>
    <w:rsid w:val="006379CF"/>
    <w:rsid w:val="00637A99"/>
    <w:rsid w:val="006402BC"/>
    <w:rsid w:val="00640F3E"/>
    <w:rsid w:val="006417D2"/>
    <w:rsid w:val="00641FC1"/>
    <w:rsid w:val="006425A1"/>
    <w:rsid w:val="00643076"/>
    <w:rsid w:val="0064415B"/>
    <w:rsid w:val="0064444D"/>
    <w:rsid w:val="00644FAB"/>
    <w:rsid w:val="0064568A"/>
    <w:rsid w:val="00645C67"/>
    <w:rsid w:val="006460DB"/>
    <w:rsid w:val="00647A62"/>
    <w:rsid w:val="00650642"/>
    <w:rsid w:val="00650847"/>
    <w:rsid w:val="00650F13"/>
    <w:rsid w:val="00650F1E"/>
    <w:rsid w:val="00651998"/>
    <w:rsid w:val="00651B3C"/>
    <w:rsid w:val="0065241C"/>
    <w:rsid w:val="0065317D"/>
    <w:rsid w:val="0065359B"/>
    <w:rsid w:val="006544F1"/>
    <w:rsid w:val="00654EB1"/>
    <w:rsid w:val="00655EC0"/>
    <w:rsid w:val="00657432"/>
    <w:rsid w:val="006578DD"/>
    <w:rsid w:val="00657A62"/>
    <w:rsid w:val="00657CE2"/>
    <w:rsid w:val="00657FCA"/>
    <w:rsid w:val="00660291"/>
    <w:rsid w:val="00660B68"/>
    <w:rsid w:val="00661145"/>
    <w:rsid w:val="00661284"/>
    <w:rsid w:val="006612C3"/>
    <w:rsid w:val="00661503"/>
    <w:rsid w:val="006616DB"/>
    <w:rsid w:val="0066204D"/>
    <w:rsid w:val="00663441"/>
    <w:rsid w:val="0066363A"/>
    <w:rsid w:val="00663BA1"/>
    <w:rsid w:val="00664A33"/>
    <w:rsid w:val="00664E80"/>
    <w:rsid w:val="006654FF"/>
    <w:rsid w:val="00665987"/>
    <w:rsid w:val="00665D19"/>
    <w:rsid w:val="00665F93"/>
    <w:rsid w:val="0066614D"/>
    <w:rsid w:val="006674CB"/>
    <w:rsid w:val="00667CF7"/>
    <w:rsid w:val="00670365"/>
    <w:rsid w:val="0067043B"/>
    <w:rsid w:val="0067181E"/>
    <w:rsid w:val="0067265E"/>
    <w:rsid w:val="00672BBF"/>
    <w:rsid w:val="00672D53"/>
    <w:rsid w:val="00672F2D"/>
    <w:rsid w:val="00672F5B"/>
    <w:rsid w:val="006739FB"/>
    <w:rsid w:val="00673C74"/>
    <w:rsid w:val="0067478D"/>
    <w:rsid w:val="006748AD"/>
    <w:rsid w:val="00674EB8"/>
    <w:rsid w:val="0067574C"/>
    <w:rsid w:val="00675A30"/>
    <w:rsid w:val="00675CC0"/>
    <w:rsid w:val="006762D8"/>
    <w:rsid w:val="006765FD"/>
    <w:rsid w:val="006779A6"/>
    <w:rsid w:val="00680915"/>
    <w:rsid w:val="006809F5"/>
    <w:rsid w:val="00680FC7"/>
    <w:rsid w:val="00681109"/>
    <w:rsid w:val="006813B0"/>
    <w:rsid w:val="006828E2"/>
    <w:rsid w:val="006828F4"/>
    <w:rsid w:val="00682BE0"/>
    <w:rsid w:val="00683181"/>
    <w:rsid w:val="0068370C"/>
    <w:rsid w:val="00684639"/>
    <w:rsid w:val="00684EC0"/>
    <w:rsid w:val="006851E9"/>
    <w:rsid w:val="00685817"/>
    <w:rsid w:val="00686D89"/>
    <w:rsid w:val="00687F60"/>
    <w:rsid w:val="006900C7"/>
    <w:rsid w:val="00690FA7"/>
    <w:rsid w:val="006915CA"/>
    <w:rsid w:val="00691660"/>
    <w:rsid w:val="0069196A"/>
    <w:rsid w:val="00691AA0"/>
    <w:rsid w:val="00692288"/>
    <w:rsid w:val="00694436"/>
    <w:rsid w:val="006961B9"/>
    <w:rsid w:val="00696536"/>
    <w:rsid w:val="00696BCA"/>
    <w:rsid w:val="00697F57"/>
    <w:rsid w:val="006A0722"/>
    <w:rsid w:val="006A0A3D"/>
    <w:rsid w:val="006A0C8E"/>
    <w:rsid w:val="006A1203"/>
    <w:rsid w:val="006A1430"/>
    <w:rsid w:val="006A15EE"/>
    <w:rsid w:val="006A173D"/>
    <w:rsid w:val="006A1AF1"/>
    <w:rsid w:val="006A1D82"/>
    <w:rsid w:val="006A1DD2"/>
    <w:rsid w:val="006A2BAD"/>
    <w:rsid w:val="006A318B"/>
    <w:rsid w:val="006A3336"/>
    <w:rsid w:val="006A3572"/>
    <w:rsid w:val="006A39FC"/>
    <w:rsid w:val="006A3C40"/>
    <w:rsid w:val="006A4793"/>
    <w:rsid w:val="006A47C4"/>
    <w:rsid w:val="006A497C"/>
    <w:rsid w:val="006A53CD"/>
    <w:rsid w:val="006A5B52"/>
    <w:rsid w:val="006A60FF"/>
    <w:rsid w:val="006A628A"/>
    <w:rsid w:val="006A6942"/>
    <w:rsid w:val="006A6FB0"/>
    <w:rsid w:val="006A7022"/>
    <w:rsid w:val="006A7182"/>
    <w:rsid w:val="006A71BC"/>
    <w:rsid w:val="006A7563"/>
    <w:rsid w:val="006A761D"/>
    <w:rsid w:val="006A7FA5"/>
    <w:rsid w:val="006B008B"/>
    <w:rsid w:val="006B048A"/>
    <w:rsid w:val="006B0875"/>
    <w:rsid w:val="006B18B8"/>
    <w:rsid w:val="006B1E2E"/>
    <w:rsid w:val="006B278F"/>
    <w:rsid w:val="006B2DF4"/>
    <w:rsid w:val="006B354A"/>
    <w:rsid w:val="006B3585"/>
    <w:rsid w:val="006B36FD"/>
    <w:rsid w:val="006B4EF6"/>
    <w:rsid w:val="006B4F88"/>
    <w:rsid w:val="006B5398"/>
    <w:rsid w:val="006B744C"/>
    <w:rsid w:val="006B76D3"/>
    <w:rsid w:val="006B7C02"/>
    <w:rsid w:val="006B7E0C"/>
    <w:rsid w:val="006B7E97"/>
    <w:rsid w:val="006C06DC"/>
    <w:rsid w:val="006C07C6"/>
    <w:rsid w:val="006C0823"/>
    <w:rsid w:val="006C1CAA"/>
    <w:rsid w:val="006C2DA0"/>
    <w:rsid w:val="006C3155"/>
    <w:rsid w:val="006C33F8"/>
    <w:rsid w:val="006C38B5"/>
    <w:rsid w:val="006C3C66"/>
    <w:rsid w:val="006C3D80"/>
    <w:rsid w:val="006C4449"/>
    <w:rsid w:val="006C44BD"/>
    <w:rsid w:val="006C54CC"/>
    <w:rsid w:val="006C591D"/>
    <w:rsid w:val="006C5C90"/>
    <w:rsid w:val="006C63AC"/>
    <w:rsid w:val="006C7489"/>
    <w:rsid w:val="006C768A"/>
    <w:rsid w:val="006C7B81"/>
    <w:rsid w:val="006C7FB5"/>
    <w:rsid w:val="006D0273"/>
    <w:rsid w:val="006D0EF5"/>
    <w:rsid w:val="006D158B"/>
    <w:rsid w:val="006D2194"/>
    <w:rsid w:val="006D21DE"/>
    <w:rsid w:val="006D22E4"/>
    <w:rsid w:val="006D2AF3"/>
    <w:rsid w:val="006D2C56"/>
    <w:rsid w:val="006D2DEF"/>
    <w:rsid w:val="006D3BD5"/>
    <w:rsid w:val="006D3E90"/>
    <w:rsid w:val="006D453D"/>
    <w:rsid w:val="006D4852"/>
    <w:rsid w:val="006D56CB"/>
    <w:rsid w:val="006D5709"/>
    <w:rsid w:val="006D5C9C"/>
    <w:rsid w:val="006D6A61"/>
    <w:rsid w:val="006D6AE0"/>
    <w:rsid w:val="006D7002"/>
    <w:rsid w:val="006D700F"/>
    <w:rsid w:val="006D7414"/>
    <w:rsid w:val="006E003A"/>
    <w:rsid w:val="006E00F0"/>
    <w:rsid w:val="006E0449"/>
    <w:rsid w:val="006E07EA"/>
    <w:rsid w:val="006E19A5"/>
    <w:rsid w:val="006E2DA2"/>
    <w:rsid w:val="006E31DB"/>
    <w:rsid w:val="006E38DD"/>
    <w:rsid w:val="006E44FE"/>
    <w:rsid w:val="006E466B"/>
    <w:rsid w:val="006E4E7D"/>
    <w:rsid w:val="006E55F5"/>
    <w:rsid w:val="006E6273"/>
    <w:rsid w:val="006E6940"/>
    <w:rsid w:val="006E6B98"/>
    <w:rsid w:val="006E7464"/>
    <w:rsid w:val="006F0394"/>
    <w:rsid w:val="006F03FD"/>
    <w:rsid w:val="006F1DAC"/>
    <w:rsid w:val="006F2EEF"/>
    <w:rsid w:val="006F48D0"/>
    <w:rsid w:val="006F4ACD"/>
    <w:rsid w:val="006F503F"/>
    <w:rsid w:val="006F5A82"/>
    <w:rsid w:val="006F5AC8"/>
    <w:rsid w:val="006F5D9A"/>
    <w:rsid w:val="006F653F"/>
    <w:rsid w:val="006F6B91"/>
    <w:rsid w:val="006F6CEA"/>
    <w:rsid w:val="007003FD"/>
    <w:rsid w:val="0070095D"/>
    <w:rsid w:val="007014DB"/>
    <w:rsid w:val="007020B4"/>
    <w:rsid w:val="00703782"/>
    <w:rsid w:val="00704218"/>
    <w:rsid w:val="00704982"/>
    <w:rsid w:val="00704C10"/>
    <w:rsid w:val="00704FD3"/>
    <w:rsid w:val="00705CFC"/>
    <w:rsid w:val="00705D34"/>
    <w:rsid w:val="007060BC"/>
    <w:rsid w:val="0070680E"/>
    <w:rsid w:val="007073B4"/>
    <w:rsid w:val="007075F1"/>
    <w:rsid w:val="0070779E"/>
    <w:rsid w:val="00707B05"/>
    <w:rsid w:val="0070E046"/>
    <w:rsid w:val="00710225"/>
    <w:rsid w:val="0071027E"/>
    <w:rsid w:val="00710AFA"/>
    <w:rsid w:val="00710E71"/>
    <w:rsid w:val="007113C9"/>
    <w:rsid w:val="007118FE"/>
    <w:rsid w:val="00711D00"/>
    <w:rsid w:val="0071253B"/>
    <w:rsid w:val="00712763"/>
    <w:rsid w:val="0071279A"/>
    <w:rsid w:val="007129A5"/>
    <w:rsid w:val="00712A27"/>
    <w:rsid w:val="00713499"/>
    <w:rsid w:val="007148E3"/>
    <w:rsid w:val="00715142"/>
    <w:rsid w:val="0071572C"/>
    <w:rsid w:val="00715B73"/>
    <w:rsid w:val="0071654C"/>
    <w:rsid w:val="00716ACF"/>
    <w:rsid w:val="007170EE"/>
    <w:rsid w:val="007200AA"/>
    <w:rsid w:val="00720B60"/>
    <w:rsid w:val="00720DD1"/>
    <w:rsid w:val="00720FC9"/>
    <w:rsid w:val="00721131"/>
    <w:rsid w:val="007221B8"/>
    <w:rsid w:val="007223A4"/>
    <w:rsid w:val="00722D04"/>
    <w:rsid w:val="00722DBF"/>
    <w:rsid w:val="00722FD5"/>
    <w:rsid w:val="00723909"/>
    <w:rsid w:val="00724837"/>
    <w:rsid w:val="007248C8"/>
    <w:rsid w:val="00724BA5"/>
    <w:rsid w:val="00724D1C"/>
    <w:rsid w:val="00724DBC"/>
    <w:rsid w:val="00724DFB"/>
    <w:rsid w:val="00725457"/>
    <w:rsid w:val="00726CD8"/>
    <w:rsid w:val="007272E6"/>
    <w:rsid w:val="007275B0"/>
    <w:rsid w:val="007277C2"/>
    <w:rsid w:val="00727908"/>
    <w:rsid w:val="00727D2E"/>
    <w:rsid w:val="00727D7B"/>
    <w:rsid w:val="0073054C"/>
    <w:rsid w:val="0073130C"/>
    <w:rsid w:val="00731998"/>
    <w:rsid w:val="00732268"/>
    <w:rsid w:val="00732875"/>
    <w:rsid w:val="00732E2C"/>
    <w:rsid w:val="00733DD7"/>
    <w:rsid w:val="00734A02"/>
    <w:rsid w:val="00734A35"/>
    <w:rsid w:val="00734B3F"/>
    <w:rsid w:val="00734ED7"/>
    <w:rsid w:val="00736536"/>
    <w:rsid w:val="007367E0"/>
    <w:rsid w:val="007368EE"/>
    <w:rsid w:val="007375DC"/>
    <w:rsid w:val="007410CD"/>
    <w:rsid w:val="007413D8"/>
    <w:rsid w:val="00741584"/>
    <w:rsid w:val="007415E3"/>
    <w:rsid w:val="00741F47"/>
    <w:rsid w:val="00743635"/>
    <w:rsid w:val="00743CF8"/>
    <w:rsid w:val="00744413"/>
    <w:rsid w:val="00744532"/>
    <w:rsid w:val="00745578"/>
    <w:rsid w:val="0074635B"/>
    <w:rsid w:val="00747163"/>
    <w:rsid w:val="00751109"/>
    <w:rsid w:val="00751724"/>
    <w:rsid w:val="00751AC6"/>
    <w:rsid w:val="00751B1A"/>
    <w:rsid w:val="007527EA"/>
    <w:rsid w:val="00752953"/>
    <w:rsid w:val="00752A8A"/>
    <w:rsid w:val="00752E01"/>
    <w:rsid w:val="0075340E"/>
    <w:rsid w:val="00753478"/>
    <w:rsid w:val="007537B4"/>
    <w:rsid w:val="00753C9F"/>
    <w:rsid w:val="0075402F"/>
    <w:rsid w:val="00754972"/>
    <w:rsid w:val="00754F6C"/>
    <w:rsid w:val="00755088"/>
    <w:rsid w:val="007556AA"/>
    <w:rsid w:val="007559CD"/>
    <w:rsid w:val="007560F3"/>
    <w:rsid w:val="007569E5"/>
    <w:rsid w:val="00756D73"/>
    <w:rsid w:val="00756E16"/>
    <w:rsid w:val="00760E43"/>
    <w:rsid w:val="0076114F"/>
    <w:rsid w:val="00761939"/>
    <w:rsid w:val="00761DA6"/>
    <w:rsid w:val="00761E25"/>
    <w:rsid w:val="00762BDD"/>
    <w:rsid w:val="0076315B"/>
    <w:rsid w:val="007631C7"/>
    <w:rsid w:val="007645DE"/>
    <w:rsid w:val="007649EE"/>
    <w:rsid w:val="00764D35"/>
    <w:rsid w:val="00766412"/>
    <w:rsid w:val="0076670F"/>
    <w:rsid w:val="00766A32"/>
    <w:rsid w:val="00766EC8"/>
    <w:rsid w:val="007676A5"/>
    <w:rsid w:val="00767A4C"/>
    <w:rsid w:val="00767F6B"/>
    <w:rsid w:val="00770193"/>
    <w:rsid w:val="00770491"/>
    <w:rsid w:val="0077059C"/>
    <w:rsid w:val="00770B6E"/>
    <w:rsid w:val="00771021"/>
    <w:rsid w:val="007734F2"/>
    <w:rsid w:val="007743E1"/>
    <w:rsid w:val="00774754"/>
    <w:rsid w:val="00775E7D"/>
    <w:rsid w:val="007763C2"/>
    <w:rsid w:val="00776C0A"/>
    <w:rsid w:val="00776D39"/>
    <w:rsid w:val="00780800"/>
    <w:rsid w:val="00780C78"/>
    <w:rsid w:val="00781101"/>
    <w:rsid w:val="00781FAA"/>
    <w:rsid w:val="007821A5"/>
    <w:rsid w:val="00782617"/>
    <w:rsid w:val="00782EC2"/>
    <w:rsid w:val="007830C4"/>
    <w:rsid w:val="00783836"/>
    <w:rsid w:val="007838FE"/>
    <w:rsid w:val="007849B2"/>
    <w:rsid w:val="00784A49"/>
    <w:rsid w:val="00785C72"/>
    <w:rsid w:val="0078628B"/>
    <w:rsid w:val="00786374"/>
    <w:rsid w:val="007911D1"/>
    <w:rsid w:val="0079144E"/>
    <w:rsid w:val="00791C16"/>
    <w:rsid w:val="007922AF"/>
    <w:rsid w:val="007924F5"/>
    <w:rsid w:val="00793018"/>
    <w:rsid w:val="0079305F"/>
    <w:rsid w:val="007937DA"/>
    <w:rsid w:val="00794DA8"/>
    <w:rsid w:val="0079581A"/>
    <w:rsid w:val="00796951"/>
    <w:rsid w:val="00796BF2"/>
    <w:rsid w:val="00796E10"/>
    <w:rsid w:val="00796F30"/>
    <w:rsid w:val="00796FEC"/>
    <w:rsid w:val="00797089"/>
    <w:rsid w:val="00797A6B"/>
    <w:rsid w:val="00797D94"/>
    <w:rsid w:val="007A02B2"/>
    <w:rsid w:val="007A0328"/>
    <w:rsid w:val="007A0D73"/>
    <w:rsid w:val="007A0F03"/>
    <w:rsid w:val="007A10F4"/>
    <w:rsid w:val="007A167D"/>
    <w:rsid w:val="007A294B"/>
    <w:rsid w:val="007A2B9D"/>
    <w:rsid w:val="007A2F28"/>
    <w:rsid w:val="007A42BE"/>
    <w:rsid w:val="007A4D8B"/>
    <w:rsid w:val="007A5144"/>
    <w:rsid w:val="007A52D1"/>
    <w:rsid w:val="007A660B"/>
    <w:rsid w:val="007A6DCA"/>
    <w:rsid w:val="007A7A78"/>
    <w:rsid w:val="007B108B"/>
    <w:rsid w:val="007B139F"/>
    <w:rsid w:val="007B1651"/>
    <w:rsid w:val="007B184B"/>
    <w:rsid w:val="007B1E1E"/>
    <w:rsid w:val="007B211D"/>
    <w:rsid w:val="007B46A1"/>
    <w:rsid w:val="007B48C0"/>
    <w:rsid w:val="007B549C"/>
    <w:rsid w:val="007B5C18"/>
    <w:rsid w:val="007B5F2F"/>
    <w:rsid w:val="007B6EB1"/>
    <w:rsid w:val="007B7366"/>
    <w:rsid w:val="007B7C46"/>
    <w:rsid w:val="007C0A1E"/>
    <w:rsid w:val="007C0F1E"/>
    <w:rsid w:val="007C0F6D"/>
    <w:rsid w:val="007C1460"/>
    <w:rsid w:val="007C2402"/>
    <w:rsid w:val="007C267A"/>
    <w:rsid w:val="007C3F6B"/>
    <w:rsid w:val="007C4033"/>
    <w:rsid w:val="007C43F3"/>
    <w:rsid w:val="007C490C"/>
    <w:rsid w:val="007C5553"/>
    <w:rsid w:val="007C61BB"/>
    <w:rsid w:val="007C642A"/>
    <w:rsid w:val="007C6F2C"/>
    <w:rsid w:val="007D00E7"/>
    <w:rsid w:val="007D01A2"/>
    <w:rsid w:val="007D0426"/>
    <w:rsid w:val="007D125F"/>
    <w:rsid w:val="007D1266"/>
    <w:rsid w:val="007D18D6"/>
    <w:rsid w:val="007D21A9"/>
    <w:rsid w:val="007D229C"/>
    <w:rsid w:val="007D29E7"/>
    <w:rsid w:val="007D2D3B"/>
    <w:rsid w:val="007D2EA6"/>
    <w:rsid w:val="007D3CAA"/>
    <w:rsid w:val="007D42E7"/>
    <w:rsid w:val="007D44A7"/>
    <w:rsid w:val="007D47A4"/>
    <w:rsid w:val="007D5116"/>
    <w:rsid w:val="007D553C"/>
    <w:rsid w:val="007D58E1"/>
    <w:rsid w:val="007D5A7B"/>
    <w:rsid w:val="007D5C96"/>
    <w:rsid w:val="007D6965"/>
    <w:rsid w:val="007D6BE4"/>
    <w:rsid w:val="007D6E2D"/>
    <w:rsid w:val="007D6F53"/>
    <w:rsid w:val="007E1102"/>
    <w:rsid w:val="007E12CC"/>
    <w:rsid w:val="007E33DF"/>
    <w:rsid w:val="007E3850"/>
    <w:rsid w:val="007E3BBC"/>
    <w:rsid w:val="007E3EF0"/>
    <w:rsid w:val="007E3F81"/>
    <w:rsid w:val="007E4FE1"/>
    <w:rsid w:val="007E5724"/>
    <w:rsid w:val="007E655A"/>
    <w:rsid w:val="007E6DAC"/>
    <w:rsid w:val="007F0BB3"/>
    <w:rsid w:val="007F0D70"/>
    <w:rsid w:val="007F108D"/>
    <w:rsid w:val="007F17E9"/>
    <w:rsid w:val="007F2C22"/>
    <w:rsid w:val="007F2E03"/>
    <w:rsid w:val="007F3AF8"/>
    <w:rsid w:val="007F3DB4"/>
    <w:rsid w:val="007F416C"/>
    <w:rsid w:val="007F43CE"/>
    <w:rsid w:val="007F44D9"/>
    <w:rsid w:val="007F6052"/>
    <w:rsid w:val="007F658E"/>
    <w:rsid w:val="007F6781"/>
    <w:rsid w:val="007F6B4B"/>
    <w:rsid w:val="007F704A"/>
    <w:rsid w:val="007F776E"/>
    <w:rsid w:val="007F785B"/>
    <w:rsid w:val="007F7DE2"/>
    <w:rsid w:val="008005B7"/>
    <w:rsid w:val="00800C2F"/>
    <w:rsid w:val="0080197D"/>
    <w:rsid w:val="008033C8"/>
    <w:rsid w:val="0080353D"/>
    <w:rsid w:val="00803BBD"/>
    <w:rsid w:val="00803CE7"/>
    <w:rsid w:val="0080480C"/>
    <w:rsid w:val="00805091"/>
    <w:rsid w:val="00805797"/>
    <w:rsid w:val="008058DB"/>
    <w:rsid w:val="0080608D"/>
    <w:rsid w:val="00806336"/>
    <w:rsid w:val="0080643C"/>
    <w:rsid w:val="008066D5"/>
    <w:rsid w:val="00807155"/>
    <w:rsid w:val="00807A9C"/>
    <w:rsid w:val="00810B05"/>
    <w:rsid w:val="00811035"/>
    <w:rsid w:val="00811722"/>
    <w:rsid w:val="008123EF"/>
    <w:rsid w:val="00813052"/>
    <w:rsid w:val="008136D7"/>
    <w:rsid w:val="0081393E"/>
    <w:rsid w:val="00813BC6"/>
    <w:rsid w:val="00814C88"/>
    <w:rsid w:val="008153DB"/>
    <w:rsid w:val="00815AA3"/>
    <w:rsid w:val="00816751"/>
    <w:rsid w:val="00817602"/>
    <w:rsid w:val="008176E2"/>
    <w:rsid w:val="008178AA"/>
    <w:rsid w:val="0082016B"/>
    <w:rsid w:val="0082034D"/>
    <w:rsid w:val="0082091F"/>
    <w:rsid w:val="008209FA"/>
    <w:rsid w:val="008210AE"/>
    <w:rsid w:val="00822B6F"/>
    <w:rsid w:val="00823B38"/>
    <w:rsid w:val="00823D01"/>
    <w:rsid w:val="008243CC"/>
    <w:rsid w:val="00824467"/>
    <w:rsid w:val="00824A5B"/>
    <w:rsid w:val="00824A8C"/>
    <w:rsid w:val="00825C7D"/>
    <w:rsid w:val="008264DF"/>
    <w:rsid w:val="00826528"/>
    <w:rsid w:val="0082734F"/>
    <w:rsid w:val="008277A7"/>
    <w:rsid w:val="00830414"/>
    <w:rsid w:val="008306A4"/>
    <w:rsid w:val="008318EB"/>
    <w:rsid w:val="00831A4D"/>
    <w:rsid w:val="00831B01"/>
    <w:rsid w:val="0083231E"/>
    <w:rsid w:val="00832629"/>
    <w:rsid w:val="00833339"/>
    <w:rsid w:val="008340A3"/>
    <w:rsid w:val="00834277"/>
    <w:rsid w:val="0083532D"/>
    <w:rsid w:val="00835BC4"/>
    <w:rsid w:val="00836641"/>
    <w:rsid w:val="00836AAE"/>
    <w:rsid w:val="00836DD9"/>
    <w:rsid w:val="00836E95"/>
    <w:rsid w:val="00837234"/>
    <w:rsid w:val="00837949"/>
    <w:rsid w:val="00840978"/>
    <w:rsid w:val="00840C7F"/>
    <w:rsid w:val="00842688"/>
    <w:rsid w:val="00842ADC"/>
    <w:rsid w:val="00842CE2"/>
    <w:rsid w:val="00842DE2"/>
    <w:rsid w:val="00843460"/>
    <w:rsid w:val="008434CA"/>
    <w:rsid w:val="00843997"/>
    <w:rsid w:val="00844B88"/>
    <w:rsid w:val="00844BCB"/>
    <w:rsid w:val="00844C2D"/>
    <w:rsid w:val="00844E1B"/>
    <w:rsid w:val="00845118"/>
    <w:rsid w:val="00845E0C"/>
    <w:rsid w:val="0084625A"/>
    <w:rsid w:val="00846C2C"/>
    <w:rsid w:val="0084714A"/>
    <w:rsid w:val="0084737D"/>
    <w:rsid w:val="00847D7D"/>
    <w:rsid w:val="00850BCC"/>
    <w:rsid w:val="008516CB"/>
    <w:rsid w:val="008522A6"/>
    <w:rsid w:val="008524CA"/>
    <w:rsid w:val="00852E29"/>
    <w:rsid w:val="00853045"/>
    <w:rsid w:val="0085365F"/>
    <w:rsid w:val="00853737"/>
    <w:rsid w:val="00854924"/>
    <w:rsid w:val="008551E0"/>
    <w:rsid w:val="00855370"/>
    <w:rsid w:val="008555B9"/>
    <w:rsid w:val="00855921"/>
    <w:rsid w:val="00855B68"/>
    <w:rsid w:val="00856A9C"/>
    <w:rsid w:val="00856DAE"/>
    <w:rsid w:val="00857B5E"/>
    <w:rsid w:val="00857EE1"/>
    <w:rsid w:val="00860D15"/>
    <w:rsid w:val="00861CD0"/>
    <w:rsid w:val="00862310"/>
    <w:rsid w:val="00863713"/>
    <w:rsid w:val="008637D7"/>
    <w:rsid w:val="00863C74"/>
    <w:rsid w:val="0086472F"/>
    <w:rsid w:val="008650E1"/>
    <w:rsid w:val="0086522C"/>
    <w:rsid w:val="0086552C"/>
    <w:rsid w:val="00865CB3"/>
    <w:rsid w:val="00865EB2"/>
    <w:rsid w:val="008662D6"/>
    <w:rsid w:val="008663FD"/>
    <w:rsid w:val="00866A7F"/>
    <w:rsid w:val="00866B81"/>
    <w:rsid w:val="00866BCF"/>
    <w:rsid w:val="00866EE9"/>
    <w:rsid w:val="0086704F"/>
    <w:rsid w:val="00867077"/>
    <w:rsid w:val="008674E3"/>
    <w:rsid w:val="008677E3"/>
    <w:rsid w:val="008701C6"/>
    <w:rsid w:val="00871397"/>
    <w:rsid w:val="0087290D"/>
    <w:rsid w:val="00872E6C"/>
    <w:rsid w:val="00872FF3"/>
    <w:rsid w:val="00873237"/>
    <w:rsid w:val="00873413"/>
    <w:rsid w:val="00873895"/>
    <w:rsid w:val="00874227"/>
    <w:rsid w:val="008743AA"/>
    <w:rsid w:val="00874858"/>
    <w:rsid w:val="00874F57"/>
    <w:rsid w:val="00875033"/>
    <w:rsid w:val="00875CD7"/>
    <w:rsid w:val="00876707"/>
    <w:rsid w:val="00876D38"/>
    <w:rsid w:val="0087728B"/>
    <w:rsid w:val="008772C2"/>
    <w:rsid w:val="0087753D"/>
    <w:rsid w:val="0088032B"/>
    <w:rsid w:val="00881629"/>
    <w:rsid w:val="00881C97"/>
    <w:rsid w:val="0088303F"/>
    <w:rsid w:val="00883274"/>
    <w:rsid w:val="00883D1D"/>
    <w:rsid w:val="00883D47"/>
    <w:rsid w:val="00883DF1"/>
    <w:rsid w:val="008853B4"/>
    <w:rsid w:val="00885AD9"/>
    <w:rsid w:val="00885C8E"/>
    <w:rsid w:val="00885D36"/>
    <w:rsid w:val="00885F41"/>
    <w:rsid w:val="0088636B"/>
    <w:rsid w:val="00886DF8"/>
    <w:rsid w:val="0088775C"/>
    <w:rsid w:val="0088793D"/>
    <w:rsid w:val="00887A38"/>
    <w:rsid w:val="008902DC"/>
    <w:rsid w:val="00890903"/>
    <w:rsid w:val="008909B6"/>
    <w:rsid w:val="00890E80"/>
    <w:rsid w:val="00890F35"/>
    <w:rsid w:val="00891165"/>
    <w:rsid w:val="0089151D"/>
    <w:rsid w:val="0089268D"/>
    <w:rsid w:val="008928CD"/>
    <w:rsid w:val="0089291B"/>
    <w:rsid w:val="008929C6"/>
    <w:rsid w:val="00892E63"/>
    <w:rsid w:val="00893BA4"/>
    <w:rsid w:val="00893D38"/>
    <w:rsid w:val="008947C3"/>
    <w:rsid w:val="00894E7A"/>
    <w:rsid w:val="008959A8"/>
    <w:rsid w:val="00895AC9"/>
    <w:rsid w:val="00896351"/>
    <w:rsid w:val="00896409"/>
    <w:rsid w:val="00896BAC"/>
    <w:rsid w:val="00896E9E"/>
    <w:rsid w:val="00896F5D"/>
    <w:rsid w:val="008977A1"/>
    <w:rsid w:val="00897CA0"/>
    <w:rsid w:val="008A03D6"/>
    <w:rsid w:val="008A046F"/>
    <w:rsid w:val="008A0F40"/>
    <w:rsid w:val="008A1257"/>
    <w:rsid w:val="008A17E8"/>
    <w:rsid w:val="008A2519"/>
    <w:rsid w:val="008A251F"/>
    <w:rsid w:val="008A2A1E"/>
    <w:rsid w:val="008A2DEE"/>
    <w:rsid w:val="008A3254"/>
    <w:rsid w:val="008A4232"/>
    <w:rsid w:val="008A6239"/>
    <w:rsid w:val="008A6A11"/>
    <w:rsid w:val="008A6A1D"/>
    <w:rsid w:val="008A71D2"/>
    <w:rsid w:val="008A746E"/>
    <w:rsid w:val="008B0387"/>
    <w:rsid w:val="008B09D4"/>
    <w:rsid w:val="008B0E35"/>
    <w:rsid w:val="008B0E4D"/>
    <w:rsid w:val="008B3354"/>
    <w:rsid w:val="008B35AC"/>
    <w:rsid w:val="008B3978"/>
    <w:rsid w:val="008B397A"/>
    <w:rsid w:val="008B3D12"/>
    <w:rsid w:val="008B3DA1"/>
    <w:rsid w:val="008B4092"/>
    <w:rsid w:val="008B41ED"/>
    <w:rsid w:val="008B4266"/>
    <w:rsid w:val="008B44E9"/>
    <w:rsid w:val="008B474D"/>
    <w:rsid w:val="008B4A80"/>
    <w:rsid w:val="008B4BA1"/>
    <w:rsid w:val="008B4C28"/>
    <w:rsid w:val="008B4DD1"/>
    <w:rsid w:val="008B5445"/>
    <w:rsid w:val="008B5832"/>
    <w:rsid w:val="008B5EC9"/>
    <w:rsid w:val="008B6BA3"/>
    <w:rsid w:val="008B7182"/>
    <w:rsid w:val="008B7299"/>
    <w:rsid w:val="008B7B04"/>
    <w:rsid w:val="008B7B47"/>
    <w:rsid w:val="008B7D76"/>
    <w:rsid w:val="008C000E"/>
    <w:rsid w:val="008C0C4E"/>
    <w:rsid w:val="008C149C"/>
    <w:rsid w:val="008C160C"/>
    <w:rsid w:val="008C19CC"/>
    <w:rsid w:val="008C1A11"/>
    <w:rsid w:val="008C1A9A"/>
    <w:rsid w:val="008C1B83"/>
    <w:rsid w:val="008C233F"/>
    <w:rsid w:val="008C2DB8"/>
    <w:rsid w:val="008C46D0"/>
    <w:rsid w:val="008C4B40"/>
    <w:rsid w:val="008C4C21"/>
    <w:rsid w:val="008C57FD"/>
    <w:rsid w:val="008C5B52"/>
    <w:rsid w:val="008C6232"/>
    <w:rsid w:val="008C6418"/>
    <w:rsid w:val="008C7A38"/>
    <w:rsid w:val="008D183A"/>
    <w:rsid w:val="008D2A7A"/>
    <w:rsid w:val="008D301C"/>
    <w:rsid w:val="008D363F"/>
    <w:rsid w:val="008D3D98"/>
    <w:rsid w:val="008D4A5C"/>
    <w:rsid w:val="008D4EFF"/>
    <w:rsid w:val="008D580D"/>
    <w:rsid w:val="008D5C63"/>
    <w:rsid w:val="008D5D14"/>
    <w:rsid w:val="008D6E30"/>
    <w:rsid w:val="008D7394"/>
    <w:rsid w:val="008E008E"/>
    <w:rsid w:val="008E0140"/>
    <w:rsid w:val="008E047A"/>
    <w:rsid w:val="008E0683"/>
    <w:rsid w:val="008E0A48"/>
    <w:rsid w:val="008E2CAD"/>
    <w:rsid w:val="008E3705"/>
    <w:rsid w:val="008E3AAC"/>
    <w:rsid w:val="008E4078"/>
    <w:rsid w:val="008E47DC"/>
    <w:rsid w:val="008E4E93"/>
    <w:rsid w:val="008E6A95"/>
    <w:rsid w:val="008E6E25"/>
    <w:rsid w:val="008E7604"/>
    <w:rsid w:val="008E785D"/>
    <w:rsid w:val="008E7CAC"/>
    <w:rsid w:val="008F1010"/>
    <w:rsid w:val="008F1245"/>
    <w:rsid w:val="008F19B1"/>
    <w:rsid w:val="008F1BBD"/>
    <w:rsid w:val="008F2521"/>
    <w:rsid w:val="008F3863"/>
    <w:rsid w:val="008F3A24"/>
    <w:rsid w:val="008F3F0B"/>
    <w:rsid w:val="008F4365"/>
    <w:rsid w:val="008F46FF"/>
    <w:rsid w:val="008F494A"/>
    <w:rsid w:val="008F4A71"/>
    <w:rsid w:val="008F64E7"/>
    <w:rsid w:val="008F76FA"/>
    <w:rsid w:val="00900691"/>
    <w:rsid w:val="00900AC7"/>
    <w:rsid w:val="009021E9"/>
    <w:rsid w:val="00902CAE"/>
    <w:rsid w:val="009034BD"/>
    <w:rsid w:val="009037B2"/>
    <w:rsid w:val="00903E0E"/>
    <w:rsid w:val="0090459A"/>
    <w:rsid w:val="00904A97"/>
    <w:rsid w:val="009057D6"/>
    <w:rsid w:val="009058FB"/>
    <w:rsid w:val="00905DFA"/>
    <w:rsid w:val="00906504"/>
    <w:rsid w:val="00906AA8"/>
    <w:rsid w:val="009108A1"/>
    <w:rsid w:val="00910962"/>
    <w:rsid w:val="00911633"/>
    <w:rsid w:val="009136F3"/>
    <w:rsid w:val="00913FEC"/>
    <w:rsid w:val="00914347"/>
    <w:rsid w:val="00914789"/>
    <w:rsid w:val="00914DEC"/>
    <w:rsid w:val="00915FB0"/>
    <w:rsid w:val="00917383"/>
    <w:rsid w:val="00917718"/>
    <w:rsid w:val="00921991"/>
    <w:rsid w:val="00922332"/>
    <w:rsid w:val="00922D0B"/>
    <w:rsid w:val="0092418C"/>
    <w:rsid w:val="0092452C"/>
    <w:rsid w:val="00925735"/>
    <w:rsid w:val="00925DEB"/>
    <w:rsid w:val="009260AF"/>
    <w:rsid w:val="0092716E"/>
    <w:rsid w:val="00927516"/>
    <w:rsid w:val="0092779B"/>
    <w:rsid w:val="00927B50"/>
    <w:rsid w:val="009301D9"/>
    <w:rsid w:val="009308BF"/>
    <w:rsid w:val="00930A22"/>
    <w:rsid w:val="00931466"/>
    <w:rsid w:val="009316A6"/>
    <w:rsid w:val="009320FB"/>
    <w:rsid w:val="00932CCA"/>
    <w:rsid w:val="00932E91"/>
    <w:rsid w:val="009333C7"/>
    <w:rsid w:val="009337BB"/>
    <w:rsid w:val="00933E37"/>
    <w:rsid w:val="00934087"/>
    <w:rsid w:val="00934895"/>
    <w:rsid w:val="0093517F"/>
    <w:rsid w:val="00935C3C"/>
    <w:rsid w:val="009363D0"/>
    <w:rsid w:val="0093658E"/>
    <w:rsid w:val="0093728D"/>
    <w:rsid w:val="00937425"/>
    <w:rsid w:val="009374B6"/>
    <w:rsid w:val="009377B0"/>
    <w:rsid w:val="009407A6"/>
    <w:rsid w:val="00940B7D"/>
    <w:rsid w:val="00940D37"/>
    <w:rsid w:val="00940E49"/>
    <w:rsid w:val="00940E83"/>
    <w:rsid w:val="009419F4"/>
    <w:rsid w:val="00941F3C"/>
    <w:rsid w:val="009429E9"/>
    <w:rsid w:val="00942BB7"/>
    <w:rsid w:val="00944231"/>
    <w:rsid w:val="00944ACC"/>
    <w:rsid w:val="00944C70"/>
    <w:rsid w:val="00944DBC"/>
    <w:rsid w:val="00945450"/>
    <w:rsid w:val="0094638E"/>
    <w:rsid w:val="0094668A"/>
    <w:rsid w:val="00947640"/>
    <w:rsid w:val="00947798"/>
    <w:rsid w:val="00951940"/>
    <w:rsid w:val="009528D3"/>
    <w:rsid w:val="00952F38"/>
    <w:rsid w:val="009530A1"/>
    <w:rsid w:val="00953314"/>
    <w:rsid w:val="0095392E"/>
    <w:rsid w:val="00953B30"/>
    <w:rsid w:val="009551A6"/>
    <w:rsid w:val="0095593B"/>
    <w:rsid w:val="0095611F"/>
    <w:rsid w:val="009567A9"/>
    <w:rsid w:val="00957283"/>
    <w:rsid w:val="009579F9"/>
    <w:rsid w:val="00957EA6"/>
    <w:rsid w:val="0096021E"/>
    <w:rsid w:val="00960BE3"/>
    <w:rsid w:val="00961317"/>
    <w:rsid w:val="00961D15"/>
    <w:rsid w:val="00962A02"/>
    <w:rsid w:val="009630B0"/>
    <w:rsid w:val="009631AC"/>
    <w:rsid w:val="009641FA"/>
    <w:rsid w:val="00964201"/>
    <w:rsid w:val="0096448A"/>
    <w:rsid w:val="009662E3"/>
    <w:rsid w:val="009665F1"/>
    <w:rsid w:val="009670DE"/>
    <w:rsid w:val="009673B8"/>
    <w:rsid w:val="0096776E"/>
    <w:rsid w:val="00967A33"/>
    <w:rsid w:val="0096AB16"/>
    <w:rsid w:val="00970A98"/>
    <w:rsid w:val="00970FA0"/>
    <w:rsid w:val="00971062"/>
    <w:rsid w:val="00971E2C"/>
    <w:rsid w:val="0097306B"/>
    <w:rsid w:val="0097367A"/>
    <w:rsid w:val="00973836"/>
    <w:rsid w:val="00973964"/>
    <w:rsid w:val="00973A62"/>
    <w:rsid w:val="00973E9D"/>
    <w:rsid w:val="00973EC9"/>
    <w:rsid w:val="00974B51"/>
    <w:rsid w:val="0097526D"/>
    <w:rsid w:val="0097533B"/>
    <w:rsid w:val="009756AB"/>
    <w:rsid w:val="009760A0"/>
    <w:rsid w:val="00976A8E"/>
    <w:rsid w:val="00976DB4"/>
    <w:rsid w:val="00977C33"/>
    <w:rsid w:val="009807F3"/>
    <w:rsid w:val="009816A7"/>
    <w:rsid w:val="009821C2"/>
    <w:rsid w:val="00982394"/>
    <w:rsid w:val="009824F8"/>
    <w:rsid w:val="00982F39"/>
    <w:rsid w:val="00982F89"/>
    <w:rsid w:val="0098336D"/>
    <w:rsid w:val="00983E82"/>
    <w:rsid w:val="009854FF"/>
    <w:rsid w:val="0098555C"/>
    <w:rsid w:val="00985CE5"/>
    <w:rsid w:val="00986A3A"/>
    <w:rsid w:val="009873ED"/>
    <w:rsid w:val="00987959"/>
    <w:rsid w:val="009903E5"/>
    <w:rsid w:val="00990680"/>
    <w:rsid w:val="00990B56"/>
    <w:rsid w:val="00990FFA"/>
    <w:rsid w:val="009918C1"/>
    <w:rsid w:val="00991D82"/>
    <w:rsid w:val="0099267B"/>
    <w:rsid w:val="0099287E"/>
    <w:rsid w:val="009930FE"/>
    <w:rsid w:val="0099336E"/>
    <w:rsid w:val="009934CF"/>
    <w:rsid w:val="00993743"/>
    <w:rsid w:val="0099387F"/>
    <w:rsid w:val="0099430B"/>
    <w:rsid w:val="0099456F"/>
    <w:rsid w:val="0099549C"/>
    <w:rsid w:val="0099599D"/>
    <w:rsid w:val="00995A56"/>
    <w:rsid w:val="00995F5B"/>
    <w:rsid w:val="009962D1"/>
    <w:rsid w:val="0099639D"/>
    <w:rsid w:val="009964EC"/>
    <w:rsid w:val="00996BB0"/>
    <w:rsid w:val="00997853"/>
    <w:rsid w:val="00997C87"/>
    <w:rsid w:val="00997DEF"/>
    <w:rsid w:val="009A017E"/>
    <w:rsid w:val="009A0234"/>
    <w:rsid w:val="009A0960"/>
    <w:rsid w:val="009A20F6"/>
    <w:rsid w:val="009A2306"/>
    <w:rsid w:val="009A2C8F"/>
    <w:rsid w:val="009A3525"/>
    <w:rsid w:val="009A37CA"/>
    <w:rsid w:val="009A40FB"/>
    <w:rsid w:val="009A5DA5"/>
    <w:rsid w:val="009A6FFC"/>
    <w:rsid w:val="009A723D"/>
    <w:rsid w:val="009A7736"/>
    <w:rsid w:val="009B0C6D"/>
    <w:rsid w:val="009B0F80"/>
    <w:rsid w:val="009B1133"/>
    <w:rsid w:val="009B1764"/>
    <w:rsid w:val="009B23D8"/>
    <w:rsid w:val="009B2B2A"/>
    <w:rsid w:val="009B2BD5"/>
    <w:rsid w:val="009B2C88"/>
    <w:rsid w:val="009B3575"/>
    <w:rsid w:val="009B3FCC"/>
    <w:rsid w:val="009B4EE3"/>
    <w:rsid w:val="009B5013"/>
    <w:rsid w:val="009B5D44"/>
    <w:rsid w:val="009B660E"/>
    <w:rsid w:val="009B7890"/>
    <w:rsid w:val="009B7D97"/>
    <w:rsid w:val="009C04E8"/>
    <w:rsid w:val="009C11CA"/>
    <w:rsid w:val="009C1266"/>
    <w:rsid w:val="009C17FD"/>
    <w:rsid w:val="009C31B0"/>
    <w:rsid w:val="009C3C21"/>
    <w:rsid w:val="009C3DA7"/>
    <w:rsid w:val="009C428A"/>
    <w:rsid w:val="009C4EED"/>
    <w:rsid w:val="009C55D6"/>
    <w:rsid w:val="009C5DFD"/>
    <w:rsid w:val="009C614C"/>
    <w:rsid w:val="009C6F45"/>
    <w:rsid w:val="009C719D"/>
    <w:rsid w:val="009C7406"/>
    <w:rsid w:val="009D035C"/>
    <w:rsid w:val="009D07F0"/>
    <w:rsid w:val="009D08F3"/>
    <w:rsid w:val="009D0DAE"/>
    <w:rsid w:val="009D0E79"/>
    <w:rsid w:val="009D1030"/>
    <w:rsid w:val="009D112A"/>
    <w:rsid w:val="009D1ACF"/>
    <w:rsid w:val="009D2284"/>
    <w:rsid w:val="009D3142"/>
    <w:rsid w:val="009D314D"/>
    <w:rsid w:val="009D43EB"/>
    <w:rsid w:val="009D44FE"/>
    <w:rsid w:val="009D4CE8"/>
    <w:rsid w:val="009D4D8C"/>
    <w:rsid w:val="009D51C6"/>
    <w:rsid w:val="009D5543"/>
    <w:rsid w:val="009D6D5D"/>
    <w:rsid w:val="009D6E61"/>
    <w:rsid w:val="009D734B"/>
    <w:rsid w:val="009D7DD4"/>
    <w:rsid w:val="009E0109"/>
    <w:rsid w:val="009E0B08"/>
    <w:rsid w:val="009E1411"/>
    <w:rsid w:val="009E1478"/>
    <w:rsid w:val="009E2B28"/>
    <w:rsid w:val="009E2C76"/>
    <w:rsid w:val="009E313A"/>
    <w:rsid w:val="009E3A43"/>
    <w:rsid w:val="009E3FB8"/>
    <w:rsid w:val="009E415D"/>
    <w:rsid w:val="009E4171"/>
    <w:rsid w:val="009E4A07"/>
    <w:rsid w:val="009E52FB"/>
    <w:rsid w:val="009E5857"/>
    <w:rsid w:val="009E5FD8"/>
    <w:rsid w:val="009E6FF5"/>
    <w:rsid w:val="009E7685"/>
    <w:rsid w:val="009F0850"/>
    <w:rsid w:val="009F1397"/>
    <w:rsid w:val="009F1E5F"/>
    <w:rsid w:val="009F2287"/>
    <w:rsid w:val="009F3060"/>
    <w:rsid w:val="009F4E5B"/>
    <w:rsid w:val="009F4E9A"/>
    <w:rsid w:val="009F5E09"/>
    <w:rsid w:val="009F719E"/>
    <w:rsid w:val="009F75BD"/>
    <w:rsid w:val="009F7A05"/>
    <w:rsid w:val="00A006A0"/>
    <w:rsid w:val="00A00C9A"/>
    <w:rsid w:val="00A0172A"/>
    <w:rsid w:val="00A01C03"/>
    <w:rsid w:val="00A02E8A"/>
    <w:rsid w:val="00A03295"/>
    <w:rsid w:val="00A03F1D"/>
    <w:rsid w:val="00A04047"/>
    <w:rsid w:val="00A049E5"/>
    <w:rsid w:val="00A05812"/>
    <w:rsid w:val="00A05B05"/>
    <w:rsid w:val="00A05B7B"/>
    <w:rsid w:val="00A05ECB"/>
    <w:rsid w:val="00A06513"/>
    <w:rsid w:val="00A06575"/>
    <w:rsid w:val="00A06DA5"/>
    <w:rsid w:val="00A07630"/>
    <w:rsid w:val="00A07CA9"/>
    <w:rsid w:val="00A10450"/>
    <w:rsid w:val="00A10E3D"/>
    <w:rsid w:val="00A1105E"/>
    <w:rsid w:val="00A11F5F"/>
    <w:rsid w:val="00A121B3"/>
    <w:rsid w:val="00A123F8"/>
    <w:rsid w:val="00A12692"/>
    <w:rsid w:val="00A12DD8"/>
    <w:rsid w:val="00A149B2"/>
    <w:rsid w:val="00A14A14"/>
    <w:rsid w:val="00A152F8"/>
    <w:rsid w:val="00A153D5"/>
    <w:rsid w:val="00A158FB"/>
    <w:rsid w:val="00A15DD0"/>
    <w:rsid w:val="00A16320"/>
    <w:rsid w:val="00A171D7"/>
    <w:rsid w:val="00A17568"/>
    <w:rsid w:val="00A178FA"/>
    <w:rsid w:val="00A17C00"/>
    <w:rsid w:val="00A20020"/>
    <w:rsid w:val="00A20529"/>
    <w:rsid w:val="00A2114F"/>
    <w:rsid w:val="00A213CC"/>
    <w:rsid w:val="00A21768"/>
    <w:rsid w:val="00A22E32"/>
    <w:rsid w:val="00A22F33"/>
    <w:rsid w:val="00A23716"/>
    <w:rsid w:val="00A23844"/>
    <w:rsid w:val="00A23E50"/>
    <w:rsid w:val="00A24639"/>
    <w:rsid w:val="00A2470E"/>
    <w:rsid w:val="00A2533A"/>
    <w:rsid w:val="00A25609"/>
    <w:rsid w:val="00A25714"/>
    <w:rsid w:val="00A25C51"/>
    <w:rsid w:val="00A26573"/>
    <w:rsid w:val="00A268F2"/>
    <w:rsid w:val="00A26BC5"/>
    <w:rsid w:val="00A26E9C"/>
    <w:rsid w:val="00A27132"/>
    <w:rsid w:val="00A27A78"/>
    <w:rsid w:val="00A27AA9"/>
    <w:rsid w:val="00A27EFF"/>
    <w:rsid w:val="00A281F5"/>
    <w:rsid w:val="00A30095"/>
    <w:rsid w:val="00A30AAA"/>
    <w:rsid w:val="00A31B27"/>
    <w:rsid w:val="00A31DF0"/>
    <w:rsid w:val="00A32226"/>
    <w:rsid w:val="00A323F5"/>
    <w:rsid w:val="00A333C3"/>
    <w:rsid w:val="00A3369D"/>
    <w:rsid w:val="00A336AA"/>
    <w:rsid w:val="00A33832"/>
    <w:rsid w:val="00A35821"/>
    <w:rsid w:val="00A35910"/>
    <w:rsid w:val="00A35D68"/>
    <w:rsid w:val="00A365B0"/>
    <w:rsid w:val="00A365EE"/>
    <w:rsid w:val="00A37DD9"/>
    <w:rsid w:val="00A405DA"/>
    <w:rsid w:val="00A405FD"/>
    <w:rsid w:val="00A40DE7"/>
    <w:rsid w:val="00A4110A"/>
    <w:rsid w:val="00A41260"/>
    <w:rsid w:val="00A41D8A"/>
    <w:rsid w:val="00A427A8"/>
    <w:rsid w:val="00A43895"/>
    <w:rsid w:val="00A4468D"/>
    <w:rsid w:val="00A44D2A"/>
    <w:rsid w:val="00A44D90"/>
    <w:rsid w:val="00A465CA"/>
    <w:rsid w:val="00A46B36"/>
    <w:rsid w:val="00A47A54"/>
    <w:rsid w:val="00A50913"/>
    <w:rsid w:val="00A51079"/>
    <w:rsid w:val="00A513B1"/>
    <w:rsid w:val="00A52E27"/>
    <w:rsid w:val="00A53CA1"/>
    <w:rsid w:val="00A53D89"/>
    <w:rsid w:val="00A5605B"/>
    <w:rsid w:val="00A56EFC"/>
    <w:rsid w:val="00A57829"/>
    <w:rsid w:val="00A6045B"/>
    <w:rsid w:val="00A60E69"/>
    <w:rsid w:val="00A614F6"/>
    <w:rsid w:val="00A615CC"/>
    <w:rsid w:val="00A62017"/>
    <w:rsid w:val="00A6211F"/>
    <w:rsid w:val="00A62AEA"/>
    <w:rsid w:val="00A62C7D"/>
    <w:rsid w:val="00A6589F"/>
    <w:rsid w:val="00A660C9"/>
    <w:rsid w:val="00A66244"/>
    <w:rsid w:val="00A6652B"/>
    <w:rsid w:val="00A67F7A"/>
    <w:rsid w:val="00A70C37"/>
    <w:rsid w:val="00A7254C"/>
    <w:rsid w:val="00A72A54"/>
    <w:rsid w:val="00A72F6D"/>
    <w:rsid w:val="00A737B1"/>
    <w:rsid w:val="00A7432E"/>
    <w:rsid w:val="00A7529D"/>
    <w:rsid w:val="00A75648"/>
    <w:rsid w:val="00A75BAB"/>
    <w:rsid w:val="00A76055"/>
    <w:rsid w:val="00A7694C"/>
    <w:rsid w:val="00A76BF3"/>
    <w:rsid w:val="00A7770D"/>
    <w:rsid w:val="00A77A05"/>
    <w:rsid w:val="00A77AB7"/>
    <w:rsid w:val="00A80626"/>
    <w:rsid w:val="00A80D49"/>
    <w:rsid w:val="00A80DD6"/>
    <w:rsid w:val="00A80E43"/>
    <w:rsid w:val="00A80E61"/>
    <w:rsid w:val="00A81211"/>
    <w:rsid w:val="00A8135A"/>
    <w:rsid w:val="00A81A8F"/>
    <w:rsid w:val="00A81B4C"/>
    <w:rsid w:val="00A82ED0"/>
    <w:rsid w:val="00A840CA"/>
    <w:rsid w:val="00A841E6"/>
    <w:rsid w:val="00A84295"/>
    <w:rsid w:val="00A84E4D"/>
    <w:rsid w:val="00A84F5A"/>
    <w:rsid w:val="00A85040"/>
    <w:rsid w:val="00A852C4"/>
    <w:rsid w:val="00A863F9"/>
    <w:rsid w:val="00A87846"/>
    <w:rsid w:val="00A87D3E"/>
    <w:rsid w:val="00A90BD7"/>
    <w:rsid w:val="00A91834"/>
    <w:rsid w:val="00A91CD0"/>
    <w:rsid w:val="00A9289A"/>
    <w:rsid w:val="00A94091"/>
    <w:rsid w:val="00A940F8"/>
    <w:rsid w:val="00A94AF9"/>
    <w:rsid w:val="00A94C77"/>
    <w:rsid w:val="00A96168"/>
    <w:rsid w:val="00A96600"/>
    <w:rsid w:val="00A96EB0"/>
    <w:rsid w:val="00A979B2"/>
    <w:rsid w:val="00A979DF"/>
    <w:rsid w:val="00AA02C4"/>
    <w:rsid w:val="00AA1189"/>
    <w:rsid w:val="00AA13D6"/>
    <w:rsid w:val="00AA150D"/>
    <w:rsid w:val="00AA19B0"/>
    <w:rsid w:val="00AA2106"/>
    <w:rsid w:val="00AA29C9"/>
    <w:rsid w:val="00AA2EDC"/>
    <w:rsid w:val="00AA30D9"/>
    <w:rsid w:val="00AA3384"/>
    <w:rsid w:val="00AA3479"/>
    <w:rsid w:val="00AA3D4F"/>
    <w:rsid w:val="00AA41D7"/>
    <w:rsid w:val="00AA477D"/>
    <w:rsid w:val="00AA505A"/>
    <w:rsid w:val="00AA6CB8"/>
    <w:rsid w:val="00AA70E8"/>
    <w:rsid w:val="00AA7518"/>
    <w:rsid w:val="00AA763C"/>
    <w:rsid w:val="00AB0380"/>
    <w:rsid w:val="00AB076A"/>
    <w:rsid w:val="00AB07D3"/>
    <w:rsid w:val="00AB0817"/>
    <w:rsid w:val="00AB0E56"/>
    <w:rsid w:val="00AB1226"/>
    <w:rsid w:val="00AB15C5"/>
    <w:rsid w:val="00AB1796"/>
    <w:rsid w:val="00AB218A"/>
    <w:rsid w:val="00AB2E51"/>
    <w:rsid w:val="00AB34D4"/>
    <w:rsid w:val="00AB47BE"/>
    <w:rsid w:val="00AB54B0"/>
    <w:rsid w:val="00AB5B62"/>
    <w:rsid w:val="00AB5E17"/>
    <w:rsid w:val="00AB5EE0"/>
    <w:rsid w:val="00AB5F97"/>
    <w:rsid w:val="00AB5FB4"/>
    <w:rsid w:val="00AB71AF"/>
    <w:rsid w:val="00AB7411"/>
    <w:rsid w:val="00AC01E8"/>
    <w:rsid w:val="00AC0326"/>
    <w:rsid w:val="00AC2288"/>
    <w:rsid w:val="00AC36A1"/>
    <w:rsid w:val="00AC37AD"/>
    <w:rsid w:val="00AC3880"/>
    <w:rsid w:val="00AC3E44"/>
    <w:rsid w:val="00AC4CA8"/>
    <w:rsid w:val="00AC519C"/>
    <w:rsid w:val="00AC5248"/>
    <w:rsid w:val="00AC598A"/>
    <w:rsid w:val="00AC7BE6"/>
    <w:rsid w:val="00AD0B42"/>
    <w:rsid w:val="00AD0DCF"/>
    <w:rsid w:val="00AD25F2"/>
    <w:rsid w:val="00AD280F"/>
    <w:rsid w:val="00AD28E5"/>
    <w:rsid w:val="00AD3523"/>
    <w:rsid w:val="00AD3886"/>
    <w:rsid w:val="00AD39B0"/>
    <w:rsid w:val="00AD4270"/>
    <w:rsid w:val="00AD4985"/>
    <w:rsid w:val="00AD4FAE"/>
    <w:rsid w:val="00AD64A2"/>
    <w:rsid w:val="00AD6B1F"/>
    <w:rsid w:val="00AD712B"/>
    <w:rsid w:val="00AD71D0"/>
    <w:rsid w:val="00AD7480"/>
    <w:rsid w:val="00AD74A9"/>
    <w:rsid w:val="00AD7DFF"/>
    <w:rsid w:val="00AE0714"/>
    <w:rsid w:val="00AE2209"/>
    <w:rsid w:val="00AE24F2"/>
    <w:rsid w:val="00AE263F"/>
    <w:rsid w:val="00AE265F"/>
    <w:rsid w:val="00AE329F"/>
    <w:rsid w:val="00AE53AC"/>
    <w:rsid w:val="00AE6F48"/>
    <w:rsid w:val="00AE763C"/>
    <w:rsid w:val="00AE7A90"/>
    <w:rsid w:val="00AE7CDC"/>
    <w:rsid w:val="00AF19D7"/>
    <w:rsid w:val="00AF21D5"/>
    <w:rsid w:val="00AF2215"/>
    <w:rsid w:val="00AF2F98"/>
    <w:rsid w:val="00AF327B"/>
    <w:rsid w:val="00AF4063"/>
    <w:rsid w:val="00AF4A01"/>
    <w:rsid w:val="00AF4CAC"/>
    <w:rsid w:val="00AF520C"/>
    <w:rsid w:val="00AF5418"/>
    <w:rsid w:val="00AF6127"/>
    <w:rsid w:val="00AF6519"/>
    <w:rsid w:val="00AF698C"/>
    <w:rsid w:val="00AF6AD4"/>
    <w:rsid w:val="00AF6BE1"/>
    <w:rsid w:val="00AF6E5A"/>
    <w:rsid w:val="00B00158"/>
    <w:rsid w:val="00B0098C"/>
    <w:rsid w:val="00B0104D"/>
    <w:rsid w:val="00B010D8"/>
    <w:rsid w:val="00B01261"/>
    <w:rsid w:val="00B01D44"/>
    <w:rsid w:val="00B02601"/>
    <w:rsid w:val="00B0263B"/>
    <w:rsid w:val="00B02B3B"/>
    <w:rsid w:val="00B02CA9"/>
    <w:rsid w:val="00B037AA"/>
    <w:rsid w:val="00B0410A"/>
    <w:rsid w:val="00B0436D"/>
    <w:rsid w:val="00B06689"/>
    <w:rsid w:val="00B0712A"/>
    <w:rsid w:val="00B07B0F"/>
    <w:rsid w:val="00B1001F"/>
    <w:rsid w:val="00B102A1"/>
    <w:rsid w:val="00B10D22"/>
    <w:rsid w:val="00B10E48"/>
    <w:rsid w:val="00B11687"/>
    <w:rsid w:val="00B1261B"/>
    <w:rsid w:val="00B13100"/>
    <w:rsid w:val="00B13980"/>
    <w:rsid w:val="00B139E1"/>
    <w:rsid w:val="00B15DCC"/>
    <w:rsid w:val="00B160B0"/>
    <w:rsid w:val="00B169CB"/>
    <w:rsid w:val="00B16F24"/>
    <w:rsid w:val="00B16F2E"/>
    <w:rsid w:val="00B17005"/>
    <w:rsid w:val="00B17AD9"/>
    <w:rsid w:val="00B20014"/>
    <w:rsid w:val="00B208A8"/>
    <w:rsid w:val="00B21560"/>
    <w:rsid w:val="00B21EB8"/>
    <w:rsid w:val="00B21F07"/>
    <w:rsid w:val="00B224A3"/>
    <w:rsid w:val="00B22524"/>
    <w:rsid w:val="00B227C9"/>
    <w:rsid w:val="00B228C2"/>
    <w:rsid w:val="00B22C0B"/>
    <w:rsid w:val="00B24B29"/>
    <w:rsid w:val="00B25034"/>
    <w:rsid w:val="00B25553"/>
    <w:rsid w:val="00B25A7D"/>
    <w:rsid w:val="00B26927"/>
    <w:rsid w:val="00B272F5"/>
    <w:rsid w:val="00B274BE"/>
    <w:rsid w:val="00B31607"/>
    <w:rsid w:val="00B31B51"/>
    <w:rsid w:val="00B31FF7"/>
    <w:rsid w:val="00B324C1"/>
    <w:rsid w:val="00B32B3D"/>
    <w:rsid w:val="00B32CB2"/>
    <w:rsid w:val="00B32DE1"/>
    <w:rsid w:val="00B34871"/>
    <w:rsid w:val="00B348B5"/>
    <w:rsid w:val="00B354D6"/>
    <w:rsid w:val="00B36372"/>
    <w:rsid w:val="00B3755B"/>
    <w:rsid w:val="00B3769A"/>
    <w:rsid w:val="00B376E5"/>
    <w:rsid w:val="00B37762"/>
    <w:rsid w:val="00B377D5"/>
    <w:rsid w:val="00B37D1F"/>
    <w:rsid w:val="00B400AE"/>
    <w:rsid w:val="00B403CE"/>
    <w:rsid w:val="00B406ED"/>
    <w:rsid w:val="00B414B1"/>
    <w:rsid w:val="00B41EE7"/>
    <w:rsid w:val="00B4300F"/>
    <w:rsid w:val="00B436F0"/>
    <w:rsid w:val="00B437E3"/>
    <w:rsid w:val="00B43D08"/>
    <w:rsid w:val="00B43DF3"/>
    <w:rsid w:val="00B43FB4"/>
    <w:rsid w:val="00B4419E"/>
    <w:rsid w:val="00B44BC8"/>
    <w:rsid w:val="00B44D9B"/>
    <w:rsid w:val="00B45D89"/>
    <w:rsid w:val="00B45E13"/>
    <w:rsid w:val="00B460AC"/>
    <w:rsid w:val="00B47ECB"/>
    <w:rsid w:val="00B504A0"/>
    <w:rsid w:val="00B50910"/>
    <w:rsid w:val="00B51150"/>
    <w:rsid w:val="00B514C3"/>
    <w:rsid w:val="00B517CA"/>
    <w:rsid w:val="00B526EE"/>
    <w:rsid w:val="00B5279E"/>
    <w:rsid w:val="00B53555"/>
    <w:rsid w:val="00B53824"/>
    <w:rsid w:val="00B53A42"/>
    <w:rsid w:val="00B5457F"/>
    <w:rsid w:val="00B5499B"/>
    <w:rsid w:val="00B54A03"/>
    <w:rsid w:val="00B54A9D"/>
    <w:rsid w:val="00B54B07"/>
    <w:rsid w:val="00B54C40"/>
    <w:rsid w:val="00B54CF2"/>
    <w:rsid w:val="00B5558A"/>
    <w:rsid w:val="00B55BEB"/>
    <w:rsid w:val="00B5636A"/>
    <w:rsid w:val="00B5676A"/>
    <w:rsid w:val="00B567BA"/>
    <w:rsid w:val="00B57069"/>
    <w:rsid w:val="00B57314"/>
    <w:rsid w:val="00B577AE"/>
    <w:rsid w:val="00B6060A"/>
    <w:rsid w:val="00B61227"/>
    <w:rsid w:val="00B61662"/>
    <w:rsid w:val="00B61E2A"/>
    <w:rsid w:val="00B622DD"/>
    <w:rsid w:val="00B62414"/>
    <w:rsid w:val="00B628A3"/>
    <w:rsid w:val="00B63DB2"/>
    <w:rsid w:val="00B649C8"/>
    <w:rsid w:val="00B652BB"/>
    <w:rsid w:val="00B654D7"/>
    <w:rsid w:val="00B656E1"/>
    <w:rsid w:val="00B65D7A"/>
    <w:rsid w:val="00B669AE"/>
    <w:rsid w:val="00B676A9"/>
    <w:rsid w:val="00B67FEC"/>
    <w:rsid w:val="00B709F1"/>
    <w:rsid w:val="00B70E67"/>
    <w:rsid w:val="00B71190"/>
    <w:rsid w:val="00B716DB"/>
    <w:rsid w:val="00B71AC4"/>
    <w:rsid w:val="00B7226D"/>
    <w:rsid w:val="00B722FB"/>
    <w:rsid w:val="00B72437"/>
    <w:rsid w:val="00B724A9"/>
    <w:rsid w:val="00B72742"/>
    <w:rsid w:val="00B73202"/>
    <w:rsid w:val="00B73211"/>
    <w:rsid w:val="00B739B3"/>
    <w:rsid w:val="00B751E2"/>
    <w:rsid w:val="00B75CC7"/>
    <w:rsid w:val="00B75DEB"/>
    <w:rsid w:val="00B7652C"/>
    <w:rsid w:val="00B77717"/>
    <w:rsid w:val="00B77C09"/>
    <w:rsid w:val="00B77E52"/>
    <w:rsid w:val="00B809F7"/>
    <w:rsid w:val="00B81402"/>
    <w:rsid w:val="00B819EB"/>
    <w:rsid w:val="00B82CE6"/>
    <w:rsid w:val="00B83790"/>
    <w:rsid w:val="00B844F9"/>
    <w:rsid w:val="00B84657"/>
    <w:rsid w:val="00B84957"/>
    <w:rsid w:val="00B84EF5"/>
    <w:rsid w:val="00B85D2C"/>
    <w:rsid w:val="00B8608A"/>
    <w:rsid w:val="00B86A72"/>
    <w:rsid w:val="00B86E7A"/>
    <w:rsid w:val="00B87C0A"/>
    <w:rsid w:val="00B87DFE"/>
    <w:rsid w:val="00B9062B"/>
    <w:rsid w:val="00B912EC"/>
    <w:rsid w:val="00B913C6"/>
    <w:rsid w:val="00B9159C"/>
    <w:rsid w:val="00B9182D"/>
    <w:rsid w:val="00B91CC4"/>
    <w:rsid w:val="00B920BC"/>
    <w:rsid w:val="00B9213E"/>
    <w:rsid w:val="00B93708"/>
    <w:rsid w:val="00B93E29"/>
    <w:rsid w:val="00B94628"/>
    <w:rsid w:val="00B9493F"/>
    <w:rsid w:val="00B95250"/>
    <w:rsid w:val="00B9580E"/>
    <w:rsid w:val="00B95FB3"/>
    <w:rsid w:val="00B975DD"/>
    <w:rsid w:val="00BA0117"/>
    <w:rsid w:val="00BA06E0"/>
    <w:rsid w:val="00BA160C"/>
    <w:rsid w:val="00BA16B4"/>
    <w:rsid w:val="00BA179C"/>
    <w:rsid w:val="00BA180B"/>
    <w:rsid w:val="00BA18EE"/>
    <w:rsid w:val="00BA2B46"/>
    <w:rsid w:val="00BA2F7B"/>
    <w:rsid w:val="00BA3705"/>
    <w:rsid w:val="00BA4340"/>
    <w:rsid w:val="00BA49B8"/>
    <w:rsid w:val="00BA4C54"/>
    <w:rsid w:val="00BA60E8"/>
    <w:rsid w:val="00BA6293"/>
    <w:rsid w:val="00BA6B99"/>
    <w:rsid w:val="00BA6BF6"/>
    <w:rsid w:val="00BA7A1A"/>
    <w:rsid w:val="00BA7CD6"/>
    <w:rsid w:val="00BB0BDE"/>
    <w:rsid w:val="00BB12AB"/>
    <w:rsid w:val="00BB231C"/>
    <w:rsid w:val="00BB2DA6"/>
    <w:rsid w:val="00BB31DE"/>
    <w:rsid w:val="00BB32EE"/>
    <w:rsid w:val="00BB4353"/>
    <w:rsid w:val="00BB53AC"/>
    <w:rsid w:val="00BB5CEE"/>
    <w:rsid w:val="00BB75FB"/>
    <w:rsid w:val="00BC0711"/>
    <w:rsid w:val="00BC0B41"/>
    <w:rsid w:val="00BC17FA"/>
    <w:rsid w:val="00BC22AF"/>
    <w:rsid w:val="00BC244A"/>
    <w:rsid w:val="00BC2B9D"/>
    <w:rsid w:val="00BC3991"/>
    <w:rsid w:val="00BC3C3C"/>
    <w:rsid w:val="00BC3E4A"/>
    <w:rsid w:val="00BC451F"/>
    <w:rsid w:val="00BC5220"/>
    <w:rsid w:val="00BC52C3"/>
    <w:rsid w:val="00BC5570"/>
    <w:rsid w:val="00BC6D95"/>
    <w:rsid w:val="00BC716B"/>
    <w:rsid w:val="00BC7C40"/>
    <w:rsid w:val="00BD0AD2"/>
    <w:rsid w:val="00BD0F81"/>
    <w:rsid w:val="00BD2AAB"/>
    <w:rsid w:val="00BD3094"/>
    <w:rsid w:val="00BD3551"/>
    <w:rsid w:val="00BD37AD"/>
    <w:rsid w:val="00BD40AF"/>
    <w:rsid w:val="00BD43FC"/>
    <w:rsid w:val="00BD5457"/>
    <w:rsid w:val="00BD5C7A"/>
    <w:rsid w:val="00BD5F94"/>
    <w:rsid w:val="00BD6A74"/>
    <w:rsid w:val="00BD6CD4"/>
    <w:rsid w:val="00BD6FE1"/>
    <w:rsid w:val="00BD70EE"/>
    <w:rsid w:val="00BD7283"/>
    <w:rsid w:val="00BD7516"/>
    <w:rsid w:val="00BD776F"/>
    <w:rsid w:val="00BD7B58"/>
    <w:rsid w:val="00BE0E93"/>
    <w:rsid w:val="00BE0F76"/>
    <w:rsid w:val="00BE1AA1"/>
    <w:rsid w:val="00BE1ABD"/>
    <w:rsid w:val="00BE5959"/>
    <w:rsid w:val="00BE5D60"/>
    <w:rsid w:val="00BE608E"/>
    <w:rsid w:val="00BE6B01"/>
    <w:rsid w:val="00BE727C"/>
    <w:rsid w:val="00BE74C9"/>
    <w:rsid w:val="00BE7AB2"/>
    <w:rsid w:val="00BF0398"/>
    <w:rsid w:val="00BF0443"/>
    <w:rsid w:val="00BF05FB"/>
    <w:rsid w:val="00BF095D"/>
    <w:rsid w:val="00BF0AD4"/>
    <w:rsid w:val="00BF1EDE"/>
    <w:rsid w:val="00BF2526"/>
    <w:rsid w:val="00BF2D4B"/>
    <w:rsid w:val="00BF3C10"/>
    <w:rsid w:val="00BF4EA2"/>
    <w:rsid w:val="00BF5700"/>
    <w:rsid w:val="00BF5AD1"/>
    <w:rsid w:val="00BF5BC6"/>
    <w:rsid w:val="00BF6504"/>
    <w:rsid w:val="00BF7ADA"/>
    <w:rsid w:val="00C000B2"/>
    <w:rsid w:val="00C001CF"/>
    <w:rsid w:val="00C003AE"/>
    <w:rsid w:val="00C008A1"/>
    <w:rsid w:val="00C0272A"/>
    <w:rsid w:val="00C031C9"/>
    <w:rsid w:val="00C03548"/>
    <w:rsid w:val="00C0419B"/>
    <w:rsid w:val="00C04F48"/>
    <w:rsid w:val="00C05001"/>
    <w:rsid w:val="00C0501E"/>
    <w:rsid w:val="00C051B8"/>
    <w:rsid w:val="00C0589A"/>
    <w:rsid w:val="00C05DBD"/>
    <w:rsid w:val="00C0612C"/>
    <w:rsid w:val="00C06206"/>
    <w:rsid w:val="00C0674C"/>
    <w:rsid w:val="00C07A6B"/>
    <w:rsid w:val="00C10CB7"/>
    <w:rsid w:val="00C113BF"/>
    <w:rsid w:val="00C116EC"/>
    <w:rsid w:val="00C117AF"/>
    <w:rsid w:val="00C11BC3"/>
    <w:rsid w:val="00C12162"/>
    <w:rsid w:val="00C12BB2"/>
    <w:rsid w:val="00C12E3C"/>
    <w:rsid w:val="00C13039"/>
    <w:rsid w:val="00C13191"/>
    <w:rsid w:val="00C133AD"/>
    <w:rsid w:val="00C1340E"/>
    <w:rsid w:val="00C14B37"/>
    <w:rsid w:val="00C150A6"/>
    <w:rsid w:val="00C159AE"/>
    <w:rsid w:val="00C15C3A"/>
    <w:rsid w:val="00C15D02"/>
    <w:rsid w:val="00C15F05"/>
    <w:rsid w:val="00C1623D"/>
    <w:rsid w:val="00C1723F"/>
    <w:rsid w:val="00C17CF1"/>
    <w:rsid w:val="00C202A2"/>
    <w:rsid w:val="00C20E88"/>
    <w:rsid w:val="00C230D9"/>
    <w:rsid w:val="00C24780"/>
    <w:rsid w:val="00C249E8"/>
    <w:rsid w:val="00C250A9"/>
    <w:rsid w:val="00C256C0"/>
    <w:rsid w:val="00C25853"/>
    <w:rsid w:val="00C25B64"/>
    <w:rsid w:val="00C25EC4"/>
    <w:rsid w:val="00C26AE4"/>
    <w:rsid w:val="00C26BA5"/>
    <w:rsid w:val="00C307BA"/>
    <w:rsid w:val="00C30B57"/>
    <w:rsid w:val="00C30C74"/>
    <w:rsid w:val="00C31A46"/>
    <w:rsid w:val="00C32022"/>
    <w:rsid w:val="00C321CC"/>
    <w:rsid w:val="00C33BD4"/>
    <w:rsid w:val="00C33C24"/>
    <w:rsid w:val="00C33DCC"/>
    <w:rsid w:val="00C340BF"/>
    <w:rsid w:val="00C34134"/>
    <w:rsid w:val="00C3489A"/>
    <w:rsid w:val="00C353B0"/>
    <w:rsid w:val="00C353B4"/>
    <w:rsid w:val="00C35BBF"/>
    <w:rsid w:val="00C364F5"/>
    <w:rsid w:val="00C37938"/>
    <w:rsid w:val="00C40417"/>
    <w:rsid w:val="00C4162E"/>
    <w:rsid w:val="00C420F1"/>
    <w:rsid w:val="00C42356"/>
    <w:rsid w:val="00C43002"/>
    <w:rsid w:val="00C43C1A"/>
    <w:rsid w:val="00C445D6"/>
    <w:rsid w:val="00C449D8"/>
    <w:rsid w:val="00C4526D"/>
    <w:rsid w:val="00C458D4"/>
    <w:rsid w:val="00C45AD9"/>
    <w:rsid w:val="00C47F46"/>
    <w:rsid w:val="00C50DD5"/>
    <w:rsid w:val="00C50F2D"/>
    <w:rsid w:val="00C51486"/>
    <w:rsid w:val="00C51A8F"/>
    <w:rsid w:val="00C51EC8"/>
    <w:rsid w:val="00C5235D"/>
    <w:rsid w:val="00C534CD"/>
    <w:rsid w:val="00C544FD"/>
    <w:rsid w:val="00C5585A"/>
    <w:rsid w:val="00C560A7"/>
    <w:rsid w:val="00C561C6"/>
    <w:rsid w:val="00C56565"/>
    <w:rsid w:val="00C57284"/>
    <w:rsid w:val="00C575A9"/>
    <w:rsid w:val="00C57A48"/>
    <w:rsid w:val="00C57B9A"/>
    <w:rsid w:val="00C57D39"/>
    <w:rsid w:val="00C60151"/>
    <w:rsid w:val="00C605FD"/>
    <w:rsid w:val="00C60FDB"/>
    <w:rsid w:val="00C629D3"/>
    <w:rsid w:val="00C62AD0"/>
    <w:rsid w:val="00C633AA"/>
    <w:rsid w:val="00C6355F"/>
    <w:rsid w:val="00C65D28"/>
    <w:rsid w:val="00C66171"/>
    <w:rsid w:val="00C66300"/>
    <w:rsid w:val="00C66577"/>
    <w:rsid w:val="00C66B19"/>
    <w:rsid w:val="00C6782C"/>
    <w:rsid w:val="00C702BB"/>
    <w:rsid w:val="00C705AE"/>
    <w:rsid w:val="00C717CD"/>
    <w:rsid w:val="00C72A7C"/>
    <w:rsid w:val="00C736EA"/>
    <w:rsid w:val="00C73DB9"/>
    <w:rsid w:val="00C74232"/>
    <w:rsid w:val="00C74263"/>
    <w:rsid w:val="00C74321"/>
    <w:rsid w:val="00C74451"/>
    <w:rsid w:val="00C74461"/>
    <w:rsid w:val="00C74572"/>
    <w:rsid w:val="00C74E83"/>
    <w:rsid w:val="00C75BB5"/>
    <w:rsid w:val="00C771E3"/>
    <w:rsid w:val="00C779C7"/>
    <w:rsid w:val="00C77F84"/>
    <w:rsid w:val="00C8024D"/>
    <w:rsid w:val="00C804A9"/>
    <w:rsid w:val="00C80F28"/>
    <w:rsid w:val="00C81226"/>
    <w:rsid w:val="00C81699"/>
    <w:rsid w:val="00C81A23"/>
    <w:rsid w:val="00C81AF9"/>
    <w:rsid w:val="00C820D7"/>
    <w:rsid w:val="00C8240E"/>
    <w:rsid w:val="00C837AB"/>
    <w:rsid w:val="00C851F1"/>
    <w:rsid w:val="00C86126"/>
    <w:rsid w:val="00C86581"/>
    <w:rsid w:val="00C868C4"/>
    <w:rsid w:val="00C8693F"/>
    <w:rsid w:val="00C90BAC"/>
    <w:rsid w:val="00C91472"/>
    <w:rsid w:val="00C91524"/>
    <w:rsid w:val="00C92F6D"/>
    <w:rsid w:val="00C934BF"/>
    <w:rsid w:val="00C93CAA"/>
    <w:rsid w:val="00C93F80"/>
    <w:rsid w:val="00C9453A"/>
    <w:rsid w:val="00C94C21"/>
    <w:rsid w:val="00C959A8"/>
    <w:rsid w:val="00C964F1"/>
    <w:rsid w:val="00C97387"/>
    <w:rsid w:val="00C978BE"/>
    <w:rsid w:val="00C97E9C"/>
    <w:rsid w:val="00CA11C2"/>
    <w:rsid w:val="00CA15AA"/>
    <w:rsid w:val="00CA16CF"/>
    <w:rsid w:val="00CA1F0B"/>
    <w:rsid w:val="00CA2D76"/>
    <w:rsid w:val="00CA30FA"/>
    <w:rsid w:val="00CA35FB"/>
    <w:rsid w:val="00CA3CEE"/>
    <w:rsid w:val="00CA40DC"/>
    <w:rsid w:val="00CA42B8"/>
    <w:rsid w:val="00CA43A6"/>
    <w:rsid w:val="00CA4C77"/>
    <w:rsid w:val="00CA627D"/>
    <w:rsid w:val="00CA6713"/>
    <w:rsid w:val="00CA6EAD"/>
    <w:rsid w:val="00CB14CF"/>
    <w:rsid w:val="00CB2281"/>
    <w:rsid w:val="00CB267B"/>
    <w:rsid w:val="00CB2724"/>
    <w:rsid w:val="00CB2E2A"/>
    <w:rsid w:val="00CB3981"/>
    <w:rsid w:val="00CB454D"/>
    <w:rsid w:val="00CB4F18"/>
    <w:rsid w:val="00CB5457"/>
    <w:rsid w:val="00CB5B05"/>
    <w:rsid w:val="00CB5CCE"/>
    <w:rsid w:val="00CB5D87"/>
    <w:rsid w:val="00CB605C"/>
    <w:rsid w:val="00CB61C0"/>
    <w:rsid w:val="00CC0121"/>
    <w:rsid w:val="00CC1691"/>
    <w:rsid w:val="00CC1812"/>
    <w:rsid w:val="00CC2725"/>
    <w:rsid w:val="00CC2C81"/>
    <w:rsid w:val="00CC34AE"/>
    <w:rsid w:val="00CC4F24"/>
    <w:rsid w:val="00CC50A2"/>
    <w:rsid w:val="00CC638D"/>
    <w:rsid w:val="00CC6F68"/>
    <w:rsid w:val="00CC738C"/>
    <w:rsid w:val="00CC774B"/>
    <w:rsid w:val="00CCB124"/>
    <w:rsid w:val="00CD02B1"/>
    <w:rsid w:val="00CD0AC8"/>
    <w:rsid w:val="00CD0E61"/>
    <w:rsid w:val="00CD1114"/>
    <w:rsid w:val="00CD1391"/>
    <w:rsid w:val="00CD1F01"/>
    <w:rsid w:val="00CD201F"/>
    <w:rsid w:val="00CD2740"/>
    <w:rsid w:val="00CD2B16"/>
    <w:rsid w:val="00CD2B5E"/>
    <w:rsid w:val="00CD3427"/>
    <w:rsid w:val="00CD4159"/>
    <w:rsid w:val="00CD4EC2"/>
    <w:rsid w:val="00CD4FDE"/>
    <w:rsid w:val="00CD5074"/>
    <w:rsid w:val="00CD5B10"/>
    <w:rsid w:val="00CD6619"/>
    <w:rsid w:val="00CE1138"/>
    <w:rsid w:val="00CE13B4"/>
    <w:rsid w:val="00CE166A"/>
    <w:rsid w:val="00CE1A39"/>
    <w:rsid w:val="00CE1C58"/>
    <w:rsid w:val="00CE2950"/>
    <w:rsid w:val="00CE2CD1"/>
    <w:rsid w:val="00CE2DCD"/>
    <w:rsid w:val="00CE2F42"/>
    <w:rsid w:val="00CE31EF"/>
    <w:rsid w:val="00CE4149"/>
    <w:rsid w:val="00CE431E"/>
    <w:rsid w:val="00CE4403"/>
    <w:rsid w:val="00CE49BB"/>
    <w:rsid w:val="00CE52AF"/>
    <w:rsid w:val="00CE549F"/>
    <w:rsid w:val="00CE5F70"/>
    <w:rsid w:val="00CE619F"/>
    <w:rsid w:val="00CE68A4"/>
    <w:rsid w:val="00CE6DF0"/>
    <w:rsid w:val="00CE7439"/>
    <w:rsid w:val="00CE7AFB"/>
    <w:rsid w:val="00CE7C50"/>
    <w:rsid w:val="00CF1D04"/>
    <w:rsid w:val="00CF207B"/>
    <w:rsid w:val="00CF2775"/>
    <w:rsid w:val="00CF2CB0"/>
    <w:rsid w:val="00CF3271"/>
    <w:rsid w:val="00CF3BE1"/>
    <w:rsid w:val="00CF5C71"/>
    <w:rsid w:val="00CF5F69"/>
    <w:rsid w:val="00CF6A32"/>
    <w:rsid w:val="00CF7C5D"/>
    <w:rsid w:val="00D00756"/>
    <w:rsid w:val="00D01916"/>
    <w:rsid w:val="00D01B83"/>
    <w:rsid w:val="00D024AC"/>
    <w:rsid w:val="00D0268E"/>
    <w:rsid w:val="00D03590"/>
    <w:rsid w:val="00D037C5"/>
    <w:rsid w:val="00D038A6"/>
    <w:rsid w:val="00D03D87"/>
    <w:rsid w:val="00D03EE8"/>
    <w:rsid w:val="00D041F1"/>
    <w:rsid w:val="00D0529E"/>
    <w:rsid w:val="00D06253"/>
    <w:rsid w:val="00D07567"/>
    <w:rsid w:val="00D07A2D"/>
    <w:rsid w:val="00D10912"/>
    <w:rsid w:val="00D11257"/>
    <w:rsid w:val="00D1125D"/>
    <w:rsid w:val="00D11DD3"/>
    <w:rsid w:val="00D1415C"/>
    <w:rsid w:val="00D14926"/>
    <w:rsid w:val="00D16E0E"/>
    <w:rsid w:val="00D170A9"/>
    <w:rsid w:val="00D176F1"/>
    <w:rsid w:val="00D17A12"/>
    <w:rsid w:val="00D207F7"/>
    <w:rsid w:val="00D20834"/>
    <w:rsid w:val="00D20E78"/>
    <w:rsid w:val="00D2147E"/>
    <w:rsid w:val="00D21694"/>
    <w:rsid w:val="00D21799"/>
    <w:rsid w:val="00D22CA8"/>
    <w:rsid w:val="00D2332F"/>
    <w:rsid w:val="00D23A23"/>
    <w:rsid w:val="00D241C5"/>
    <w:rsid w:val="00D24B4D"/>
    <w:rsid w:val="00D24BD1"/>
    <w:rsid w:val="00D2623C"/>
    <w:rsid w:val="00D271DD"/>
    <w:rsid w:val="00D27511"/>
    <w:rsid w:val="00D27A89"/>
    <w:rsid w:val="00D27E13"/>
    <w:rsid w:val="00D27FBB"/>
    <w:rsid w:val="00D27FF6"/>
    <w:rsid w:val="00D30270"/>
    <w:rsid w:val="00D30690"/>
    <w:rsid w:val="00D30844"/>
    <w:rsid w:val="00D30948"/>
    <w:rsid w:val="00D3134F"/>
    <w:rsid w:val="00D318E1"/>
    <w:rsid w:val="00D31A57"/>
    <w:rsid w:val="00D31F84"/>
    <w:rsid w:val="00D32A74"/>
    <w:rsid w:val="00D32B7A"/>
    <w:rsid w:val="00D32C70"/>
    <w:rsid w:val="00D32DBE"/>
    <w:rsid w:val="00D339A6"/>
    <w:rsid w:val="00D352D1"/>
    <w:rsid w:val="00D3584A"/>
    <w:rsid w:val="00D35E65"/>
    <w:rsid w:val="00D36607"/>
    <w:rsid w:val="00D36C1D"/>
    <w:rsid w:val="00D36EBA"/>
    <w:rsid w:val="00D408A6"/>
    <w:rsid w:val="00D40C2F"/>
    <w:rsid w:val="00D41D45"/>
    <w:rsid w:val="00D41F42"/>
    <w:rsid w:val="00D42F69"/>
    <w:rsid w:val="00D439C2"/>
    <w:rsid w:val="00D43EF5"/>
    <w:rsid w:val="00D44ADF"/>
    <w:rsid w:val="00D44EF7"/>
    <w:rsid w:val="00D44F67"/>
    <w:rsid w:val="00D45D87"/>
    <w:rsid w:val="00D46682"/>
    <w:rsid w:val="00D47863"/>
    <w:rsid w:val="00D47977"/>
    <w:rsid w:val="00D47C9C"/>
    <w:rsid w:val="00D47F68"/>
    <w:rsid w:val="00D51BD1"/>
    <w:rsid w:val="00D52184"/>
    <w:rsid w:val="00D524E4"/>
    <w:rsid w:val="00D526CD"/>
    <w:rsid w:val="00D53C80"/>
    <w:rsid w:val="00D541F3"/>
    <w:rsid w:val="00D54638"/>
    <w:rsid w:val="00D54C4C"/>
    <w:rsid w:val="00D55276"/>
    <w:rsid w:val="00D55BB5"/>
    <w:rsid w:val="00D56BB4"/>
    <w:rsid w:val="00D56ED9"/>
    <w:rsid w:val="00D575AC"/>
    <w:rsid w:val="00D576CF"/>
    <w:rsid w:val="00D57863"/>
    <w:rsid w:val="00D57A0A"/>
    <w:rsid w:val="00D60418"/>
    <w:rsid w:val="00D620DD"/>
    <w:rsid w:val="00D63885"/>
    <w:rsid w:val="00D63F81"/>
    <w:rsid w:val="00D64C1E"/>
    <w:rsid w:val="00D653A3"/>
    <w:rsid w:val="00D65587"/>
    <w:rsid w:val="00D6599C"/>
    <w:rsid w:val="00D66BA7"/>
    <w:rsid w:val="00D66F1E"/>
    <w:rsid w:val="00D671A3"/>
    <w:rsid w:val="00D67A01"/>
    <w:rsid w:val="00D67DFE"/>
    <w:rsid w:val="00D6F3A8"/>
    <w:rsid w:val="00D7040E"/>
    <w:rsid w:val="00D70564"/>
    <w:rsid w:val="00D70E87"/>
    <w:rsid w:val="00D71C59"/>
    <w:rsid w:val="00D72394"/>
    <w:rsid w:val="00D72EE5"/>
    <w:rsid w:val="00D73463"/>
    <w:rsid w:val="00D752F5"/>
    <w:rsid w:val="00D7573D"/>
    <w:rsid w:val="00D75D72"/>
    <w:rsid w:val="00D81AE8"/>
    <w:rsid w:val="00D81D54"/>
    <w:rsid w:val="00D82097"/>
    <w:rsid w:val="00D82357"/>
    <w:rsid w:val="00D82D18"/>
    <w:rsid w:val="00D83D22"/>
    <w:rsid w:val="00D844ED"/>
    <w:rsid w:val="00D84559"/>
    <w:rsid w:val="00D855F1"/>
    <w:rsid w:val="00D86541"/>
    <w:rsid w:val="00D8690D"/>
    <w:rsid w:val="00D87152"/>
    <w:rsid w:val="00D87169"/>
    <w:rsid w:val="00D87EE7"/>
    <w:rsid w:val="00D907AF"/>
    <w:rsid w:val="00D911FC"/>
    <w:rsid w:val="00D9122F"/>
    <w:rsid w:val="00D91397"/>
    <w:rsid w:val="00D914CA"/>
    <w:rsid w:val="00D915A9"/>
    <w:rsid w:val="00D9192F"/>
    <w:rsid w:val="00D922BD"/>
    <w:rsid w:val="00D92C8A"/>
    <w:rsid w:val="00D94363"/>
    <w:rsid w:val="00D945C7"/>
    <w:rsid w:val="00D94B09"/>
    <w:rsid w:val="00D95F61"/>
    <w:rsid w:val="00D97377"/>
    <w:rsid w:val="00D97611"/>
    <w:rsid w:val="00D97EA9"/>
    <w:rsid w:val="00DA16D9"/>
    <w:rsid w:val="00DA21C8"/>
    <w:rsid w:val="00DA3CF0"/>
    <w:rsid w:val="00DA421C"/>
    <w:rsid w:val="00DB0138"/>
    <w:rsid w:val="00DB0FB1"/>
    <w:rsid w:val="00DB11F0"/>
    <w:rsid w:val="00DB1B67"/>
    <w:rsid w:val="00DB27CC"/>
    <w:rsid w:val="00DB29F6"/>
    <w:rsid w:val="00DB2DBD"/>
    <w:rsid w:val="00DB3690"/>
    <w:rsid w:val="00DB40DB"/>
    <w:rsid w:val="00DB4549"/>
    <w:rsid w:val="00DB4A9D"/>
    <w:rsid w:val="00DB50D8"/>
    <w:rsid w:val="00DB51C5"/>
    <w:rsid w:val="00DB53B4"/>
    <w:rsid w:val="00DB55C1"/>
    <w:rsid w:val="00DB58D3"/>
    <w:rsid w:val="00DB5EC5"/>
    <w:rsid w:val="00DB73E9"/>
    <w:rsid w:val="00DB7681"/>
    <w:rsid w:val="00DB78C2"/>
    <w:rsid w:val="00DB7D67"/>
    <w:rsid w:val="00DC0DC6"/>
    <w:rsid w:val="00DC0F1C"/>
    <w:rsid w:val="00DC13A0"/>
    <w:rsid w:val="00DC1D53"/>
    <w:rsid w:val="00DC294F"/>
    <w:rsid w:val="00DC2DC3"/>
    <w:rsid w:val="00DC33CE"/>
    <w:rsid w:val="00DC363F"/>
    <w:rsid w:val="00DC3A91"/>
    <w:rsid w:val="00DC60F5"/>
    <w:rsid w:val="00DC6353"/>
    <w:rsid w:val="00DC6795"/>
    <w:rsid w:val="00DC6B84"/>
    <w:rsid w:val="00DD0D63"/>
    <w:rsid w:val="00DD0EEF"/>
    <w:rsid w:val="00DD128D"/>
    <w:rsid w:val="00DD2A31"/>
    <w:rsid w:val="00DD368D"/>
    <w:rsid w:val="00DD36F3"/>
    <w:rsid w:val="00DD3D93"/>
    <w:rsid w:val="00DD4966"/>
    <w:rsid w:val="00DD4970"/>
    <w:rsid w:val="00DD4A23"/>
    <w:rsid w:val="00DD535F"/>
    <w:rsid w:val="00DD537C"/>
    <w:rsid w:val="00DD603C"/>
    <w:rsid w:val="00DD6C1D"/>
    <w:rsid w:val="00DD6C9D"/>
    <w:rsid w:val="00DD6D71"/>
    <w:rsid w:val="00DD6FE1"/>
    <w:rsid w:val="00DD754F"/>
    <w:rsid w:val="00DD76C3"/>
    <w:rsid w:val="00DD7A03"/>
    <w:rsid w:val="00DD7A99"/>
    <w:rsid w:val="00DD7AAC"/>
    <w:rsid w:val="00DD7E65"/>
    <w:rsid w:val="00DD7EB2"/>
    <w:rsid w:val="00DE08CD"/>
    <w:rsid w:val="00DE168D"/>
    <w:rsid w:val="00DE1AE6"/>
    <w:rsid w:val="00DE1E66"/>
    <w:rsid w:val="00DE21FE"/>
    <w:rsid w:val="00DE26AF"/>
    <w:rsid w:val="00DE37A9"/>
    <w:rsid w:val="00DE4991"/>
    <w:rsid w:val="00DE4DA4"/>
    <w:rsid w:val="00DE5D17"/>
    <w:rsid w:val="00DE670E"/>
    <w:rsid w:val="00DE6FF4"/>
    <w:rsid w:val="00DE72F2"/>
    <w:rsid w:val="00DE798F"/>
    <w:rsid w:val="00DE7C5D"/>
    <w:rsid w:val="00DE7DA0"/>
    <w:rsid w:val="00DE7FF1"/>
    <w:rsid w:val="00DF0EF7"/>
    <w:rsid w:val="00DF1631"/>
    <w:rsid w:val="00DF1E77"/>
    <w:rsid w:val="00DF22BB"/>
    <w:rsid w:val="00DF3CD8"/>
    <w:rsid w:val="00DF468D"/>
    <w:rsid w:val="00DF5CA5"/>
    <w:rsid w:val="00DF5D21"/>
    <w:rsid w:val="00DF643E"/>
    <w:rsid w:val="00DF6CD3"/>
    <w:rsid w:val="00DF7A64"/>
    <w:rsid w:val="00E02362"/>
    <w:rsid w:val="00E02457"/>
    <w:rsid w:val="00E03861"/>
    <w:rsid w:val="00E03C86"/>
    <w:rsid w:val="00E03D54"/>
    <w:rsid w:val="00E0466F"/>
    <w:rsid w:val="00E04C8E"/>
    <w:rsid w:val="00E054A7"/>
    <w:rsid w:val="00E055DC"/>
    <w:rsid w:val="00E056C6"/>
    <w:rsid w:val="00E065E1"/>
    <w:rsid w:val="00E06E58"/>
    <w:rsid w:val="00E07456"/>
    <w:rsid w:val="00E07837"/>
    <w:rsid w:val="00E07C63"/>
    <w:rsid w:val="00E103A2"/>
    <w:rsid w:val="00E1077A"/>
    <w:rsid w:val="00E1093A"/>
    <w:rsid w:val="00E10B1E"/>
    <w:rsid w:val="00E10CE2"/>
    <w:rsid w:val="00E1189F"/>
    <w:rsid w:val="00E122B3"/>
    <w:rsid w:val="00E12340"/>
    <w:rsid w:val="00E125F6"/>
    <w:rsid w:val="00E12C28"/>
    <w:rsid w:val="00E1336A"/>
    <w:rsid w:val="00E13B14"/>
    <w:rsid w:val="00E13DA8"/>
    <w:rsid w:val="00E1417F"/>
    <w:rsid w:val="00E1500A"/>
    <w:rsid w:val="00E15BFF"/>
    <w:rsid w:val="00E16A3F"/>
    <w:rsid w:val="00E17368"/>
    <w:rsid w:val="00E177E6"/>
    <w:rsid w:val="00E17C35"/>
    <w:rsid w:val="00E17F59"/>
    <w:rsid w:val="00E1BC74"/>
    <w:rsid w:val="00E20E69"/>
    <w:rsid w:val="00E2117B"/>
    <w:rsid w:val="00E21608"/>
    <w:rsid w:val="00E216EF"/>
    <w:rsid w:val="00E22F4D"/>
    <w:rsid w:val="00E22FF4"/>
    <w:rsid w:val="00E2370C"/>
    <w:rsid w:val="00E23C84"/>
    <w:rsid w:val="00E25018"/>
    <w:rsid w:val="00E2514A"/>
    <w:rsid w:val="00E251C1"/>
    <w:rsid w:val="00E2562A"/>
    <w:rsid w:val="00E25877"/>
    <w:rsid w:val="00E26362"/>
    <w:rsid w:val="00E2639A"/>
    <w:rsid w:val="00E26A32"/>
    <w:rsid w:val="00E26C38"/>
    <w:rsid w:val="00E2710B"/>
    <w:rsid w:val="00E2724D"/>
    <w:rsid w:val="00E278FC"/>
    <w:rsid w:val="00E308B6"/>
    <w:rsid w:val="00E310E2"/>
    <w:rsid w:val="00E31CDC"/>
    <w:rsid w:val="00E322C9"/>
    <w:rsid w:val="00E32A8E"/>
    <w:rsid w:val="00E32BD3"/>
    <w:rsid w:val="00E32CE6"/>
    <w:rsid w:val="00E33868"/>
    <w:rsid w:val="00E338BD"/>
    <w:rsid w:val="00E33F5A"/>
    <w:rsid w:val="00E3436F"/>
    <w:rsid w:val="00E34381"/>
    <w:rsid w:val="00E346F8"/>
    <w:rsid w:val="00E347F2"/>
    <w:rsid w:val="00E353B4"/>
    <w:rsid w:val="00E36003"/>
    <w:rsid w:val="00E3621A"/>
    <w:rsid w:val="00E36D2E"/>
    <w:rsid w:val="00E36D3C"/>
    <w:rsid w:val="00E37430"/>
    <w:rsid w:val="00E3746D"/>
    <w:rsid w:val="00E412E3"/>
    <w:rsid w:val="00E417EA"/>
    <w:rsid w:val="00E41E15"/>
    <w:rsid w:val="00E42D80"/>
    <w:rsid w:val="00E430E3"/>
    <w:rsid w:val="00E437C2"/>
    <w:rsid w:val="00E43E68"/>
    <w:rsid w:val="00E44E91"/>
    <w:rsid w:val="00E4593E"/>
    <w:rsid w:val="00E45F51"/>
    <w:rsid w:val="00E472F3"/>
    <w:rsid w:val="00E4782E"/>
    <w:rsid w:val="00E4798C"/>
    <w:rsid w:val="00E50037"/>
    <w:rsid w:val="00E50226"/>
    <w:rsid w:val="00E504E8"/>
    <w:rsid w:val="00E50999"/>
    <w:rsid w:val="00E5113B"/>
    <w:rsid w:val="00E513C8"/>
    <w:rsid w:val="00E5158A"/>
    <w:rsid w:val="00E51B79"/>
    <w:rsid w:val="00E52FD7"/>
    <w:rsid w:val="00E53CF8"/>
    <w:rsid w:val="00E53D25"/>
    <w:rsid w:val="00E54694"/>
    <w:rsid w:val="00E54A17"/>
    <w:rsid w:val="00E55411"/>
    <w:rsid w:val="00E555FC"/>
    <w:rsid w:val="00E55E5E"/>
    <w:rsid w:val="00E561C0"/>
    <w:rsid w:val="00E56588"/>
    <w:rsid w:val="00E5715A"/>
    <w:rsid w:val="00E5736A"/>
    <w:rsid w:val="00E573B1"/>
    <w:rsid w:val="00E575BE"/>
    <w:rsid w:val="00E60595"/>
    <w:rsid w:val="00E6102F"/>
    <w:rsid w:val="00E6157D"/>
    <w:rsid w:val="00E61759"/>
    <w:rsid w:val="00E626A7"/>
    <w:rsid w:val="00E62BFA"/>
    <w:rsid w:val="00E62D4C"/>
    <w:rsid w:val="00E645F7"/>
    <w:rsid w:val="00E64CC1"/>
    <w:rsid w:val="00E64CF2"/>
    <w:rsid w:val="00E64E1B"/>
    <w:rsid w:val="00E65089"/>
    <w:rsid w:val="00E65B84"/>
    <w:rsid w:val="00E66527"/>
    <w:rsid w:val="00E70254"/>
    <w:rsid w:val="00E708BF"/>
    <w:rsid w:val="00E70B06"/>
    <w:rsid w:val="00E70E26"/>
    <w:rsid w:val="00E70F2D"/>
    <w:rsid w:val="00E7138E"/>
    <w:rsid w:val="00E7180F"/>
    <w:rsid w:val="00E725EE"/>
    <w:rsid w:val="00E72968"/>
    <w:rsid w:val="00E72D45"/>
    <w:rsid w:val="00E7310E"/>
    <w:rsid w:val="00E73EB9"/>
    <w:rsid w:val="00E748AE"/>
    <w:rsid w:val="00E74DDB"/>
    <w:rsid w:val="00E757CE"/>
    <w:rsid w:val="00E75D53"/>
    <w:rsid w:val="00E76347"/>
    <w:rsid w:val="00E766DF"/>
    <w:rsid w:val="00E7740B"/>
    <w:rsid w:val="00E77595"/>
    <w:rsid w:val="00E7767D"/>
    <w:rsid w:val="00E7B895"/>
    <w:rsid w:val="00E804FE"/>
    <w:rsid w:val="00E8176A"/>
    <w:rsid w:val="00E81857"/>
    <w:rsid w:val="00E81C52"/>
    <w:rsid w:val="00E822EB"/>
    <w:rsid w:val="00E825C5"/>
    <w:rsid w:val="00E82EAB"/>
    <w:rsid w:val="00E82FFC"/>
    <w:rsid w:val="00E830FE"/>
    <w:rsid w:val="00E83473"/>
    <w:rsid w:val="00E83ACD"/>
    <w:rsid w:val="00E83D36"/>
    <w:rsid w:val="00E85497"/>
    <w:rsid w:val="00E8580C"/>
    <w:rsid w:val="00E86BF0"/>
    <w:rsid w:val="00E86DFE"/>
    <w:rsid w:val="00E8795E"/>
    <w:rsid w:val="00E87F2D"/>
    <w:rsid w:val="00E87FFA"/>
    <w:rsid w:val="00E90160"/>
    <w:rsid w:val="00E911EC"/>
    <w:rsid w:val="00E916C1"/>
    <w:rsid w:val="00E917F3"/>
    <w:rsid w:val="00E91F26"/>
    <w:rsid w:val="00E92431"/>
    <w:rsid w:val="00E9277C"/>
    <w:rsid w:val="00E93E1F"/>
    <w:rsid w:val="00E943EC"/>
    <w:rsid w:val="00E94F15"/>
    <w:rsid w:val="00E94F42"/>
    <w:rsid w:val="00E95872"/>
    <w:rsid w:val="00E95A9A"/>
    <w:rsid w:val="00E963A0"/>
    <w:rsid w:val="00E966DA"/>
    <w:rsid w:val="00E968D0"/>
    <w:rsid w:val="00E973A4"/>
    <w:rsid w:val="00E97EC8"/>
    <w:rsid w:val="00EA0E43"/>
    <w:rsid w:val="00EA10C6"/>
    <w:rsid w:val="00EA15B8"/>
    <w:rsid w:val="00EA1F04"/>
    <w:rsid w:val="00EA28F7"/>
    <w:rsid w:val="00EA2F4A"/>
    <w:rsid w:val="00EA346E"/>
    <w:rsid w:val="00EA37B7"/>
    <w:rsid w:val="00EA3917"/>
    <w:rsid w:val="00EA3CCD"/>
    <w:rsid w:val="00EA4AB8"/>
    <w:rsid w:val="00EA68F2"/>
    <w:rsid w:val="00EA70EC"/>
    <w:rsid w:val="00EA717A"/>
    <w:rsid w:val="00EA731A"/>
    <w:rsid w:val="00EA74BA"/>
    <w:rsid w:val="00EB0549"/>
    <w:rsid w:val="00EB0714"/>
    <w:rsid w:val="00EB09B0"/>
    <w:rsid w:val="00EB10D8"/>
    <w:rsid w:val="00EB1C2A"/>
    <w:rsid w:val="00EB1DF5"/>
    <w:rsid w:val="00EB2071"/>
    <w:rsid w:val="00EB2C69"/>
    <w:rsid w:val="00EB3674"/>
    <w:rsid w:val="00EB49DE"/>
    <w:rsid w:val="00EB4B86"/>
    <w:rsid w:val="00EB577B"/>
    <w:rsid w:val="00EB78D6"/>
    <w:rsid w:val="00EC00F0"/>
    <w:rsid w:val="00EC0A85"/>
    <w:rsid w:val="00EC0C60"/>
    <w:rsid w:val="00EC11C1"/>
    <w:rsid w:val="00EC1386"/>
    <w:rsid w:val="00EC1A05"/>
    <w:rsid w:val="00EC1ACE"/>
    <w:rsid w:val="00EC266A"/>
    <w:rsid w:val="00EC29EE"/>
    <w:rsid w:val="00EC2CFE"/>
    <w:rsid w:val="00EC3876"/>
    <w:rsid w:val="00EC398D"/>
    <w:rsid w:val="00EC3CEF"/>
    <w:rsid w:val="00EC43E8"/>
    <w:rsid w:val="00EC473A"/>
    <w:rsid w:val="00EC4BFE"/>
    <w:rsid w:val="00EC5463"/>
    <w:rsid w:val="00EC5EAD"/>
    <w:rsid w:val="00EC62B4"/>
    <w:rsid w:val="00EC6678"/>
    <w:rsid w:val="00EC69F0"/>
    <w:rsid w:val="00EC7B2F"/>
    <w:rsid w:val="00ED0221"/>
    <w:rsid w:val="00ED0249"/>
    <w:rsid w:val="00ED0DCB"/>
    <w:rsid w:val="00ED105F"/>
    <w:rsid w:val="00ED21A7"/>
    <w:rsid w:val="00ED2569"/>
    <w:rsid w:val="00ED2729"/>
    <w:rsid w:val="00ED2A81"/>
    <w:rsid w:val="00ED2EC8"/>
    <w:rsid w:val="00ED2F46"/>
    <w:rsid w:val="00ED3BD2"/>
    <w:rsid w:val="00ED4CE3"/>
    <w:rsid w:val="00ED4EE3"/>
    <w:rsid w:val="00EE018B"/>
    <w:rsid w:val="00EE0530"/>
    <w:rsid w:val="00EE1AFB"/>
    <w:rsid w:val="00EE2C26"/>
    <w:rsid w:val="00EE2D3E"/>
    <w:rsid w:val="00EE377B"/>
    <w:rsid w:val="00EE45A1"/>
    <w:rsid w:val="00EE4C78"/>
    <w:rsid w:val="00EE5409"/>
    <w:rsid w:val="00EE56EF"/>
    <w:rsid w:val="00EE640D"/>
    <w:rsid w:val="00EE6C69"/>
    <w:rsid w:val="00EE738A"/>
    <w:rsid w:val="00EE73D5"/>
    <w:rsid w:val="00EE7B7E"/>
    <w:rsid w:val="00EE7CBD"/>
    <w:rsid w:val="00EE7F6D"/>
    <w:rsid w:val="00EF0359"/>
    <w:rsid w:val="00EF10EA"/>
    <w:rsid w:val="00EF1635"/>
    <w:rsid w:val="00EF1CBF"/>
    <w:rsid w:val="00EF2074"/>
    <w:rsid w:val="00EF33B9"/>
    <w:rsid w:val="00EF3F2C"/>
    <w:rsid w:val="00EF405E"/>
    <w:rsid w:val="00EF45A3"/>
    <w:rsid w:val="00EF4766"/>
    <w:rsid w:val="00EF49E2"/>
    <w:rsid w:val="00EF5050"/>
    <w:rsid w:val="00EF6CBE"/>
    <w:rsid w:val="00EF74EE"/>
    <w:rsid w:val="00F009D6"/>
    <w:rsid w:val="00F00D48"/>
    <w:rsid w:val="00F01C37"/>
    <w:rsid w:val="00F021FD"/>
    <w:rsid w:val="00F033F9"/>
    <w:rsid w:val="00F05862"/>
    <w:rsid w:val="00F05F94"/>
    <w:rsid w:val="00F064EA"/>
    <w:rsid w:val="00F068FB"/>
    <w:rsid w:val="00F06C7F"/>
    <w:rsid w:val="00F07DB5"/>
    <w:rsid w:val="00F07E40"/>
    <w:rsid w:val="00F07F73"/>
    <w:rsid w:val="00F07FCC"/>
    <w:rsid w:val="00F105DE"/>
    <w:rsid w:val="00F10735"/>
    <w:rsid w:val="00F10D55"/>
    <w:rsid w:val="00F10E7D"/>
    <w:rsid w:val="00F118FB"/>
    <w:rsid w:val="00F119D3"/>
    <w:rsid w:val="00F1279C"/>
    <w:rsid w:val="00F146B3"/>
    <w:rsid w:val="00F14745"/>
    <w:rsid w:val="00F14C23"/>
    <w:rsid w:val="00F14C82"/>
    <w:rsid w:val="00F1563E"/>
    <w:rsid w:val="00F15827"/>
    <w:rsid w:val="00F1689A"/>
    <w:rsid w:val="00F17610"/>
    <w:rsid w:val="00F204E8"/>
    <w:rsid w:val="00F210D4"/>
    <w:rsid w:val="00F21EB0"/>
    <w:rsid w:val="00F225D4"/>
    <w:rsid w:val="00F22885"/>
    <w:rsid w:val="00F2297E"/>
    <w:rsid w:val="00F2315D"/>
    <w:rsid w:val="00F23A42"/>
    <w:rsid w:val="00F23EC9"/>
    <w:rsid w:val="00F243C1"/>
    <w:rsid w:val="00F245FB"/>
    <w:rsid w:val="00F24B7C"/>
    <w:rsid w:val="00F25F4F"/>
    <w:rsid w:val="00F26009"/>
    <w:rsid w:val="00F26392"/>
    <w:rsid w:val="00F263BA"/>
    <w:rsid w:val="00F26564"/>
    <w:rsid w:val="00F26C83"/>
    <w:rsid w:val="00F3137C"/>
    <w:rsid w:val="00F31A0B"/>
    <w:rsid w:val="00F32127"/>
    <w:rsid w:val="00F32B5B"/>
    <w:rsid w:val="00F33493"/>
    <w:rsid w:val="00F33BD3"/>
    <w:rsid w:val="00F33EC9"/>
    <w:rsid w:val="00F35B49"/>
    <w:rsid w:val="00F36D82"/>
    <w:rsid w:val="00F4059C"/>
    <w:rsid w:val="00F40728"/>
    <w:rsid w:val="00F40F6E"/>
    <w:rsid w:val="00F41DDD"/>
    <w:rsid w:val="00F432EF"/>
    <w:rsid w:val="00F4345D"/>
    <w:rsid w:val="00F43486"/>
    <w:rsid w:val="00F4401B"/>
    <w:rsid w:val="00F44058"/>
    <w:rsid w:val="00F44F36"/>
    <w:rsid w:val="00F4518E"/>
    <w:rsid w:val="00F45316"/>
    <w:rsid w:val="00F45A4E"/>
    <w:rsid w:val="00F4657D"/>
    <w:rsid w:val="00F467F0"/>
    <w:rsid w:val="00F51212"/>
    <w:rsid w:val="00F514B8"/>
    <w:rsid w:val="00F51A0F"/>
    <w:rsid w:val="00F51E83"/>
    <w:rsid w:val="00F52351"/>
    <w:rsid w:val="00F52B20"/>
    <w:rsid w:val="00F53C8A"/>
    <w:rsid w:val="00F53FE5"/>
    <w:rsid w:val="00F54040"/>
    <w:rsid w:val="00F54B52"/>
    <w:rsid w:val="00F55FB1"/>
    <w:rsid w:val="00F56276"/>
    <w:rsid w:val="00F57478"/>
    <w:rsid w:val="00F57946"/>
    <w:rsid w:val="00F610D6"/>
    <w:rsid w:val="00F6190B"/>
    <w:rsid w:val="00F61D33"/>
    <w:rsid w:val="00F61EAE"/>
    <w:rsid w:val="00F626CC"/>
    <w:rsid w:val="00F634FC"/>
    <w:rsid w:val="00F640C7"/>
    <w:rsid w:val="00F64916"/>
    <w:rsid w:val="00F65692"/>
    <w:rsid w:val="00F65F8E"/>
    <w:rsid w:val="00F66F24"/>
    <w:rsid w:val="00F7043C"/>
    <w:rsid w:val="00F7046C"/>
    <w:rsid w:val="00F712B2"/>
    <w:rsid w:val="00F71832"/>
    <w:rsid w:val="00F71A7B"/>
    <w:rsid w:val="00F73221"/>
    <w:rsid w:val="00F737DD"/>
    <w:rsid w:val="00F73DA9"/>
    <w:rsid w:val="00F741DF"/>
    <w:rsid w:val="00F7442D"/>
    <w:rsid w:val="00F74526"/>
    <w:rsid w:val="00F759F1"/>
    <w:rsid w:val="00F75DDC"/>
    <w:rsid w:val="00F76E07"/>
    <w:rsid w:val="00F8040A"/>
    <w:rsid w:val="00F80F31"/>
    <w:rsid w:val="00F80F57"/>
    <w:rsid w:val="00F82140"/>
    <w:rsid w:val="00F822BB"/>
    <w:rsid w:val="00F822F6"/>
    <w:rsid w:val="00F8379D"/>
    <w:rsid w:val="00F841B9"/>
    <w:rsid w:val="00F84B49"/>
    <w:rsid w:val="00F84BEF"/>
    <w:rsid w:val="00F84D66"/>
    <w:rsid w:val="00F85A3F"/>
    <w:rsid w:val="00F85BF0"/>
    <w:rsid w:val="00F85C6D"/>
    <w:rsid w:val="00F86925"/>
    <w:rsid w:val="00F86AE6"/>
    <w:rsid w:val="00F8745E"/>
    <w:rsid w:val="00F879C4"/>
    <w:rsid w:val="00F9042D"/>
    <w:rsid w:val="00F9052D"/>
    <w:rsid w:val="00F906FD"/>
    <w:rsid w:val="00F90901"/>
    <w:rsid w:val="00F912A3"/>
    <w:rsid w:val="00F91437"/>
    <w:rsid w:val="00F9147D"/>
    <w:rsid w:val="00F91C04"/>
    <w:rsid w:val="00F92320"/>
    <w:rsid w:val="00F92BA8"/>
    <w:rsid w:val="00F92C4F"/>
    <w:rsid w:val="00F9301B"/>
    <w:rsid w:val="00F93A79"/>
    <w:rsid w:val="00F93C6C"/>
    <w:rsid w:val="00F943FB"/>
    <w:rsid w:val="00F94862"/>
    <w:rsid w:val="00F94AEF"/>
    <w:rsid w:val="00F953C1"/>
    <w:rsid w:val="00F95F7B"/>
    <w:rsid w:val="00F96483"/>
    <w:rsid w:val="00F97343"/>
    <w:rsid w:val="00FA0020"/>
    <w:rsid w:val="00FA0959"/>
    <w:rsid w:val="00FA1326"/>
    <w:rsid w:val="00FA1AC6"/>
    <w:rsid w:val="00FA1BC9"/>
    <w:rsid w:val="00FA1BF1"/>
    <w:rsid w:val="00FA227A"/>
    <w:rsid w:val="00FA2D44"/>
    <w:rsid w:val="00FA2FA6"/>
    <w:rsid w:val="00FA3582"/>
    <w:rsid w:val="00FA5051"/>
    <w:rsid w:val="00FA5552"/>
    <w:rsid w:val="00FA5722"/>
    <w:rsid w:val="00FA57E4"/>
    <w:rsid w:val="00FA595D"/>
    <w:rsid w:val="00FA5965"/>
    <w:rsid w:val="00FA7427"/>
    <w:rsid w:val="00FA7C61"/>
    <w:rsid w:val="00FA7C8C"/>
    <w:rsid w:val="00FA7D6A"/>
    <w:rsid w:val="00FB0084"/>
    <w:rsid w:val="00FB051C"/>
    <w:rsid w:val="00FB051F"/>
    <w:rsid w:val="00FB0D97"/>
    <w:rsid w:val="00FB12D0"/>
    <w:rsid w:val="00FB1D14"/>
    <w:rsid w:val="00FB34F7"/>
    <w:rsid w:val="00FB5404"/>
    <w:rsid w:val="00FB5C1F"/>
    <w:rsid w:val="00FB5D57"/>
    <w:rsid w:val="00FB6D67"/>
    <w:rsid w:val="00FB6F8A"/>
    <w:rsid w:val="00FB7444"/>
    <w:rsid w:val="00FC0614"/>
    <w:rsid w:val="00FC08BB"/>
    <w:rsid w:val="00FC1C5E"/>
    <w:rsid w:val="00FC2D29"/>
    <w:rsid w:val="00FC30C3"/>
    <w:rsid w:val="00FC33DC"/>
    <w:rsid w:val="00FC4232"/>
    <w:rsid w:val="00FC4D09"/>
    <w:rsid w:val="00FC6BD4"/>
    <w:rsid w:val="00FC73CF"/>
    <w:rsid w:val="00FC75E8"/>
    <w:rsid w:val="00FC7A4C"/>
    <w:rsid w:val="00FC7D84"/>
    <w:rsid w:val="00FC7F0D"/>
    <w:rsid w:val="00FD02BF"/>
    <w:rsid w:val="00FD056C"/>
    <w:rsid w:val="00FD116B"/>
    <w:rsid w:val="00FD1513"/>
    <w:rsid w:val="00FD1A7A"/>
    <w:rsid w:val="00FD213D"/>
    <w:rsid w:val="00FD2517"/>
    <w:rsid w:val="00FD38E9"/>
    <w:rsid w:val="00FD4DC3"/>
    <w:rsid w:val="00FD617B"/>
    <w:rsid w:val="00FD66CF"/>
    <w:rsid w:val="00FD68E5"/>
    <w:rsid w:val="00FD73A9"/>
    <w:rsid w:val="00FD74A0"/>
    <w:rsid w:val="00FD7FC6"/>
    <w:rsid w:val="00FD7FCE"/>
    <w:rsid w:val="00FE0273"/>
    <w:rsid w:val="00FE02AB"/>
    <w:rsid w:val="00FE11CD"/>
    <w:rsid w:val="00FE18C6"/>
    <w:rsid w:val="00FE268A"/>
    <w:rsid w:val="00FE2C3F"/>
    <w:rsid w:val="00FE3288"/>
    <w:rsid w:val="00FE3C93"/>
    <w:rsid w:val="00FE4032"/>
    <w:rsid w:val="00FE4611"/>
    <w:rsid w:val="00FE5E36"/>
    <w:rsid w:val="00FE5EDF"/>
    <w:rsid w:val="00FE62FF"/>
    <w:rsid w:val="00FE6773"/>
    <w:rsid w:val="00FE68AB"/>
    <w:rsid w:val="00FE692A"/>
    <w:rsid w:val="00FE6E6D"/>
    <w:rsid w:val="00FE6F43"/>
    <w:rsid w:val="00FE722E"/>
    <w:rsid w:val="00FE75FB"/>
    <w:rsid w:val="00FF02E6"/>
    <w:rsid w:val="00FF08E7"/>
    <w:rsid w:val="00FF0BB2"/>
    <w:rsid w:val="00FF1328"/>
    <w:rsid w:val="00FF13E6"/>
    <w:rsid w:val="00FF1AF3"/>
    <w:rsid w:val="00FF3130"/>
    <w:rsid w:val="00FF34A3"/>
    <w:rsid w:val="00FF3D1E"/>
    <w:rsid w:val="00FF428D"/>
    <w:rsid w:val="00FF4979"/>
    <w:rsid w:val="00FF512B"/>
    <w:rsid w:val="00FF57D3"/>
    <w:rsid w:val="00FF5C77"/>
    <w:rsid w:val="00FF65E3"/>
    <w:rsid w:val="00FF68D0"/>
    <w:rsid w:val="00FF6DA3"/>
    <w:rsid w:val="00FF79D5"/>
    <w:rsid w:val="0108175D"/>
    <w:rsid w:val="0110F8D3"/>
    <w:rsid w:val="0118C1BE"/>
    <w:rsid w:val="012D9E9D"/>
    <w:rsid w:val="0139212C"/>
    <w:rsid w:val="0157976E"/>
    <w:rsid w:val="01614138"/>
    <w:rsid w:val="0197B461"/>
    <w:rsid w:val="01B81D4C"/>
    <w:rsid w:val="01D0F8EA"/>
    <w:rsid w:val="01D6F1DA"/>
    <w:rsid w:val="01DAF89F"/>
    <w:rsid w:val="01F7D8EB"/>
    <w:rsid w:val="01F93801"/>
    <w:rsid w:val="01FC322D"/>
    <w:rsid w:val="02176660"/>
    <w:rsid w:val="0219D8F3"/>
    <w:rsid w:val="0220E11A"/>
    <w:rsid w:val="02275B5F"/>
    <w:rsid w:val="0229FC9D"/>
    <w:rsid w:val="024C61D5"/>
    <w:rsid w:val="02598B23"/>
    <w:rsid w:val="026DE127"/>
    <w:rsid w:val="026FD8DE"/>
    <w:rsid w:val="02815A0C"/>
    <w:rsid w:val="0295BB44"/>
    <w:rsid w:val="029C658A"/>
    <w:rsid w:val="029F9F1F"/>
    <w:rsid w:val="02B36C7A"/>
    <w:rsid w:val="02B4C987"/>
    <w:rsid w:val="02C302D2"/>
    <w:rsid w:val="02DCE021"/>
    <w:rsid w:val="02DD1988"/>
    <w:rsid w:val="02E8C8C2"/>
    <w:rsid w:val="02FB693F"/>
    <w:rsid w:val="030435D9"/>
    <w:rsid w:val="0331B81D"/>
    <w:rsid w:val="03363B4C"/>
    <w:rsid w:val="033985FA"/>
    <w:rsid w:val="033E82D3"/>
    <w:rsid w:val="034A70EB"/>
    <w:rsid w:val="034B5627"/>
    <w:rsid w:val="034C76EB"/>
    <w:rsid w:val="0351C79A"/>
    <w:rsid w:val="03545AE1"/>
    <w:rsid w:val="035EE0DC"/>
    <w:rsid w:val="0363DDC9"/>
    <w:rsid w:val="037C6AF3"/>
    <w:rsid w:val="03A0CAF7"/>
    <w:rsid w:val="03BD7757"/>
    <w:rsid w:val="03D2BFAA"/>
    <w:rsid w:val="03DFA04C"/>
    <w:rsid w:val="03EBD9D8"/>
    <w:rsid w:val="03F1F121"/>
    <w:rsid w:val="03FB89FA"/>
    <w:rsid w:val="0403BDBF"/>
    <w:rsid w:val="041EBAF2"/>
    <w:rsid w:val="042BF458"/>
    <w:rsid w:val="04447132"/>
    <w:rsid w:val="0444DDD8"/>
    <w:rsid w:val="045E5A3E"/>
    <w:rsid w:val="0462D28B"/>
    <w:rsid w:val="04836573"/>
    <w:rsid w:val="04FCECE6"/>
    <w:rsid w:val="05072717"/>
    <w:rsid w:val="050AFB6F"/>
    <w:rsid w:val="0510EE18"/>
    <w:rsid w:val="0514AE91"/>
    <w:rsid w:val="05153610"/>
    <w:rsid w:val="053FA5D5"/>
    <w:rsid w:val="0544DCB4"/>
    <w:rsid w:val="05531963"/>
    <w:rsid w:val="0560805F"/>
    <w:rsid w:val="056AB37E"/>
    <w:rsid w:val="0587EE97"/>
    <w:rsid w:val="05C18A93"/>
    <w:rsid w:val="05C2FE4E"/>
    <w:rsid w:val="05C4EDCB"/>
    <w:rsid w:val="05C83C08"/>
    <w:rsid w:val="05CA9DE9"/>
    <w:rsid w:val="05D49414"/>
    <w:rsid w:val="05DB1D85"/>
    <w:rsid w:val="05E84C2B"/>
    <w:rsid w:val="05F470A9"/>
    <w:rsid w:val="05F9A25C"/>
    <w:rsid w:val="05F9EC81"/>
    <w:rsid w:val="05FDCDBE"/>
    <w:rsid w:val="06066FA8"/>
    <w:rsid w:val="061A69CA"/>
    <w:rsid w:val="062C1345"/>
    <w:rsid w:val="064A44D7"/>
    <w:rsid w:val="064A9ADB"/>
    <w:rsid w:val="064CF5B1"/>
    <w:rsid w:val="06523E4C"/>
    <w:rsid w:val="06526596"/>
    <w:rsid w:val="06603371"/>
    <w:rsid w:val="066E8655"/>
    <w:rsid w:val="066ED29D"/>
    <w:rsid w:val="067248AE"/>
    <w:rsid w:val="06725015"/>
    <w:rsid w:val="0672966B"/>
    <w:rsid w:val="06753933"/>
    <w:rsid w:val="0679001E"/>
    <w:rsid w:val="0690AFB0"/>
    <w:rsid w:val="06C77C3B"/>
    <w:rsid w:val="06CCE565"/>
    <w:rsid w:val="06CD6467"/>
    <w:rsid w:val="06E9E618"/>
    <w:rsid w:val="06FD75D3"/>
    <w:rsid w:val="07141D3C"/>
    <w:rsid w:val="071B2960"/>
    <w:rsid w:val="07241470"/>
    <w:rsid w:val="072A155E"/>
    <w:rsid w:val="07529DDF"/>
    <w:rsid w:val="07617326"/>
    <w:rsid w:val="0771AC02"/>
    <w:rsid w:val="077C2785"/>
    <w:rsid w:val="079E63A7"/>
    <w:rsid w:val="07B1A6A8"/>
    <w:rsid w:val="07C0C01A"/>
    <w:rsid w:val="07C33C2B"/>
    <w:rsid w:val="07C8D1E6"/>
    <w:rsid w:val="07C90E33"/>
    <w:rsid w:val="07CDD90D"/>
    <w:rsid w:val="07D4EE81"/>
    <w:rsid w:val="07DB0AB3"/>
    <w:rsid w:val="07F2B890"/>
    <w:rsid w:val="07F44E50"/>
    <w:rsid w:val="07F72F25"/>
    <w:rsid w:val="07FB5B4D"/>
    <w:rsid w:val="07FE18B7"/>
    <w:rsid w:val="080F8397"/>
    <w:rsid w:val="082EE7FF"/>
    <w:rsid w:val="082F6489"/>
    <w:rsid w:val="08310B63"/>
    <w:rsid w:val="083A0E99"/>
    <w:rsid w:val="0842B2CC"/>
    <w:rsid w:val="084CE3F1"/>
    <w:rsid w:val="086451D4"/>
    <w:rsid w:val="0893BD90"/>
    <w:rsid w:val="089477A1"/>
    <w:rsid w:val="08A0DDD5"/>
    <w:rsid w:val="08C410C9"/>
    <w:rsid w:val="08E000CA"/>
    <w:rsid w:val="08EA73D8"/>
    <w:rsid w:val="08F8C052"/>
    <w:rsid w:val="08FE9B38"/>
    <w:rsid w:val="0902BBB3"/>
    <w:rsid w:val="092FC943"/>
    <w:rsid w:val="09480CEA"/>
    <w:rsid w:val="0960D603"/>
    <w:rsid w:val="09700645"/>
    <w:rsid w:val="0977B4F7"/>
    <w:rsid w:val="09978DB0"/>
    <w:rsid w:val="099BED46"/>
    <w:rsid w:val="09A30606"/>
    <w:rsid w:val="09AAF32C"/>
    <w:rsid w:val="09ACE106"/>
    <w:rsid w:val="09B08C03"/>
    <w:rsid w:val="09B43F58"/>
    <w:rsid w:val="09B5B813"/>
    <w:rsid w:val="09BFF282"/>
    <w:rsid w:val="09CA19F9"/>
    <w:rsid w:val="09DFDAF7"/>
    <w:rsid w:val="09ED2A23"/>
    <w:rsid w:val="09ED5906"/>
    <w:rsid w:val="09EFD885"/>
    <w:rsid w:val="0A08D8FE"/>
    <w:rsid w:val="0A23E275"/>
    <w:rsid w:val="0A30FD82"/>
    <w:rsid w:val="0A396BD8"/>
    <w:rsid w:val="0A57800E"/>
    <w:rsid w:val="0A5B95A6"/>
    <w:rsid w:val="0A5CC02A"/>
    <w:rsid w:val="0A75CD6A"/>
    <w:rsid w:val="0A92D493"/>
    <w:rsid w:val="0AB498A7"/>
    <w:rsid w:val="0AEED990"/>
    <w:rsid w:val="0B0782F3"/>
    <w:rsid w:val="0B24A35F"/>
    <w:rsid w:val="0B3268E3"/>
    <w:rsid w:val="0B56ED25"/>
    <w:rsid w:val="0B7E71F8"/>
    <w:rsid w:val="0B83AFA0"/>
    <w:rsid w:val="0B8803D1"/>
    <w:rsid w:val="0B8CA015"/>
    <w:rsid w:val="0B90BB24"/>
    <w:rsid w:val="0BA35346"/>
    <w:rsid w:val="0BB86DCF"/>
    <w:rsid w:val="0BE17F34"/>
    <w:rsid w:val="0BEA3634"/>
    <w:rsid w:val="0C1747CD"/>
    <w:rsid w:val="0C1A489B"/>
    <w:rsid w:val="0C416EB8"/>
    <w:rsid w:val="0C54DC92"/>
    <w:rsid w:val="0C566E12"/>
    <w:rsid w:val="0C583AD0"/>
    <w:rsid w:val="0C59673F"/>
    <w:rsid w:val="0C5CA39C"/>
    <w:rsid w:val="0C5E531E"/>
    <w:rsid w:val="0C60E274"/>
    <w:rsid w:val="0C8203D5"/>
    <w:rsid w:val="0C8F8C71"/>
    <w:rsid w:val="0C96696C"/>
    <w:rsid w:val="0CA598CF"/>
    <w:rsid w:val="0CB26AB0"/>
    <w:rsid w:val="0CBC07E6"/>
    <w:rsid w:val="0CC36247"/>
    <w:rsid w:val="0CD5DAE0"/>
    <w:rsid w:val="0CE145D7"/>
    <w:rsid w:val="0CE55F56"/>
    <w:rsid w:val="0CE604AD"/>
    <w:rsid w:val="0D0BA179"/>
    <w:rsid w:val="0D2A8FD7"/>
    <w:rsid w:val="0D382251"/>
    <w:rsid w:val="0D405D94"/>
    <w:rsid w:val="0D4503A2"/>
    <w:rsid w:val="0D5D8B05"/>
    <w:rsid w:val="0D654998"/>
    <w:rsid w:val="0D75D683"/>
    <w:rsid w:val="0DA9C252"/>
    <w:rsid w:val="0DB0991E"/>
    <w:rsid w:val="0DC5698D"/>
    <w:rsid w:val="0DD10AAA"/>
    <w:rsid w:val="0DD2EBDE"/>
    <w:rsid w:val="0DD4E234"/>
    <w:rsid w:val="0DFFB527"/>
    <w:rsid w:val="0E0B2A99"/>
    <w:rsid w:val="0E16DFE4"/>
    <w:rsid w:val="0E1A3D6C"/>
    <w:rsid w:val="0E20A4E7"/>
    <w:rsid w:val="0E2CF0DF"/>
    <w:rsid w:val="0E2DFD5C"/>
    <w:rsid w:val="0E50C106"/>
    <w:rsid w:val="0E542D37"/>
    <w:rsid w:val="0E6AEFBC"/>
    <w:rsid w:val="0E722338"/>
    <w:rsid w:val="0E733863"/>
    <w:rsid w:val="0EEAF461"/>
    <w:rsid w:val="0EECFDFF"/>
    <w:rsid w:val="0EF48039"/>
    <w:rsid w:val="0F194040"/>
    <w:rsid w:val="0F305712"/>
    <w:rsid w:val="0F333FCD"/>
    <w:rsid w:val="0F374FAA"/>
    <w:rsid w:val="0F46D047"/>
    <w:rsid w:val="0F48455E"/>
    <w:rsid w:val="0F5704A0"/>
    <w:rsid w:val="0F61ACF7"/>
    <w:rsid w:val="0F6DE1D6"/>
    <w:rsid w:val="0F6F2C5E"/>
    <w:rsid w:val="0F746882"/>
    <w:rsid w:val="0F7C7A35"/>
    <w:rsid w:val="0F7D8B1D"/>
    <w:rsid w:val="0FA1B01E"/>
    <w:rsid w:val="0FA1B8BA"/>
    <w:rsid w:val="0FD47E31"/>
    <w:rsid w:val="0FF2589E"/>
    <w:rsid w:val="0FFAB3A8"/>
    <w:rsid w:val="100274B3"/>
    <w:rsid w:val="10149241"/>
    <w:rsid w:val="101B7DBD"/>
    <w:rsid w:val="101F938E"/>
    <w:rsid w:val="1024FC7E"/>
    <w:rsid w:val="102B88D9"/>
    <w:rsid w:val="103AB531"/>
    <w:rsid w:val="104000DA"/>
    <w:rsid w:val="10408498"/>
    <w:rsid w:val="105257E2"/>
    <w:rsid w:val="10700E81"/>
    <w:rsid w:val="10760720"/>
    <w:rsid w:val="108132AB"/>
    <w:rsid w:val="1082D5A7"/>
    <w:rsid w:val="10899626"/>
    <w:rsid w:val="109C9039"/>
    <w:rsid w:val="10A4CF0C"/>
    <w:rsid w:val="10B405F4"/>
    <w:rsid w:val="10B8D9D0"/>
    <w:rsid w:val="10C5B592"/>
    <w:rsid w:val="10C840D1"/>
    <w:rsid w:val="10C866EA"/>
    <w:rsid w:val="10D34BEE"/>
    <w:rsid w:val="10E5F546"/>
    <w:rsid w:val="110BE95A"/>
    <w:rsid w:val="111A725C"/>
    <w:rsid w:val="111DD673"/>
    <w:rsid w:val="11220D8D"/>
    <w:rsid w:val="112210DF"/>
    <w:rsid w:val="1127BAB6"/>
    <w:rsid w:val="11335301"/>
    <w:rsid w:val="11416047"/>
    <w:rsid w:val="11422338"/>
    <w:rsid w:val="116D87CA"/>
    <w:rsid w:val="1172A804"/>
    <w:rsid w:val="1178516E"/>
    <w:rsid w:val="11A89665"/>
    <w:rsid w:val="11ADF6F2"/>
    <w:rsid w:val="11B4CB9B"/>
    <w:rsid w:val="11D4A499"/>
    <w:rsid w:val="11D82257"/>
    <w:rsid w:val="11E933E5"/>
    <w:rsid w:val="11F5035B"/>
    <w:rsid w:val="11F77ABA"/>
    <w:rsid w:val="1211FF5D"/>
    <w:rsid w:val="121B23A7"/>
    <w:rsid w:val="121D00CA"/>
    <w:rsid w:val="122A6FB9"/>
    <w:rsid w:val="1231982B"/>
    <w:rsid w:val="123D5A23"/>
    <w:rsid w:val="1252BDE2"/>
    <w:rsid w:val="1256B40F"/>
    <w:rsid w:val="12617EDB"/>
    <w:rsid w:val="127400EC"/>
    <w:rsid w:val="12826856"/>
    <w:rsid w:val="12869CEB"/>
    <w:rsid w:val="12900F52"/>
    <w:rsid w:val="1291C5C9"/>
    <w:rsid w:val="1297650C"/>
    <w:rsid w:val="12A83571"/>
    <w:rsid w:val="12B3B1D1"/>
    <w:rsid w:val="12C0473B"/>
    <w:rsid w:val="12C05772"/>
    <w:rsid w:val="12C5FFAF"/>
    <w:rsid w:val="12D5091F"/>
    <w:rsid w:val="12EE946D"/>
    <w:rsid w:val="12FDFF92"/>
    <w:rsid w:val="1300DA9A"/>
    <w:rsid w:val="13011575"/>
    <w:rsid w:val="13050A4E"/>
    <w:rsid w:val="130E9D62"/>
    <w:rsid w:val="1314589C"/>
    <w:rsid w:val="131A55C3"/>
    <w:rsid w:val="131BFB76"/>
    <w:rsid w:val="1334090A"/>
    <w:rsid w:val="1346E55F"/>
    <w:rsid w:val="1356E143"/>
    <w:rsid w:val="13570346"/>
    <w:rsid w:val="1357A3F2"/>
    <w:rsid w:val="135CA082"/>
    <w:rsid w:val="13604E61"/>
    <w:rsid w:val="1368767D"/>
    <w:rsid w:val="1368A007"/>
    <w:rsid w:val="1368AEC5"/>
    <w:rsid w:val="1373DD43"/>
    <w:rsid w:val="13789A42"/>
    <w:rsid w:val="1379B74A"/>
    <w:rsid w:val="1384EA5A"/>
    <w:rsid w:val="1385518D"/>
    <w:rsid w:val="139354B0"/>
    <w:rsid w:val="139B4FAD"/>
    <w:rsid w:val="13A5B784"/>
    <w:rsid w:val="13A995D9"/>
    <w:rsid w:val="13D85016"/>
    <w:rsid w:val="13DB6F30"/>
    <w:rsid w:val="13E880F2"/>
    <w:rsid w:val="13E99C89"/>
    <w:rsid w:val="13F0EE98"/>
    <w:rsid w:val="13F34C0D"/>
    <w:rsid w:val="13FFC828"/>
    <w:rsid w:val="14207689"/>
    <w:rsid w:val="143FD538"/>
    <w:rsid w:val="144AFD82"/>
    <w:rsid w:val="1478990B"/>
    <w:rsid w:val="148B7570"/>
    <w:rsid w:val="14BEB023"/>
    <w:rsid w:val="14BF2201"/>
    <w:rsid w:val="14C155E2"/>
    <w:rsid w:val="14DFA036"/>
    <w:rsid w:val="14E235BE"/>
    <w:rsid w:val="14E90833"/>
    <w:rsid w:val="14E97624"/>
    <w:rsid w:val="14EC7450"/>
    <w:rsid w:val="14F6A0DD"/>
    <w:rsid w:val="14F76F47"/>
    <w:rsid w:val="14FDE4DB"/>
    <w:rsid w:val="15302425"/>
    <w:rsid w:val="153CF7F2"/>
    <w:rsid w:val="154C8B40"/>
    <w:rsid w:val="1587D050"/>
    <w:rsid w:val="158E77E0"/>
    <w:rsid w:val="15A16CDA"/>
    <w:rsid w:val="15A55026"/>
    <w:rsid w:val="15B35BE7"/>
    <w:rsid w:val="15C75FF7"/>
    <w:rsid w:val="15CA8EEE"/>
    <w:rsid w:val="15D496A5"/>
    <w:rsid w:val="15E41B74"/>
    <w:rsid w:val="15E4A767"/>
    <w:rsid w:val="15EA7D01"/>
    <w:rsid w:val="15F1C715"/>
    <w:rsid w:val="1601562E"/>
    <w:rsid w:val="160E62E0"/>
    <w:rsid w:val="1634B91B"/>
    <w:rsid w:val="16428063"/>
    <w:rsid w:val="1646AA3A"/>
    <w:rsid w:val="16545A93"/>
    <w:rsid w:val="1655BFD3"/>
    <w:rsid w:val="167F5E71"/>
    <w:rsid w:val="16AA4209"/>
    <w:rsid w:val="16AA4FAA"/>
    <w:rsid w:val="16B649FE"/>
    <w:rsid w:val="16BF5D17"/>
    <w:rsid w:val="16CAA099"/>
    <w:rsid w:val="1709B4D8"/>
    <w:rsid w:val="170BCD54"/>
    <w:rsid w:val="170CDDBB"/>
    <w:rsid w:val="171B29F0"/>
    <w:rsid w:val="171CD7CB"/>
    <w:rsid w:val="172A8E9A"/>
    <w:rsid w:val="174A1446"/>
    <w:rsid w:val="174C8A1B"/>
    <w:rsid w:val="17513F88"/>
    <w:rsid w:val="176BAEBA"/>
    <w:rsid w:val="177641F3"/>
    <w:rsid w:val="177C220A"/>
    <w:rsid w:val="178431EE"/>
    <w:rsid w:val="1795E3D6"/>
    <w:rsid w:val="1796F87C"/>
    <w:rsid w:val="17ADCA98"/>
    <w:rsid w:val="17DCCC6D"/>
    <w:rsid w:val="17E31A28"/>
    <w:rsid w:val="17E391B9"/>
    <w:rsid w:val="17F1659D"/>
    <w:rsid w:val="1810668D"/>
    <w:rsid w:val="18295845"/>
    <w:rsid w:val="182EA32F"/>
    <w:rsid w:val="1837192A"/>
    <w:rsid w:val="18548392"/>
    <w:rsid w:val="185CFD78"/>
    <w:rsid w:val="186A6537"/>
    <w:rsid w:val="186B7234"/>
    <w:rsid w:val="18723B06"/>
    <w:rsid w:val="1888D29B"/>
    <w:rsid w:val="18A05A6C"/>
    <w:rsid w:val="18A68DCE"/>
    <w:rsid w:val="18BE36FD"/>
    <w:rsid w:val="18C003E3"/>
    <w:rsid w:val="18D032BE"/>
    <w:rsid w:val="18DAB403"/>
    <w:rsid w:val="18DAEAE0"/>
    <w:rsid w:val="18E060BD"/>
    <w:rsid w:val="18E6B8CE"/>
    <w:rsid w:val="18EE8754"/>
    <w:rsid w:val="18F03572"/>
    <w:rsid w:val="19088CFC"/>
    <w:rsid w:val="190D376D"/>
    <w:rsid w:val="190E6139"/>
    <w:rsid w:val="193308C3"/>
    <w:rsid w:val="193C408D"/>
    <w:rsid w:val="19457DA7"/>
    <w:rsid w:val="1954CFB7"/>
    <w:rsid w:val="19586501"/>
    <w:rsid w:val="1977423F"/>
    <w:rsid w:val="197E273A"/>
    <w:rsid w:val="199351C8"/>
    <w:rsid w:val="199863CD"/>
    <w:rsid w:val="199B415E"/>
    <w:rsid w:val="19A209F4"/>
    <w:rsid w:val="19A61973"/>
    <w:rsid w:val="19BA942B"/>
    <w:rsid w:val="19CAB25A"/>
    <w:rsid w:val="19E655DA"/>
    <w:rsid w:val="19EA87A5"/>
    <w:rsid w:val="19EC302F"/>
    <w:rsid w:val="19F05EF3"/>
    <w:rsid w:val="19FDEAC1"/>
    <w:rsid w:val="1A022921"/>
    <w:rsid w:val="1A30A774"/>
    <w:rsid w:val="1A561484"/>
    <w:rsid w:val="1A6FFD77"/>
    <w:rsid w:val="1A7498D9"/>
    <w:rsid w:val="1A7554F2"/>
    <w:rsid w:val="1A7C801A"/>
    <w:rsid w:val="1A90AD44"/>
    <w:rsid w:val="1A9F4A94"/>
    <w:rsid w:val="1AAEF805"/>
    <w:rsid w:val="1AB31C44"/>
    <w:rsid w:val="1AB73BC9"/>
    <w:rsid w:val="1AC3974E"/>
    <w:rsid w:val="1ADD6879"/>
    <w:rsid w:val="1AE3E16E"/>
    <w:rsid w:val="1AE7F75D"/>
    <w:rsid w:val="1AE804CB"/>
    <w:rsid w:val="1AE9E6ED"/>
    <w:rsid w:val="1AEE2752"/>
    <w:rsid w:val="1B02F4EB"/>
    <w:rsid w:val="1B04841B"/>
    <w:rsid w:val="1B083A0A"/>
    <w:rsid w:val="1B0C5A58"/>
    <w:rsid w:val="1B0E72C4"/>
    <w:rsid w:val="1B4244A5"/>
    <w:rsid w:val="1B4CCAC8"/>
    <w:rsid w:val="1B5A932F"/>
    <w:rsid w:val="1B7B47A5"/>
    <w:rsid w:val="1B8A825D"/>
    <w:rsid w:val="1B8C9C87"/>
    <w:rsid w:val="1B9192B7"/>
    <w:rsid w:val="1B97CB82"/>
    <w:rsid w:val="1B9B139D"/>
    <w:rsid w:val="1B9E4C9B"/>
    <w:rsid w:val="1BA1D33F"/>
    <w:rsid w:val="1BA4D3AC"/>
    <w:rsid w:val="1BAE6853"/>
    <w:rsid w:val="1BD21648"/>
    <w:rsid w:val="1BF98294"/>
    <w:rsid w:val="1C084D9D"/>
    <w:rsid w:val="1C104B01"/>
    <w:rsid w:val="1C2B7BC2"/>
    <w:rsid w:val="1C2F5AB9"/>
    <w:rsid w:val="1C3944CA"/>
    <w:rsid w:val="1C3E2921"/>
    <w:rsid w:val="1C4648AB"/>
    <w:rsid w:val="1C477775"/>
    <w:rsid w:val="1C4B38B0"/>
    <w:rsid w:val="1C6DDC43"/>
    <w:rsid w:val="1C74E7A6"/>
    <w:rsid w:val="1C7D64FD"/>
    <w:rsid w:val="1C7D9CCF"/>
    <w:rsid w:val="1C837FEC"/>
    <w:rsid w:val="1C854D9A"/>
    <w:rsid w:val="1C94BF2B"/>
    <w:rsid w:val="1C960536"/>
    <w:rsid w:val="1C99CA66"/>
    <w:rsid w:val="1CA74763"/>
    <w:rsid w:val="1CC72CE4"/>
    <w:rsid w:val="1CCBA574"/>
    <w:rsid w:val="1CD6DE93"/>
    <w:rsid w:val="1CEA6C34"/>
    <w:rsid w:val="1D04AD44"/>
    <w:rsid w:val="1D0C2C13"/>
    <w:rsid w:val="1D1064D8"/>
    <w:rsid w:val="1D3F97E1"/>
    <w:rsid w:val="1D497A56"/>
    <w:rsid w:val="1D4C247F"/>
    <w:rsid w:val="1D6F02BC"/>
    <w:rsid w:val="1D73CF48"/>
    <w:rsid w:val="1D7E774C"/>
    <w:rsid w:val="1D8C07D6"/>
    <w:rsid w:val="1D92768B"/>
    <w:rsid w:val="1D9B03DD"/>
    <w:rsid w:val="1D9E933E"/>
    <w:rsid w:val="1DA1ECFE"/>
    <w:rsid w:val="1DA3C853"/>
    <w:rsid w:val="1DA62DF6"/>
    <w:rsid w:val="1DA82D02"/>
    <w:rsid w:val="1DB985E5"/>
    <w:rsid w:val="1DC3723D"/>
    <w:rsid w:val="1DEF1D9C"/>
    <w:rsid w:val="1DF7EFDA"/>
    <w:rsid w:val="1E003BD7"/>
    <w:rsid w:val="1E0EB6C9"/>
    <w:rsid w:val="1E11C006"/>
    <w:rsid w:val="1E172A7D"/>
    <w:rsid w:val="1E18BDA6"/>
    <w:rsid w:val="1E1EEA5D"/>
    <w:rsid w:val="1E2F738D"/>
    <w:rsid w:val="1E452EED"/>
    <w:rsid w:val="1E552A6E"/>
    <w:rsid w:val="1E65BA55"/>
    <w:rsid w:val="1E71DF5C"/>
    <w:rsid w:val="1E92C1F1"/>
    <w:rsid w:val="1E9BCC0A"/>
    <w:rsid w:val="1EB03E0D"/>
    <w:rsid w:val="1EBEE3B0"/>
    <w:rsid w:val="1EC43635"/>
    <w:rsid w:val="1ED114F3"/>
    <w:rsid w:val="1EEF72B1"/>
    <w:rsid w:val="1F0E0864"/>
    <w:rsid w:val="1F1D6899"/>
    <w:rsid w:val="1F22AEA7"/>
    <w:rsid w:val="1F70FF79"/>
    <w:rsid w:val="1F72387D"/>
    <w:rsid w:val="1F7C6EFA"/>
    <w:rsid w:val="1F80DF3B"/>
    <w:rsid w:val="1F83BA44"/>
    <w:rsid w:val="1F8BE1B5"/>
    <w:rsid w:val="1F9FA10B"/>
    <w:rsid w:val="1FAA77CC"/>
    <w:rsid w:val="1FAF6DD1"/>
    <w:rsid w:val="1FB5CF8C"/>
    <w:rsid w:val="1FB6ED65"/>
    <w:rsid w:val="1FBCD177"/>
    <w:rsid w:val="1FC2482E"/>
    <w:rsid w:val="1FEDDC5B"/>
    <w:rsid w:val="20035386"/>
    <w:rsid w:val="200395AD"/>
    <w:rsid w:val="203967E0"/>
    <w:rsid w:val="203B7C9F"/>
    <w:rsid w:val="2040DB7C"/>
    <w:rsid w:val="2056C5D2"/>
    <w:rsid w:val="20642A7E"/>
    <w:rsid w:val="206E94BE"/>
    <w:rsid w:val="2074310A"/>
    <w:rsid w:val="208E035F"/>
    <w:rsid w:val="20A6EC59"/>
    <w:rsid w:val="20B44A3A"/>
    <w:rsid w:val="20EFF246"/>
    <w:rsid w:val="210AC5A1"/>
    <w:rsid w:val="21197A58"/>
    <w:rsid w:val="2126A8DA"/>
    <w:rsid w:val="212EC1D5"/>
    <w:rsid w:val="2131A1A3"/>
    <w:rsid w:val="216885B6"/>
    <w:rsid w:val="217F0609"/>
    <w:rsid w:val="218CABC8"/>
    <w:rsid w:val="218F1F32"/>
    <w:rsid w:val="219D5C58"/>
    <w:rsid w:val="219D7270"/>
    <w:rsid w:val="21ACC642"/>
    <w:rsid w:val="21AF8350"/>
    <w:rsid w:val="21B2B7FA"/>
    <w:rsid w:val="21B43ED6"/>
    <w:rsid w:val="21C5D00C"/>
    <w:rsid w:val="21C9BAF9"/>
    <w:rsid w:val="21D2C479"/>
    <w:rsid w:val="21E562F7"/>
    <w:rsid w:val="21FC8E5C"/>
    <w:rsid w:val="2202050E"/>
    <w:rsid w:val="222B3743"/>
    <w:rsid w:val="223F1AE0"/>
    <w:rsid w:val="223F3242"/>
    <w:rsid w:val="22691635"/>
    <w:rsid w:val="2276BE99"/>
    <w:rsid w:val="227B9152"/>
    <w:rsid w:val="2294CAA4"/>
    <w:rsid w:val="22970ACB"/>
    <w:rsid w:val="22BFAA30"/>
    <w:rsid w:val="22C43748"/>
    <w:rsid w:val="22D0AD45"/>
    <w:rsid w:val="22DFA581"/>
    <w:rsid w:val="22E1EC8B"/>
    <w:rsid w:val="22F3004B"/>
    <w:rsid w:val="22FBD221"/>
    <w:rsid w:val="231AAE15"/>
    <w:rsid w:val="231D51CE"/>
    <w:rsid w:val="23337BF7"/>
    <w:rsid w:val="23362C4E"/>
    <w:rsid w:val="233EBEB2"/>
    <w:rsid w:val="235A2A50"/>
    <w:rsid w:val="235DCAFA"/>
    <w:rsid w:val="23639DEC"/>
    <w:rsid w:val="236ECCF1"/>
    <w:rsid w:val="2378B9BD"/>
    <w:rsid w:val="2381E337"/>
    <w:rsid w:val="2398930B"/>
    <w:rsid w:val="23AE237A"/>
    <w:rsid w:val="23DB159A"/>
    <w:rsid w:val="23F476CB"/>
    <w:rsid w:val="240098A5"/>
    <w:rsid w:val="240128C2"/>
    <w:rsid w:val="24191E91"/>
    <w:rsid w:val="241AD197"/>
    <w:rsid w:val="242530F1"/>
    <w:rsid w:val="242975FB"/>
    <w:rsid w:val="2430AB82"/>
    <w:rsid w:val="247C7FF2"/>
    <w:rsid w:val="2492901F"/>
    <w:rsid w:val="24D5FA69"/>
    <w:rsid w:val="24D943EE"/>
    <w:rsid w:val="250EF4BD"/>
    <w:rsid w:val="25229FF0"/>
    <w:rsid w:val="253E385C"/>
    <w:rsid w:val="25596625"/>
    <w:rsid w:val="256C6813"/>
    <w:rsid w:val="25899A83"/>
    <w:rsid w:val="2596F16D"/>
    <w:rsid w:val="25B04A3E"/>
    <w:rsid w:val="25BE5386"/>
    <w:rsid w:val="25E914A6"/>
    <w:rsid w:val="261E4643"/>
    <w:rsid w:val="2627CB5F"/>
    <w:rsid w:val="2639BDB3"/>
    <w:rsid w:val="264169AC"/>
    <w:rsid w:val="26557E35"/>
    <w:rsid w:val="26636E8B"/>
    <w:rsid w:val="2678F1AD"/>
    <w:rsid w:val="26AC859B"/>
    <w:rsid w:val="26B3DCF6"/>
    <w:rsid w:val="26D973FD"/>
    <w:rsid w:val="26DC5E4E"/>
    <w:rsid w:val="27046709"/>
    <w:rsid w:val="272CFD7E"/>
    <w:rsid w:val="2736D15B"/>
    <w:rsid w:val="273738BE"/>
    <w:rsid w:val="273DD97F"/>
    <w:rsid w:val="274E5D66"/>
    <w:rsid w:val="275913F7"/>
    <w:rsid w:val="2764AE6B"/>
    <w:rsid w:val="2768528C"/>
    <w:rsid w:val="2768A8E2"/>
    <w:rsid w:val="276E4B61"/>
    <w:rsid w:val="27858E65"/>
    <w:rsid w:val="278EC283"/>
    <w:rsid w:val="279A6E70"/>
    <w:rsid w:val="279AB945"/>
    <w:rsid w:val="27A035EC"/>
    <w:rsid w:val="27AA7B50"/>
    <w:rsid w:val="27AD025C"/>
    <w:rsid w:val="27B365A8"/>
    <w:rsid w:val="27C37B90"/>
    <w:rsid w:val="27CD7E79"/>
    <w:rsid w:val="27E111AF"/>
    <w:rsid w:val="27E59938"/>
    <w:rsid w:val="27E8159B"/>
    <w:rsid w:val="27F48D38"/>
    <w:rsid w:val="280B4B3E"/>
    <w:rsid w:val="2836A92D"/>
    <w:rsid w:val="2837A46A"/>
    <w:rsid w:val="2839EB34"/>
    <w:rsid w:val="283BBAA6"/>
    <w:rsid w:val="28579A42"/>
    <w:rsid w:val="285BBED6"/>
    <w:rsid w:val="285CF3CF"/>
    <w:rsid w:val="286632DF"/>
    <w:rsid w:val="28667209"/>
    <w:rsid w:val="28712E6F"/>
    <w:rsid w:val="2877C9A7"/>
    <w:rsid w:val="28792ED3"/>
    <w:rsid w:val="288B4264"/>
    <w:rsid w:val="289C088E"/>
    <w:rsid w:val="28AE6171"/>
    <w:rsid w:val="28CEF7AD"/>
    <w:rsid w:val="28DFFAF9"/>
    <w:rsid w:val="29121C84"/>
    <w:rsid w:val="2915210F"/>
    <w:rsid w:val="2918D28E"/>
    <w:rsid w:val="2919CA6A"/>
    <w:rsid w:val="292CCEF4"/>
    <w:rsid w:val="293CE1AB"/>
    <w:rsid w:val="295F9819"/>
    <w:rsid w:val="29640224"/>
    <w:rsid w:val="297152A2"/>
    <w:rsid w:val="297F7005"/>
    <w:rsid w:val="2981D305"/>
    <w:rsid w:val="2990056C"/>
    <w:rsid w:val="29A74556"/>
    <w:rsid w:val="29B18847"/>
    <w:rsid w:val="29B9244C"/>
    <w:rsid w:val="29BC37AB"/>
    <w:rsid w:val="29D67F55"/>
    <w:rsid w:val="29DCA893"/>
    <w:rsid w:val="29EEABCC"/>
    <w:rsid w:val="29F7E40D"/>
    <w:rsid w:val="2A038D61"/>
    <w:rsid w:val="2A18ADF8"/>
    <w:rsid w:val="2A18F420"/>
    <w:rsid w:val="2A33B09E"/>
    <w:rsid w:val="2A3B4AC1"/>
    <w:rsid w:val="2A51C9D8"/>
    <w:rsid w:val="2A553D5F"/>
    <w:rsid w:val="2A5A9235"/>
    <w:rsid w:val="2A607A77"/>
    <w:rsid w:val="2A6B23F5"/>
    <w:rsid w:val="2A71D723"/>
    <w:rsid w:val="2A7D7D6D"/>
    <w:rsid w:val="2A7F35C3"/>
    <w:rsid w:val="2A8C2FD6"/>
    <w:rsid w:val="2A8EB8F0"/>
    <w:rsid w:val="2A94D218"/>
    <w:rsid w:val="2A992DEB"/>
    <w:rsid w:val="2AB6076F"/>
    <w:rsid w:val="2AB78238"/>
    <w:rsid w:val="2AC2CC8E"/>
    <w:rsid w:val="2AC45D12"/>
    <w:rsid w:val="2AC8A5B2"/>
    <w:rsid w:val="2AFAABEF"/>
    <w:rsid w:val="2B0195C5"/>
    <w:rsid w:val="2B08BAAE"/>
    <w:rsid w:val="2B14881E"/>
    <w:rsid w:val="2B25EECB"/>
    <w:rsid w:val="2B2BFD15"/>
    <w:rsid w:val="2B308EBE"/>
    <w:rsid w:val="2B37795A"/>
    <w:rsid w:val="2B386B72"/>
    <w:rsid w:val="2B3F3303"/>
    <w:rsid w:val="2B48FBE0"/>
    <w:rsid w:val="2B8E8582"/>
    <w:rsid w:val="2B8EE7A0"/>
    <w:rsid w:val="2B984B3F"/>
    <w:rsid w:val="2B9A4FC3"/>
    <w:rsid w:val="2BA292FD"/>
    <w:rsid w:val="2BA34E1E"/>
    <w:rsid w:val="2BADC9EE"/>
    <w:rsid w:val="2BB1C01C"/>
    <w:rsid w:val="2BB55D5D"/>
    <w:rsid w:val="2BC55416"/>
    <w:rsid w:val="2BD17974"/>
    <w:rsid w:val="2BD7D567"/>
    <w:rsid w:val="2BD9D04D"/>
    <w:rsid w:val="2BEBDE5D"/>
    <w:rsid w:val="2BEDE4F5"/>
    <w:rsid w:val="2BF34C1A"/>
    <w:rsid w:val="2BF8952C"/>
    <w:rsid w:val="2C3376D0"/>
    <w:rsid w:val="2C355724"/>
    <w:rsid w:val="2C4800C8"/>
    <w:rsid w:val="2C5621F7"/>
    <w:rsid w:val="2C59E327"/>
    <w:rsid w:val="2C60AF43"/>
    <w:rsid w:val="2C6293EA"/>
    <w:rsid w:val="2C90349C"/>
    <w:rsid w:val="2C94E895"/>
    <w:rsid w:val="2C990AE1"/>
    <w:rsid w:val="2C9BADA1"/>
    <w:rsid w:val="2C9F665B"/>
    <w:rsid w:val="2C9FB57C"/>
    <w:rsid w:val="2CA3F3B3"/>
    <w:rsid w:val="2CC70E96"/>
    <w:rsid w:val="2CD7425E"/>
    <w:rsid w:val="2CDA1ED2"/>
    <w:rsid w:val="2D116CE6"/>
    <w:rsid w:val="2D1C1D6F"/>
    <w:rsid w:val="2D4F44B0"/>
    <w:rsid w:val="2D66AD0D"/>
    <w:rsid w:val="2D6ED1FA"/>
    <w:rsid w:val="2D6F50DB"/>
    <w:rsid w:val="2D7523D4"/>
    <w:rsid w:val="2D800225"/>
    <w:rsid w:val="2D861CB8"/>
    <w:rsid w:val="2D8ABF89"/>
    <w:rsid w:val="2D8DE822"/>
    <w:rsid w:val="2D94FDCA"/>
    <w:rsid w:val="2DAF67AD"/>
    <w:rsid w:val="2DBA6F69"/>
    <w:rsid w:val="2DCAFB7C"/>
    <w:rsid w:val="2DCF397F"/>
    <w:rsid w:val="2DCFBA0B"/>
    <w:rsid w:val="2DF012AD"/>
    <w:rsid w:val="2DF1B99A"/>
    <w:rsid w:val="2DF7BBF1"/>
    <w:rsid w:val="2E04BD14"/>
    <w:rsid w:val="2E16E187"/>
    <w:rsid w:val="2E449FB1"/>
    <w:rsid w:val="2E6697E1"/>
    <w:rsid w:val="2E844363"/>
    <w:rsid w:val="2E89F7EA"/>
    <w:rsid w:val="2EA881F8"/>
    <w:rsid w:val="2EAEFA39"/>
    <w:rsid w:val="2EBFF5B6"/>
    <w:rsid w:val="2EC87F16"/>
    <w:rsid w:val="2ECF8505"/>
    <w:rsid w:val="2ED78F27"/>
    <w:rsid w:val="2EEA8876"/>
    <w:rsid w:val="2F069E94"/>
    <w:rsid w:val="2F088BF3"/>
    <w:rsid w:val="2F1BDE7B"/>
    <w:rsid w:val="2F2988C5"/>
    <w:rsid w:val="2F2DCFD8"/>
    <w:rsid w:val="2F649FA6"/>
    <w:rsid w:val="2F6E76A1"/>
    <w:rsid w:val="2F8A6D8C"/>
    <w:rsid w:val="2F91BA90"/>
    <w:rsid w:val="2F9D567C"/>
    <w:rsid w:val="2F9F5526"/>
    <w:rsid w:val="2FA8376A"/>
    <w:rsid w:val="2FB273BF"/>
    <w:rsid w:val="30066D8A"/>
    <w:rsid w:val="30144141"/>
    <w:rsid w:val="30228AD5"/>
    <w:rsid w:val="3042065A"/>
    <w:rsid w:val="304BF370"/>
    <w:rsid w:val="30539665"/>
    <w:rsid w:val="305C36F9"/>
    <w:rsid w:val="30610BCE"/>
    <w:rsid w:val="306BA9CB"/>
    <w:rsid w:val="306BF983"/>
    <w:rsid w:val="307B7C97"/>
    <w:rsid w:val="30828E97"/>
    <w:rsid w:val="30955573"/>
    <w:rsid w:val="309A6649"/>
    <w:rsid w:val="30B4A349"/>
    <w:rsid w:val="30C82A30"/>
    <w:rsid w:val="30D44418"/>
    <w:rsid w:val="30E7FD1F"/>
    <w:rsid w:val="30E89A9B"/>
    <w:rsid w:val="30E90979"/>
    <w:rsid w:val="30EC1DB3"/>
    <w:rsid w:val="30F218FF"/>
    <w:rsid w:val="3101547D"/>
    <w:rsid w:val="3103C3CA"/>
    <w:rsid w:val="31103B2A"/>
    <w:rsid w:val="31157075"/>
    <w:rsid w:val="3123442E"/>
    <w:rsid w:val="3138449B"/>
    <w:rsid w:val="313D3595"/>
    <w:rsid w:val="3143B598"/>
    <w:rsid w:val="3147BC53"/>
    <w:rsid w:val="314BC341"/>
    <w:rsid w:val="31658169"/>
    <w:rsid w:val="316A3C2D"/>
    <w:rsid w:val="3175207E"/>
    <w:rsid w:val="31761D53"/>
    <w:rsid w:val="3178F653"/>
    <w:rsid w:val="3181A577"/>
    <w:rsid w:val="318B5462"/>
    <w:rsid w:val="318D3AEA"/>
    <w:rsid w:val="31AB642D"/>
    <w:rsid w:val="31C09D56"/>
    <w:rsid w:val="31C32305"/>
    <w:rsid w:val="31D8882C"/>
    <w:rsid w:val="31ED07C9"/>
    <w:rsid w:val="31F0CE79"/>
    <w:rsid w:val="31FDA756"/>
    <w:rsid w:val="320DAB6C"/>
    <w:rsid w:val="32297BCD"/>
    <w:rsid w:val="32464CBA"/>
    <w:rsid w:val="3252F72D"/>
    <w:rsid w:val="3256C0E9"/>
    <w:rsid w:val="3257FC01"/>
    <w:rsid w:val="32636EDF"/>
    <w:rsid w:val="3276FC53"/>
    <w:rsid w:val="32798EE3"/>
    <w:rsid w:val="3280DF2F"/>
    <w:rsid w:val="328890AD"/>
    <w:rsid w:val="328EDE84"/>
    <w:rsid w:val="329B5ADF"/>
    <w:rsid w:val="32A4EE70"/>
    <w:rsid w:val="32B47B58"/>
    <w:rsid w:val="32B6B632"/>
    <w:rsid w:val="32BAFC5A"/>
    <w:rsid w:val="32D43C22"/>
    <w:rsid w:val="330A5C71"/>
    <w:rsid w:val="331EF6A9"/>
    <w:rsid w:val="33296326"/>
    <w:rsid w:val="33439640"/>
    <w:rsid w:val="3350AB4C"/>
    <w:rsid w:val="335348FE"/>
    <w:rsid w:val="33570C44"/>
    <w:rsid w:val="335C32D0"/>
    <w:rsid w:val="3366CAE2"/>
    <w:rsid w:val="337CAD0E"/>
    <w:rsid w:val="3389E114"/>
    <w:rsid w:val="338B0B2E"/>
    <w:rsid w:val="338F6C3A"/>
    <w:rsid w:val="339B92B6"/>
    <w:rsid w:val="33B81557"/>
    <w:rsid w:val="33C59178"/>
    <w:rsid w:val="33CB30CD"/>
    <w:rsid w:val="33DE7D8F"/>
    <w:rsid w:val="3400499D"/>
    <w:rsid w:val="3401028C"/>
    <w:rsid w:val="340223A3"/>
    <w:rsid w:val="341441F4"/>
    <w:rsid w:val="341EC47D"/>
    <w:rsid w:val="343D5C19"/>
    <w:rsid w:val="343DFF60"/>
    <w:rsid w:val="3444C4DE"/>
    <w:rsid w:val="3447D538"/>
    <w:rsid w:val="344F06C8"/>
    <w:rsid w:val="349EFE74"/>
    <w:rsid w:val="349F810B"/>
    <w:rsid w:val="34CAC21F"/>
    <w:rsid w:val="34D3FB2D"/>
    <w:rsid w:val="34D59FE5"/>
    <w:rsid w:val="34FEAEF6"/>
    <w:rsid w:val="3502CBB1"/>
    <w:rsid w:val="350F940A"/>
    <w:rsid w:val="352958B4"/>
    <w:rsid w:val="3530CF89"/>
    <w:rsid w:val="354AFFE2"/>
    <w:rsid w:val="35752848"/>
    <w:rsid w:val="3576308A"/>
    <w:rsid w:val="3586BD79"/>
    <w:rsid w:val="35907BB2"/>
    <w:rsid w:val="3597FC8E"/>
    <w:rsid w:val="359EFE0A"/>
    <w:rsid w:val="35B70A06"/>
    <w:rsid w:val="35C216F2"/>
    <w:rsid w:val="35C7AD23"/>
    <w:rsid w:val="35D0EF16"/>
    <w:rsid w:val="35F0C103"/>
    <w:rsid w:val="35F22DC6"/>
    <w:rsid w:val="360DE5CD"/>
    <w:rsid w:val="36171B31"/>
    <w:rsid w:val="362D79DB"/>
    <w:rsid w:val="3645EF5B"/>
    <w:rsid w:val="3661A89A"/>
    <w:rsid w:val="367C3138"/>
    <w:rsid w:val="3685B66E"/>
    <w:rsid w:val="368E2FA7"/>
    <w:rsid w:val="36907957"/>
    <w:rsid w:val="36A4B93F"/>
    <w:rsid w:val="36B7BA5F"/>
    <w:rsid w:val="36C41CB8"/>
    <w:rsid w:val="36C7DCF1"/>
    <w:rsid w:val="370A95C7"/>
    <w:rsid w:val="372ECE98"/>
    <w:rsid w:val="374049EE"/>
    <w:rsid w:val="3741E92E"/>
    <w:rsid w:val="374E24F5"/>
    <w:rsid w:val="3753CD15"/>
    <w:rsid w:val="37654855"/>
    <w:rsid w:val="37666C81"/>
    <w:rsid w:val="3768D56C"/>
    <w:rsid w:val="37740479"/>
    <w:rsid w:val="37761092"/>
    <w:rsid w:val="378B6D0F"/>
    <w:rsid w:val="37921513"/>
    <w:rsid w:val="379DBE1A"/>
    <w:rsid w:val="37A254FC"/>
    <w:rsid w:val="37AEB376"/>
    <w:rsid w:val="37BC15DB"/>
    <w:rsid w:val="37CEB740"/>
    <w:rsid w:val="37E27EB8"/>
    <w:rsid w:val="37ED74A0"/>
    <w:rsid w:val="37F09210"/>
    <w:rsid w:val="37FE7DF3"/>
    <w:rsid w:val="38033EE3"/>
    <w:rsid w:val="380BD128"/>
    <w:rsid w:val="3816A2A0"/>
    <w:rsid w:val="38203557"/>
    <w:rsid w:val="38296227"/>
    <w:rsid w:val="383D0950"/>
    <w:rsid w:val="38457875"/>
    <w:rsid w:val="38599D66"/>
    <w:rsid w:val="3867F25A"/>
    <w:rsid w:val="386D1FA1"/>
    <w:rsid w:val="3877B207"/>
    <w:rsid w:val="38801864"/>
    <w:rsid w:val="38861022"/>
    <w:rsid w:val="388B177A"/>
    <w:rsid w:val="389EB8CC"/>
    <w:rsid w:val="389F4518"/>
    <w:rsid w:val="38DABE94"/>
    <w:rsid w:val="38F15898"/>
    <w:rsid w:val="38F338C2"/>
    <w:rsid w:val="38FC5F00"/>
    <w:rsid w:val="39070DA6"/>
    <w:rsid w:val="3912952B"/>
    <w:rsid w:val="391602F8"/>
    <w:rsid w:val="3916FBC8"/>
    <w:rsid w:val="391836E3"/>
    <w:rsid w:val="391D3222"/>
    <w:rsid w:val="39219CB3"/>
    <w:rsid w:val="3925CC6F"/>
    <w:rsid w:val="3927BAF8"/>
    <w:rsid w:val="39414D67"/>
    <w:rsid w:val="394AFC7C"/>
    <w:rsid w:val="39533B96"/>
    <w:rsid w:val="396105B8"/>
    <w:rsid w:val="39616E58"/>
    <w:rsid w:val="3963A7F1"/>
    <w:rsid w:val="3964FC30"/>
    <w:rsid w:val="39664BB1"/>
    <w:rsid w:val="3978B93A"/>
    <w:rsid w:val="398AB872"/>
    <w:rsid w:val="398F9533"/>
    <w:rsid w:val="39C16168"/>
    <w:rsid w:val="39C39F0B"/>
    <w:rsid w:val="39C6066A"/>
    <w:rsid w:val="39C8087E"/>
    <w:rsid w:val="39CC3619"/>
    <w:rsid w:val="39DFD501"/>
    <w:rsid w:val="39EAB45B"/>
    <w:rsid w:val="39F50151"/>
    <w:rsid w:val="3A008E39"/>
    <w:rsid w:val="3A0EC9DE"/>
    <w:rsid w:val="3A10C7DA"/>
    <w:rsid w:val="3A11E006"/>
    <w:rsid w:val="3A1738D6"/>
    <w:rsid w:val="3A1E8F1D"/>
    <w:rsid w:val="3A26E0A3"/>
    <w:rsid w:val="3A3DEBD1"/>
    <w:rsid w:val="3A515CFA"/>
    <w:rsid w:val="3A5641EE"/>
    <w:rsid w:val="3A590F2D"/>
    <w:rsid w:val="3A5E6511"/>
    <w:rsid w:val="3A6BED9F"/>
    <w:rsid w:val="3A726E63"/>
    <w:rsid w:val="3A9F1962"/>
    <w:rsid w:val="3A9F25E2"/>
    <w:rsid w:val="3AA42BED"/>
    <w:rsid w:val="3AB95C49"/>
    <w:rsid w:val="3AD4339E"/>
    <w:rsid w:val="3ADA052E"/>
    <w:rsid w:val="3ADFBA4A"/>
    <w:rsid w:val="3AE0136C"/>
    <w:rsid w:val="3AE46807"/>
    <w:rsid w:val="3AF35B06"/>
    <w:rsid w:val="3B06A650"/>
    <w:rsid w:val="3B0C4C51"/>
    <w:rsid w:val="3B1DA4F1"/>
    <w:rsid w:val="3B3A9556"/>
    <w:rsid w:val="3B43CB87"/>
    <w:rsid w:val="3B50B636"/>
    <w:rsid w:val="3B5AB2D6"/>
    <w:rsid w:val="3B636827"/>
    <w:rsid w:val="3B701CBF"/>
    <w:rsid w:val="3B788CEF"/>
    <w:rsid w:val="3B7FB153"/>
    <w:rsid w:val="3B80E999"/>
    <w:rsid w:val="3B8E0186"/>
    <w:rsid w:val="3BAC8109"/>
    <w:rsid w:val="3BB0A5B4"/>
    <w:rsid w:val="3BC95EBD"/>
    <w:rsid w:val="3BD91498"/>
    <w:rsid w:val="3BDDE972"/>
    <w:rsid w:val="3BE41253"/>
    <w:rsid w:val="3BE6D53F"/>
    <w:rsid w:val="3BE97743"/>
    <w:rsid w:val="3BED5A59"/>
    <w:rsid w:val="3C098604"/>
    <w:rsid w:val="3C11A611"/>
    <w:rsid w:val="3C173306"/>
    <w:rsid w:val="3C1ECADB"/>
    <w:rsid w:val="3C1ECE14"/>
    <w:rsid w:val="3C1FC388"/>
    <w:rsid w:val="3C21474C"/>
    <w:rsid w:val="3C31A20E"/>
    <w:rsid w:val="3C373108"/>
    <w:rsid w:val="3C3C720A"/>
    <w:rsid w:val="3C4096F8"/>
    <w:rsid w:val="3C41FF08"/>
    <w:rsid w:val="3C4C4362"/>
    <w:rsid w:val="3C57B4EA"/>
    <w:rsid w:val="3C57DB96"/>
    <w:rsid w:val="3C66A745"/>
    <w:rsid w:val="3C6D19AF"/>
    <w:rsid w:val="3C779779"/>
    <w:rsid w:val="3C875C0E"/>
    <w:rsid w:val="3C8C0388"/>
    <w:rsid w:val="3C9BF96E"/>
    <w:rsid w:val="3C9EF5A7"/>
    <w:rsid w:val="3CA26716"/>
    <w:rsid w:val="3CA5CFE9"/>
    <w:rsid w:val="3CC425CA"/>
    <w:rsid w:val="3CDB9EBA"/>
    <w:rsid w:val="3CEB6DFA"/>
    <w:rsid w:val="3CF657C6"/>
    <w:rsid w:val="3D04DF5C"/>
    <w:rsid w:val="3D197AEF"/>
    <w:rsid w:val="3D29EFA5"/>
    <w:rsid w:val="3D4BA349"/>
    <w:rsid w:val="3D4E51D6"/>
    <w:rsid w:val="3D502922"/>
    <w:rsid w:val="3D65DEA4"/>
    <w:rsid w:val="3D737584"/>
    <w:rsid w:val="3D7524E5"/>
    <w:rsid w:val="3D75E3D7"/>
    <w:rsid w:val="3D99FA9C"/>
    <w:rsid w:val="3D9EF72B"/>
    <w:rsid w:val="3DA00B44"/>
    <w:rsid w:val="3DA53C0B"/>
    <w:rsid w:val="3DA6A2A0"/>
    <w:rsid w:val="3DADA258"/>
    <w:rsid w:val="3DBCE540"/>
    <w:rsid w:val="3DCC6051"/>
    <w:rsid w:val="3DD3A555"/>
    <w:rsid w:val="3DF477C3"/>
    <w:rsid w:val="3E142025"/>
    <w:rsid w:val="3E2AB910"/>
    <w:rsid w:val="3E3EB991"/>
    <w:rsid w:val="3E4617C2"/>
    <w:rsid w:val="3E46C456"/>
    <w:rsid w:val="3E541139"/>
    <w:rsid w:val="3E592D48"/>
    <w:rsid w:val="3E5B4830"/>
    <w:rsid w:val="3E682935"/>
    <w:rsid w:val="3E748A26"/>
    <w:rsid w:val="3E9269B6"/>
    <w:rsid w:val="3E931A13"/>
    <w:rsid w:val="3EA37D07"/>
    <w:rsid w:val="3EA6B491"/>
    <w:rsid w:val="3EB25A5C"/>
    <w:rsid w:val="3EBC6EED"/>
    <w:rsid w:val="3ECE474F"/>
    <w:rsid w:val="3EE0FA28"/>
    <w:rsid w:val="3F039CBA"/>
    <w:rsid w:val="3F099D43"/>
    <w:rsid w:val="3F0E11F6"/>
    <w:rsid w:val="3F27B944"/>
    <w:rsid w:val="3F2BE34E"/>
    <w:rsid w:val="3F30F37B"/>
    <w:rsid w:val="3F3C2EF9"/>
    <w:rsid w:val="3F44C58A"/>
    <w:rsid w:val="3F4A26A8"/>
    <w:rsid w:val="3F50012E"/>
    <w:rsid w:val="3F57BEE7"/>
    <w:rsid w:val="3F59994E"/>
    <w:rsid w:val="3F6877BD"/>
    <w:rsid w:val="3F78B7C8"/>
    <w:rsid w:val="3F7C7191"/>
    <w:rsid w:val="3F7DBBB7"/>
    <w:rsid w:val="3F803EE2"/>
    <w:rsid w:val="3F8371E4"/>
    <w:rsid w:val="3F83829B"/>
    <w:rsid w:val="3FA67B3F"/>
    <w:rsid w:val="3FB966F5"/>
    <w:rsid w:val="3FBBD185"/>
    <w:rsid w:val="3FC255E6"/>
    <w:rsid w:val="3FCB6987"/>
    <w:rsid w:val="3FCD9304"/>
    <w:rsid w:val="3FCF0D6A"/>
    <w:rsid w:val="3FDBE12B"/>
    <w:rsid w:val="3FE12D67"/>
    <w:rsid w:val="3FE805C0"/>
    <w:rsid w:val="3FE90392"/>
    <w:rsid w:val="3FFEE1C8"/>
    <w:rsid w:val="40019805"/>
    <w:rsid w:val="40131F55"/>
    <w:rsid w:val="402B612D"/>
    <w:rsid w:val="40456FA6"/>
    <w:rsid w:val="40479F94"/>
    <w:rsid w:val="40532A6F"/>
    <w:rsid w:val="405364FA"/>
    <w:rsid w:val="406B9E6C"/>
    <w:rsid w:val="4089727A"/>
    <w:rsid w:val="4090E420"/>
    <w:rsid w:val="40A6413A"/>
    <w:rsid w:val="40B8AF2E"/>
    <w:rsid w:val="40C6B0F1"/>
    <w:rsid w:val="40CA0EAB"/>
    <w:rsid w:val="40CFEAA1"/>
    <w:rsid w:val="40D26BF9"/>
    <w:rsid w:val="40D4D81B"/>
    <w:rsid w:val="40F241F5"/>
    <w:rsid w:val="410A235C"/>
    <w:rsid w:val="410E22CC"/>
    <w:rsid w:val="410EE687"/>
    <w:rsid w:val="4113581E"/>
    <w:rsid w:val="4121B739"/>
    <w:rsid w:val="4129DE6D"/>
    <w:rsid w:val="41362F01"/>
    <w:rsid w:val="4141F26E"/>
    <w:rsid w:val="41531A76"/>
    <w:rsid w:val="415F4169"/>
    <w:rsid w:val="416F3869"/>
    <w:rsid w:val="41767CD8"/>
    <w:rsid w:val="4178626C"/>
    <w:rsid w:val="417E0E0F"/>
    <w:rsid w:val="41989B82"/>
    <w:rsid w:val="41B000D1"/>
    <w:rsid w:val="41B4A773"/>
    <w:rsid w:val="41BEC9A0"/>
    <w:rsid w:val="41D3BE7A"/>
    <w:rsid w:val="41DA74F6"/>
    <w:rsid w:val="41E663B5"/>
    <w:rsid w:val="41EB2224"/>
    <w:rsid w:val="41F58B87"/>
    <w:rsid w:val="42082473"/>
    <w:rsid w:val="42108FC1"/>
    <w:rsid w:val="421A1D33"/>
    <w:rsid w:val="421E70E1"/>
    <w:rsid w:val="4220D8FA"/>
    <w:rsid w:val="4221C21C"/>
    <w:rsid w:val="4221E9C4"/>
    <w:rsid w:val="42359EAA"/>
    <w:rsid w:val="423660E5"/>
    <w:rsid w:val="42394D89"/>
    <w:rsid w:val="426C956F"/>
    <w:rsid w:val="4271B723"/>
    <w:rsid w:val="4273829C"/>
    <w:rsid w:val="4294BC3C"/>
    <w:rsid w:val="42A38015"/>
    <w:rsid w:val="42B8493D"/>
    <w:rsid w:val="42C87846"/>
    <w:rsid w:val="42D92DBF"/>
    <w:rsid w:val="42D9B1BE"/>
    <w:rsid w:val="42DC84B9"/>
    <w:rsid w:val="42EF3301"/>
    <w:rsid w:val="42F0C3A1"/>
    <w:rsid w:val="42F4244E"/>
    <w:rsid w:val="4314DBF4"/>
    <w:rsid w:val="431B16AD"/>
    <w:rsid w:val="4327F7A6"/>
    <w:rsid w:val="434E6AE2"/>
    <w:rsid w:val="4358C787"/>
    <w:rsid w:val="43778FBE"/>
    <w:rsid w:val="43796DC0"/>
    <w:rsid w:val="43837368"/>
    <w:rsid w:val="4395A40A"/>
    <w:rsid w:val="43AD3C9C"/>
    <w:rsid w:val="43B75BAF"/>
    <w:rsid w:val="43C7BC5A"/>
    <w:rsid w:val="43D4A944"/>
    <w:rsid w:val="43DE2A0A"/>
    <w:rsid w:val="43E459BE"/>
    <w:rsid w:val="43ED3C0C"/>
    <w:rsid w:val="43F15226"/>
    <w:rsid w:val="43F2599C"/>
    <w:rsid w:val="43F40AE1"/>
    <w:rsid w:val="43FFFFCB"/>
    <w:rsid w:val="4412485B"/>
    <w:rsid w:val="442CAA23"/>
    <w:rsid w:val="442D51B8"/>
    <w:rsid w:val="445AAA6D"/>
    <w:rsid w:val="445DC494"/>
    <w:rsid w:val="44761704"/>
    <w:rsid w:val="44A77616"/>
    <w:rsid w:val="44AA330E"/>
    <w:rsid w:val="44C0988F"/>
    <w:rsid w:val="44D82A92"/>
    <w:rsid w:val="44DD4D2D"/>
    <w:rsid w:val="44DDEED2"/>
    <w:rsid w:val="44E06D86"/>
    <w:rsid w:val="44E0F81A"/>
    <w:rsid w:val="44E9CC1C"/>
    <w:rsid w:val="44F38D47"/>
    <w:rsid w:val="44FDC73F"/>
    <w:rsid w:val="45015D7C"/>
    <w:rsid w:val="451C3F58"/>
    <w:rsid w:val="45332935"/>
    <w:rsid w:val="453FF468"/>
    <w:rsid w:val="456120B1"/>
    <w:rsid w:val="457321DC"/>
    <w:rsid w:val="457C2C6D"/>
    <w:rsid w:val="458DFB6B"/>
    <w:rsid w:val="458F4293"/>
    <w:rsid w:val="45924038"/>
    <w:rsid w:val="459D6CCC"/>
    <w:rsid w:val="45BC4335"/>
    <w:rsid w:val="45D6B7C1"/>
    <w:rsid w:val="45E45C86"/>
    <w:rsid w:val="45E7861F"/>
    <w:rsid w:val="45F30936"/>
    <w:rsid w:val="45F8ACA2"/>
    <w:rsid w:val="45FA4CFE"/>
    <w:rsid w:val="46038428"/>
    <w:rsid w:val="46050EC6"/>
    <w:rsid w:val="4609C2AC"/>
    <w:rsid w:val="460F4952"/>
    <w:rsid w:val="4610A49D"/>
    <w:rsid w:val="46228203"/>
    <w:rsid w:val="46243E66"/>
    <w:rsid w:val="4628AA88"/>
    <w:rsid w:val="4635A514"/>
    <w:rsid w:val="46534EB5"/>
    <w:rsid w:val="465C339D"/>
    <w:rsid w:val="466F016D"/>
    <w:rsid w:val="4699D67D"/>
    <w:rsid w:val="469AE4FB"/>
    <w:rsid w:val="46A73A8B"/>
    <w:rsid w:val="46A8E987"/>
    <w:rsid w:val="46AC0FD7"/>
    <w:rsid w:val="46B65474"/>
    <w:rsid w:val="46CC0EB5"/>
    <w:rsid w:val="46CCF148"/>
    <w:rsid w:val="46CF050E"/>
    <w:rsid w:val="46EBD91E"/>
    <w:rsid w:val="46EC13F9"/>
    <w:rsid w:val="46ED76AA"/>
    <w:rsid w:val="46EE2740"/>
    <w:rsid w:val="47098182"/>
    <w:rsid w:val="4720059D"/>
    <w:rsid w:val="474C049F"/>
    <w:rsid w:val="475125C5"/>
    <w:rsid w:val="47699B5D"/>
    <w:rsid w:val="4770C0D8"/>
    <w:rsid w:val="477DA58E"/>
    <w:rsid w:val="478C0CA1"/>
    <w:rsid w:val="479921A1"/>
    <w:rsid w:val="479DFA81"/>
    <w:rsid w:val="479FCF78"/>
    <w:rsid w:val="47A780BB"/>
    <w:rsid w:val="47A82644"/>
    <w:rsid w:val="47A992C4"/>
    <w:rsid w:val="47B4C3B9"/>
    <w:rsid w:val="47C9B881"/>
    <w:rsid w:val="47CD6792"/>
    <w:rsid w:val="47E9A89E"/>
    <w:rsid w:val="47EB27FF"/>
    <w:rsid w:val="47F1DA32"/>
    <w:rsid w:val="47FCFB79"/>
    <w:rsid w:val="47FD7498"/>
    <w:rsid w:val="480AA59C"/>
    <w:rsid w:val="480B692B"/>
    <w:rsid w:val="4826230F"/>
    <w:rsid w:val="48284671"/>
    <w:rsid w:val="48362A0C"/>
    <w:rsid w:val="4845051D"/>
    <w:rsid w:val="484AAFC8"/>
    <w:rsid w:val="48544ED8"/>
    <w:rsid w:val="486148DA"/>
    <w:rsid w:val="4861837F"/>
    <w:rsid w:val="4862AD70"/>
    <w:rsid w:val="486461F8"/>
    <w:rsid w:val="48689BD7"/>
    <w:rsid w:val="48721B29"/>
    <w:rsid w:val="487E0A51"/>
    <w:rsid w:val="48815C5C"/>
    <w:rsid w:val="489C5FCE"/>
    <w:rsid w:val="489F9D5A"/>
    <w:rsid w:val="48A26A96"/>
    <w:rsid w:val="48A2F7BE"/>
    <w:rsid w:val="48D94EFD"/>
    <w:rsid w:val="48DFE093"/>
    <w:rsid w:val="48ECD1DB"/>
    <w:rsid w:val="48FDF653"/>
    <w:rsid w:val="4916F785"/>
    <w:rsid w:val="492241F0"/>
    <w:rsid w:val="492A0264"/>
    <w:rsid w:val="492C5D14"/>
    <w:rsid w:val="492E60E0"/>
    <w:rsid w:val="493509E8"/>
    <w:rsid w:val="4935BF83"/>
    <w:rsid w:val="493F8F88"/>
    <w:rsid w:val="495BAF7C"/>
    <w:rsid w:val="495F3A05"/>
    <w:rsid w:val="49882CA4"/>
    <w:rsid w:val="498EA709"/>
    <w:rsid w:val="4995DB70"/>
    <w:rsid w:val="499A4CD2"/>
    <w:rsid w:val="49B9CA16"/>
    <w:rsid w:val="49BBC11F"/>
    <w:rsid w:val="49BDA673"/>
    <w:rsid w:val="49C11123"/>
    <w:rsid w:val="49C7EFCF"/>
    <w:rsid w:val="49D71B54"/>
    <w:rsid w:val="4A01EA11"/>
    <w:rsid w:val="4A117EA8"/>
    <w:rsid w:val="4A248F4F"/>
    <w:rsid w:val="4A28EEEF"/>
    <w:rsid w:val="4A2EE372"/>
    <w:rsid w:val="4A35EA67"/>
    <w:rsid w:val="4A3CB133"/>
    <w:rsid w:val="4A499A1A"/>
    <w:rsid w:val="4A5888F7"/>
    <w:rsid w:val="4A700E4B"/>
    <w:rsid w:val="4A768FD2"/>
    <w:rsid w:val="4AA399F8"/>
    <w:rsid w:val="4AA3D008"/>
    <w:rsid w:val="4ABE288F"/>
    <w:rsid w:val="4AC634E1"/>
    <w:rsid w:val="4AD29390"/>
    <w:rsid w:val="4AD40571"/>
    <w:rsid w:val="4B0690D0"/>
    <w:rsid w:val="4B289BEB"/>
    <w:rsid w:val="4B301B72"/>
    <w:rsid w:val="4B40C833"/>
    <w:rsid w:val="4B53DFD7"/>
    <w:rsid w:val="4B5F56B1"/>
    <w:rsid w:val="4B8FF6B9"/>
    <w:rsid w:val="4B93A4EB"/>
    <w:rsid w:val="4BC5664B"/>
    <w:rsid w:val="4BC72999"/>
    <w:rsid w:val="4BD7C17C"/>
    <w:rsid w:val="4BE0476D"/>
    <w:rsid w:val="4BEDFE8D"/>
    <w:rsid w:val="4BEE4B4E"/>
    <w:rsid w:val="4C1864C2"/>
    <w:rsid w:val="4C2648BC"/>
    <w:rsid w:val="4C2FEAF0"/>
    <w:rsid w:val="4C5C27A0"/>
    <w:rsid w:val="4C6CB741"/>
    <w:rsid w:val="4C6DCBC5"/>
    <w:rsid w:val="4C759C1C"/>
    <w:rsid w:val="4C77CADD"/>
    <w:rsid w:val="4C7AF661"/>
    <w:rsid w:val="4C7E2292"/>
    <w:rsid w:val="4C8B9EF8"/>
    <w:rsid w:val="4CEADDDC"/>
    <w:rsid w:val="4CEAE71F"/>
    <w:rsid w:val="4D0A66FB"/>
    <w:rsid w:val="4D29F4F6"/>
    <w:rsid w:val="4D339DA1"/>
    <w:rsid w:val="4D3EBDD8"/>
    <w:rsid w:val="4D4399DD"/>
    <w:rsid w:val="4D46EBB0"/>
    <w:rsid w:val="4D497C20"/>
    <w:rsid w:val="4D50798E"/>
    <w:rsid w:val="4D5FF122"/>
    <w:rsid w:val="4D7EF33F"/>
    <w:rsid w:val="4D878569"/>
    <w:rsid w:val="4D8D805B"/>
    <w:rsid w:val="4D9B4114"/>
    <w:rsid w:val="4DB47B9D"/>
    <w:rsid w:val="4DBA790F"/>
    <w:rsid w:val="4DC29B80"/>
    <w:rsid w:val="4DD18795"/>
    <w:rsid w:val="4DDB3860"/>
    <w:rsid w:val="4DE33B8E"/>
    <w:rsid w:val="4DE7C904"/>
    <w:rsid w:val="4DEAB222"/>
    <w:rsid w:val="4DF1C080"/>
    <w:rsid w:val="4E00B688"/>
    <w:rsid w:val="4E0755B2"/>
    <w:rsid w:val="4E25F12E"/>
    <w:rsid w:val="4E4855C2"/>
    <w:rsid w:val="4E6682A7"/>
    <w:rsid w:val="4E764912"/>
    <w:rsid w:val="4E7BE02C"/>
    <w:rsid w:val="4E987A41"/>
    <w:rsid w:val="4E9B2526"/>
    <w:rsid w:val="4E9F7DCD"/>
    <w:rsid w:val="4EA14ED7"/>
    <w:rsid w:val="4EA9F4A8"/>
    <w:rsid w:val="4EC97BB5"/>
    <w:rsid w:val="4EED89FE"/>
    <w:rsid w:val="4F05DB31"/>
    <w:rsid w:val="4F0842E5"/>
    <w:rsid w:val="4F42F736"/>
    <w:rsid w:val="4F46BF74"/>
    <w:rsid w:val="4F4C77D1"/>
    <w:rsid w:val="4F5A352D"/>
    <w:rsid w:val="4F760A00"/>
    <w:rsid w:val="4F7B85FB"/>
    <w:rsid w:val="4F8DDE8B"/>
    <w:rsid w:val="4FA31B41"/>
    <w:rsid w:val="4FA532F4"/>
    <w:rsid w:val="4FBBAC19"/>
    <w:rsid w:val="4FC80716"/>
    <w:rsid w:val="4FCA7AAA"/>
    <w:rsid w:val="4FDA6684"/>
    <w:rsid w:val="4FE9B768"/>
    <w:rsid w:val="4FF7757F"/>
    <w:rsid w:val="500260B1"/>
    <w:rsid w:val="500836C6"/>
    <w:rsid w:val="500F776B"/>
    <w:rsid w:val="50312BBC"/>
    <w:rsid w:val="50367C79"/>
    <w:rsid w:val="503EA2B7"/>
    <w:rsid w:val="504F306E"/>
    <w:rsid w:val="504FE687"/>
    <w:rsid w:val="5056D7D8"/>
    <w:rsid w:val="505D7963"/>
    <w:rsid w:val="50656580"/>
    <w:rsid w:val="50670A03"/>
    <w:rsid w:val="506A08E6"/>
    <w:rsid w:val="506B64FB"/>
    <w:rsid w:val="5078EB9D"/>
    <w:rsid w:val="5081BAB9"/>
    <w:rsid w:val="5091ADA8"/>
    <w:rsid w:val="509E42B7"/>
    <w:rsid w:val="509EF099"/>
    <w:rsid w:val="50A4603D"/>
    <w:rsid w:val="50B88538"/>
    <w:rsid w:val="50C1A62F"/>
    <w:rsid w:val="50C9B496"/>
    <w:rsid w:val="50CC8E9C"/>
    <w:rsid w:val="50D06359"/>
    <w:rsid w:val="50E30712"/>
    <w:rsid w:val="50E3BBAD"/>
    <w:rsid w:val="50E749BC"/>
    <w:rsid w:val="51007AD1"/>
    <w:rsid w:val="5115B700"/>
    <w:rsid w:val="51289D32"/>
    <w:rsid w:val="512C813D"/>
    <w:rsid w:val="512F8462"/>
    <w:rsid w:val="514BA47C"/>
    <w:rsid w:val="514C6F7C"/>
    <w:rsid w:val="515E9A78"/>
    <w:rsid w:val="51813CFB"/>
    <w:rsid w:val="51829D69"/>
    <w:rsid w:val="51B7C1FA"/>
    <w:rsid w:val="51C4A78A"/>
    <w:rsid w:val="51CA7B4B"/>
    <w:rsid w:val="51E7D5B7"/>
    <w:rsid w:val="51E95F35"/>
    <w:rsid w:val="51ECDC33"/>
    <w:rsid w:val="52075A30"/>
    <w:rsid w:val="521569D2"/>
    <w:rsid w:val="523D5F81"/>
    <w:rsid w:val="525F9B13"/>
    <w:rsid w:val="526B5861"/>
    <w:rsid w:val="5270B36E"/>
    <w:rsid w:val="5298DFAF"/>
    <w:rsid w:val="52A3B311"/>
    <w:rsid w:val="52ADB91A"/>
    <w:rsid w:val="52C353CD"/>
    <w:rsid w:val="52E5050F"/>
    <w:rsid w:val="52EC31D2"/>
    <w:rsid w:val="5309C7AE"/>
    <w:rsid w:val="530AFB2F"/>
    <w:rsid w:val="530F39AA"/>
    <w:rsid w:val="53213414"/>
    <w:rsid w:val="53251A98"/>
    <w:rsid w:val="532D0A05"/>
    <w:rsid w:val="532DFFB6"/>
    <w:rsid w:val="5338726B"/>
    <w:rsid w:val="53450CF9"/>
    <w:rsid w:val="53503F7D"/>
    <w:rsid w:val="53509A10"/>
    <w:rsid w:val="5355FE5A"/>
    <w:rsid w:val="535F9B0C"/>
    <w:rsid w:val="53786345"/>
    <w:rsid w:val="5379028A"/>
    <w:rsid w:val="5395B9D2"/>
    <w:rsid w:val="539AF1EB"/>
    <w:rsid w:val="539BDD6E"/>
    <w:rsid w:val="53A7E927"/>
    <w:rsid w:val="53BA3425"/>
    <w:rsid w:val="53C47C28"/>
    <w:rsid w:val="53C961FA"/>
    <w:rsid w:val="53CFB0A4"/>
    <w:rsid w:val="53DC19A2"/>
    <w:rsid w:val="53EBC87F"/>
    <w:rsid w:val="53F0586A"/>
    <w:rsid w:val="53F4B6B8"/>
    <w:rsid w:val="53F70B54"/>
    <w:rsid w:val="53FE1ACC"/>
    <w:rsid w:val="540C9673"/>
    <w:rsid w:val="5424913D"/>
    <w:rsid w:val="5426B43F"/>
    <w:rsid w:val="543D0684"/>
    <w:rsid w:val="5448025F"/>
    <w:rsid w:val="545445A3"/>
    <w:rsid w:val="545FFFEB"/>
    <w:rsid w:val="5472C2AB"/>
    <w:rsid w:val="547DC6E8"/>
    <w:rsid w:val="548D9A2E"/>
    <w:rsid w:val="5491F1EB"/>
    <w:rsid w:val="549E8563"/>
    <w:rsid w:val="549F9BFF"/>
    <w:rsid w:val="54D2C897"/>
    <w:rsid w:val="54DDD8D6"/>
    <w:rsid w:val="54FC9943"/>
    <w:rsid w:val="55007208"/>
    <w:rsid w:val="550157B1"/>
    <w:rsid w:val="55028F92"/>
    <w:rsid w:val="551154CD"/>
    <w:rsid w:val="5516C205"/>
    <w:rsid w:val="551ADD53"/>
    <w:rsid w:val="551D9DF1"/>
    <w:rsid w:val="55533129"/>
    <w:rsid w:val="556AE3E0"/>
    <w:rsid w:val="55717F0E"/>
    <w:rsid w:val="557CD7FB"/>
    <w:rsid w:val="557D48F2"/>
    <w:rsid w:val="55C6EB3D"/>
    <w:rsid w:val="55CB7FAF"/>
    <w:rsid w:val="55D7F2F3"/>
    <w:rsid w:val="55E1BBD4"/>
    <w:rsid w:val="55E7EAA3"/>
    <w:rsid w:val="55EAEDE7"/>
    <w:rsid w:val="55EE4CB9"/>
    <w:rsid w:val="5605204C"/>
    <w:rsid w:val="560A33A2"/>
    <w:rsid w:val="56147760"/>
    <w:rsid w:val="561AC9EA"/>
    <w:rsid w:val="562AECD4"/>
    <w:rsid w:val="562FAD04"/>
    <w:rsid w:val="56363329"/>
    <w:rsid w:val="563A2D15"/>
    <w:rsid w:val="564577CB"/>
    <w:rsid w:val="5649465C"/>
    <w:rsid w:val="566C67FE"/>
    <w:rsid w:val="566EF5BA"/>
    <w:rsid w:val="567652E4"/>
    <w:rsid w:val="5696894F"/>
    <w:rsid w:val="56A10614"/>
    <w:rsid w:val="56B4A43A"/>
    <w:rsid w:val="56B4D487"/>
    <w:rsid w:val="56B6B2C0"/>
    <w:rsid w:val="56BDA9A5"/>
    <w:rsid w:val="56E9F962"/>
    <w:rsid w:val="56F15B11"/>
    <w:rsid w:val="5707DBC4"/>
    <w:rsid w:val="571CA98C"/>
    <w:rsid w:val="5746215B"/>
    <w:rsid w:val="5749D97F"/>
    <w:rsid w:val="57589CC0"/>
    <w:rsid w:val="57697674"/>
    <w:rsid w:val="57858720"/>
    <w:rsid w:val="57B45C6C"/>
    <w:rsid w:val="57B4C4D2"/>
    <w:rsid w:val="57C456C6"/>
    <w:rsid w:val="57D5079E"/>
    <w:rsid w:val="57E86B04"/>
    <w:rsid w:val="57EB358B"/>
    <w:rsid w:val="57F6C9BF"/>
    <w:rsid w:val="582A72A0"/>
    <w:rsid w:val="582AF82E"/>
    <w:rsid w:val="5841FB25"/>
    <w:rsid w:val="58547CA1"/>
    <w:rsid w:val="5869BB25"/>
    <w:rsid w:val="5884613E"/>
    <w:rsid w:val="588D06E9"/>
    <w:rsid w:val="58AE1A63"/>
    <w:rsid w:val="58AEB00B"/>
    <w:rsid w:val="58B373BB"/>
    <w:rsid w:val="58B3A7CA"/>
    <w:rsid w:val="58B5F61C"/>
    <w:rsid w:val="58B9FB60"/>
    <w:rsid w:val="58D8676C"/>
    <w:rsid w:val="58FF232A"/>
    <w:rsid w:val="5901897E"/>
    <w:rsid w:val="59096E2E"/>
    <w:rsid w:val="5918AA18"/>
    <w:rsid w:val="5924A6C7"/>
    <w:rsid w:val="592778BE"/>
    <w:rsid w:val="594BF227"/>
    <w:rsid w:val="595412DF"/>
    <w:rsid w:val="595F0F74"/>
    <w:rsid w:val="595F9351"/>
    <w:rsid w:val="597450A6"/>
    <w:rsid w:val="5975D5EC"/>
    <w:rsid w:val="598598EC"/>
    <w:rsid w:val="598B5920"/>
    <w:rsid w:val="59922257"/>
    <w:rsid w:val="59947959"/>
    <w:rsid w:val="5996F105"/>
    <w:rsid w:val="599E16D8"/>
    <w:rsid w:val="59AAA2F2"/>
    <w:rsid w:val="59AFFC17"/>
    <w:rsid w:val="59C0E737"/>
    <w:rsid w:val="59CAA601"/>
    <w:rsid w:val="59DB058B"/>
    <w:rsid w:val="59E36916"/>
    <w:rsid w:val="59FE1006"/>
    <w:rsid w:val="5A06D5D0"/>
    <w:rsid w:val="5A0AD6B5"/>
    <w:rsid w:val="5A102C79"/>
    <w:rsid w:val="5A1F26DD"/>
    <w:rsid w:val="5A2E9B17"/>
    <w:rsid w:val="5A41AA5D"/>
    <w:rsid w:val="5A5249D9"/>
    <w:rsid w:val="5A829021"/>
    <w:rsid w:val="5A8ADFB9"/>
    <w:rsid w:val="5AB41153"/>
    <w:rsid w:val="5ACE05FF"/>
    <w:rsid w:val="5AD1D5D7"/>
    <w:rsid w:val="5AE919BB"/>
    <w:rsid w:val="5B0908E9"/>
    <w:rsid w:val="5B09ED61"/>
    <w:rsid w:val="5B12208A"/>
    <w:rsid w:val="5B33D783"/>
    <w:rsid w:val="5B39D0A7"/>
    <w:rsid w:val="5B3F93F1"/>
    <w:rsid w:val="5B4588F0"/>
    <w:rsid w:val="5B45AB29"/>
    <w:rsid w:val="5B53D9DF"/>
    <w:rsid w:val="5B5B8231"/>
    <w:rsid w:val="5B616D3E"/>
    <w:rsid w:val="5B709255"/>
    <w:rsid w:val="5B809BF6"/>
    <w:rsid w:val="5B8E005A"/>
    <w:rsid w:val="5B9277A2"/>
    <w:rsid w:val="5B935E2B"/>
    <w:rsid w:val="5B9C4E3A"/>
    <w:rsid w:val="5BBCFA8A"/>
    <w:rsid w:val="5BC26CE0"/>
    <w:rsid w:val="5BC886E2"/>
    <w:rsid w:val="5BC9CD36"/>
    <w:rsid w:val="5BF144ED"/>
    <w:rsid w:val="5C12D222"/>
    <w:rsid w:val="5C31BA71"/>
    <w:rsid w:val="5C3CF883"/>
    <w:rsid w:val="5C6BA4D4"/>
    <w:rsid w:val="5C6F8D8B"/>
    <w:rsid w:val="5C7D33F6"/>
    <w:rsid w:val="5C7F6B11"/>
    <w:rsid w:val="5C9315AA"/>
    <w:rsid w:val="5CAB29A7"/>
    <w:rsid w:val="5CF35761"/>
    <w:rsid w:val="5CF7BDF0"/>
    <w:rsid w:val="5CF9ADD8"/>
    <w:rsid w:val="5D08297C"/>
    <w:rsid w:val="5D0D9699"/>
    <w:rsid w:val="5D0EE99E"/>
    <w:rsid w:val="5D1DEA98"/>
    <w:rsid w:val="5D276508"/>
    <w:rsid w:val="5D2F21AD"/>
    <w:rsid w:val="5D32AB57"/>
    <w:rsid w:val="5D49DFD2"/>
    <w:rsid w:val="5D6836B3"/>
    <w:rsid w:val="5D7B4224"/>
    <w:rsid w:val="5DA72DCA"/>
    <w:rsid w:val="5DAA0EF3"/>
    <w:rsid w:val="5DAD13F9"/>
    <w:rsid w:val="5DDF906F"/>
    <w:rsid w:val="5DFFF780"/>
    <w:rsid w:val="5E0EF6F4"/>
    <w:rsid w:val="5E150527"/>
    <w:rsid w:val="5E2742ED"/>
    <w:rsid w:val="5E37522F"/>
    <w:rsid w:val="5E4CF98F"/>
    <w:rsid w:val="5E57E0D9"/>
    <w:rsid w:val="5E5D1682"/>
    <w:rsid w:val="5E6A3AB6"/>
    <w:rsid w:val="5E88270A"/>
    <w:rsid w:val="5E8E1575"/>
    <w:rsid w:val="5EC71A70"/>
    <w:rsid w:val="5ECE45A8"/>
    <w:rsid w:val="5EE1201E"/>
    <w:rsid w:val="5EEB5D50"/>
    <w:rsid w:val="5EFB91A8"/>
    <w:rsid w:val="5F0027A9"/>
    <w:rsid w:val="5F1445AE"/>
    <w:rsid w:val="5F1C539E"/>
    <w:rsid w:val="5F35ACE6"/>
    <w:rsid w:val="5F38240F"/>
    <w:rsid w:val="5F432B5A"/>
    <w:rsid w:val="5F4BDA06"/>
    <w:rsid w:val="5F5A42BD"/>
    <w:rsid w:val="5F8B780D"/>
    <w:rsid w:val="5FA18012"/>
    <w:rsid w:val="5FA4F39D"/>
    <w:rsid w:val="5FDEA0B5"/>
    <w:rsid w:val="5FE43B7A"/>
    <w:rsid w:val="5FE6CB11"/>
    <w:rsid w:val="5FEC9C4E"/>
    <w:rsid w:val="60008774"/>
    <w:rsid w:val="600C3CF5"/>
    <w:rsid w:val="6026B100"/>
    <w:rsid w:val="602DA027"/>
    <w:rsid w:val="603A0F27"/>
    <w:rsid w:val="6040A433"/>
    <w:rsid w:val="60435BE2"/>
    <w:rsid w:val="604B364A"/>
    <w:rsid w:val="60587913"/>
    <w:rsid w:val="606EC1CA"/>
    <w:rsid w:val="60711FF3"/>
    <w:rsid w:val="608DB155"/>
    <w:rsid w:val="6090F818"/>
    <w:rsid w:val="609194F3"/>
    <w:rsid w:val="60A72B00"/>
    <w:rsid w:val="60AAA940"/>
    <w:rsid w:val="60AF53BE"/>
    <w:rsid w:val="60C0A3C3"/>
    <w:rsid w:val="60C1385E"/>
    <w:rsid w:val="60C6F2A8"/>
    <w:rsid w:val="60CFA1C2"/>
    <w:rsid w:val="60D00C78"/>
    <w:rsid w:val="60EB26E2"/>
    <w:rsid w:val="60ECDC5B"/>
    <w:rsid w:val="60F34FA2"/>
    <w:rsid w:val="6114CE3B"/>
    <w:rsid w:val="612A7966"/>
    <w:rsid w:val="61332FA8"/>
    <w:rsid w:val="613B598C"/>
    <w:rsid w:val="6143490A"/>
    <w:rsid w:val="61492C1D"/>
    <w:rsid w:val="614C60EB"/>
    <w:rsid w:val="615BCA44"/>
    <w:rsid w:val="616AAE1E"/>
    <w:rsid w:val="6184594D"/>
    <w:rsid w:val="61A764F1"/>
    <w:rsid w:val="61B677C3"/>
    <w:rsid w:val="61BCFA84"/>
    <w:rsid w:val="61C8A136"/>
    <w:rsid w:val="61DEAAD7"/>
    <w:rsid w:val="61EA39B3"/>
    <w:rsid w:val="61F42436"/>
    <w:rsid w:val="6206B0C7"/>
    <w:rsid w:val="6228D4AC"/>
    <w:rsid w:val="62377FFF"/>
    <w:rsid w:val="62505394"/>
    <w:rsid w:val="629A6572"/>
    <w:rsid w:val="62A715D9"/>
    <w:rsid w:val="62CB572B"/>
    <w:rsid w:val="62CB7046"/>
    <w:rsid w:val="62CD351F"/>
    <w:rsid w:val="62E7490F"/>
    <w:rsid w:val="62F78DFD"/>
    <w:rsid w:val="63069175"/>
    <w:rsid w:val="630D9FC8"/>
    <w:rsid w:val="631CDC05"/>
    <w:rsid w:val="632D4CD8"/>
    <w:rsid w:val="632E305D"/>
    <w:rsid w:val="632F191A"/>
    <w:rsid w:val="6336B3E9"/>
    <w:rsid w:val="634856D6"/>
    <w:rsid w:val="634AF28C"/>
    <w:rsid w:val="634B7970"/>
    <w:rsid w:val="6351A2B0"/>
    <w:rsid w:val="636641FE"/>
    <w:rsid w:val="636D65C2"/>
    <w:rsid w:val="6370A1E2"/>
    <w:rsid w:val="63774EB8"/>
    <w:rsid w:val="63784D14"/>
    <w:rsid w:val="638082EB"/>
    <w:rsid w:val="638C4943"/>
    <w:rsid w:val="6390FA09"/>
    <w:rsid w:val="639138F1"/>
    <w:rsid w:val="63B47533"/>
    <w:rsid w:val="63B651C7"/>
    <w:rsid w:val="63C12919"/>
    <w:rsid w:val="63C15A98"/>
    <w:rsid w:val="64113299"/>
    <w:rsid w:val="64146BEC"/>
    <w:rsid w:val="6416A0EA"/>
    <w:rsid w:val="643CBFAD"/>
    <w:rsid w:val="6448C859"/>
    <w:rsid w:val="645F5211"/>
    <w:rsid w:val="6460E216"/>
    <w:rsid w:val="64632715"/>
    <w:rsid w:val="64AAA61B"/>
    <w:rsid w:val="64BF1738"/>
    <w:rsid w:val="64F22CE1"/>
    <w:rsid w:val="64F4C1E8"/>
    <w:rsid w:val="6529DD74"/>
    <w:rsid w:val="6535940C"/>
    <w:rsid w:val="654871BD"/>
    <w:rsid w:val="654B7EF0"/>
    <w:rsid w:val="65616AEA"/>
    <w:rsid w:val="65649CCB"/>
    <w:rsid w:val="657C37FD"/>
    <w:rsid w:val="659C2A19"/>
    <w:rsid w:val="659F2F8D"/>
    <w:rsid w:val="659FADE7"/>
    <w:rsid w:val="65ABB15E"/>
    <w:rsid w:val="65BE5C15"/>
    <w:rsid w:val="65C251B0"/>
    <w:rsid w:val="65C455F1"/>
    <w:rsid w:val="65C5DE98"/>
    <w:rsid w:val="65CB9965"/>
    <w:rsid w:val="65DAF671"/>
    <w:rsid w:val="65ED465A"/>
    <w:rsid w:val="65F21C12"/>
    <w:rsid w:val="6603B93B"/>
    <w:rsid w:val="66281581"/>
    <w:rsid w:val="662D402A"/>
    <w:rsid w:val="663DDB85"/>
    <w:rsid w:val="66491AB6"/>
    <w:rsid w:val="664B64BA"/>
    <w:rsid w:val="666B804A"/>
    <w:rsid w:val="667FE54A"/>
    <w:rsid w:val="66849E4A"/>
    <w:rsid w:val="66992450"/>
    <w:rsid w:val="66AAF4BD"/>
    <w:rsid w:val="66BFAEA7"/>
    <w:rsid w:val="66D76EBD"/>
    <w:rsid w:val="66FFEA51"/>
    <w:rsid w:val="6717789C"/>
    <w:rsid w:val="6737867C"/>
    <w:rsid w:val="67468BA2"/>
    <w:rsid w:val="6765AFB0"/>
    <w:rsid w:val="677107F6"/>
    <w:rsid w:val="679510E2"/>
    <w:rsid w:val="67AED549"/>
    <w:rsid w:val="67B6020B"/>
    <w:rsid w:val="67B7C113"/>
    <w:rsid w:val="67BA35FC"/>
    <w:rsid w:val="67D4571C"/>
    <w:rsid w:val="67E1AACD"/>
    <w:rsid w:val="6807C479"/>
    <w:rsid w:val="681096E9"/>
    <w:rsid w:val="68868C74"/>
    <w:rsid w:val="688956B2"/>
    <w:rsid w:val="688D3195"/>
    <w:rsid w:val="68941325"/>
    <w:rsid w:val="68D563F6"/>
    <w:rsid w:val="68E15229"/>
    <w:rsid w:val="68E7AF8F"/>
    <w:rsid w:val="68EF4E99"/>
    <w:rsid w:val="68FF998C"/>
    <w:rsid w:val="6905B250"/>
    <w:rsid w:val="690F2D02"/>
    <w:rsid w:val="69108CA2"/>
    <w:rsid w:val="69245A0D"/>
    <w:rsid w:val="692DC7A3"/>
    <w:rsid w:val="69430D69"/>
    <w:rsid w:val="69478906"/>
    <w:rsid w:val="6948A03C"/>
    <w:rsid w:val="69493720"/>
    <w:rsid w:val="694D6809"/>
    <w:rsid w:val="695BE936"/>
    <w:rsid w:val="6962C5F3"/>
    <w:rsid w:val="6976C0C5"/>
    <w:rsid w:val="697B871D"/>
    <w:rsid w:val="699FA240"/>
    <w:rsid w:val="69A299BF"/>
    <w:rsid w:val="69A92E77"/>
    <w:rsid w:val="69C27A31"/>
    <w:rsid w:val="69D43E26"/>
    <w:rsid w:val="69D6EB8D"/>
    <w:rsid w:val="69DE57F5"/>
    <w:rsid w:val="69E7D1E5"/>
    <w:rsid w:val="69EA0A3A"/>
    <w:rsid w:val="6A006E45"/>
    <w:rsid w:val="6A088D75"/>
    <w:rsid w:val="6A09CC85"/>
    <w:rsid w:val="6A0B3D96"/>
    <w:rsid w:val="6A27CC7F"/>
    <w:rsid w:val="6A3CB14C"/>
    <w:rsid w:val="6A48170B"/>
    <w:rsid w:val="6A59C565"/>
    <w:rsid w:val="6A6FF8DE"/>
    <w:rsid w:val="6A73B186"/>
    <w:rsid w:val="6A84241A"/>
    <w:rsid w:val="6A8BE62E"/>
    <w:rsid w:val="6A913576"/>
    <w:rsid w:val="6AA565E6"/>
    <w:rsid w:val="6AAD4371"/>
    <w:rsid w:val="6ABAC29A"/>
    <w:rsid w:val="6ABCCB1E"/>
    <w:rsid w:val="6AE8E644"/>
    <w:rsid w:val="6AF441A4"/>
    <w:rsid w:val="6B2A054E"/>
    <w:rsid w:val="6B3901AE"/>
    <w:rsid w:val="6B3E021C"/>
    <w:rsid w:val="6B47CADC"/>
    <w:rsid w:val="6B6C1B33"/>
    <w:rsid w:val="6B86200F"/>
    <w:rsid w:val="6B8F4610"/>
    <w:rsid w:val="6B978EC6"/>
    <w:rsid w:val="6BB4EDFE"/>
    <w:rsid w:val="6BBB5CCF"/>
    <w:rsid w:val="6BC3C341"/>
    <w:rsid w:val="6BEA5ADD"/>
    <w:rsid w:val="6BF3AC88"/>
    <w:rsid w:val="6BFA644E"/>
    <w:rsid w:val="6C02716C"/>
    <w:rsid w:val="6C0FDC03"/>
    <w:rsid w:val="6C17F62A"/>
    <w:rsid w:val="6C181642"/>
    <w:rsid w:val="6C194EF4"/>
    <w:rsid w:val="6C200B94"/>
    <w:rsid w:val="6C25A97B"/>
    <w:rsid w:val="6C53AA28"/>
    <w:rsid w:val="6C56DC49"/>
    <w:rsid w:val="6C713368"/>
    <w:rsid w:val="6C7B5F61"/>
    <w:rsid w:val="6C8565D2"/>
    <w:rsid w:val="6C939807"/>
    <w:rsid w:val="6C968CBE"/>
    <w:rsid w:val="6C98AC21"/>
    <w:rsid w:val="6C9A60CB"/>
    <w:rsid w:val="6CBAA68A"/>
    <w:rsid w:val="6CC52C29"/>
    <w:rsid w:val="6CEC149B"/>
    <w:rsid w:val="6CF11FF3"/>
    <w:rsid w:val="6CF9F30C"/>
    <w:rsid w:val="6D00E3AE"/>
    <w:rsid w:val="6D06D0C9"/>
    <w:rsid w:val="6D1EA759"/>
    <w:rsid w:val="6D2282BC"/>
    <w:rsid w:val="6D3A41CD"/>
    <w:rsid w:val="6D41A1E1"/>
    <w:rsid w:val="6D48FA7F"/>
    <w:rsid w:val="6D4BE75D"/>
    <w:rsid w:val="6D4C00AB"/>
    <w:rsid w:val="6D705D33"/>
    <w:rsid w:val="6D70A100"/>
    <w:rsid w:val="6D898266"/>
    <w:rsid w:val="6D93543B"/>
    <w:rsid w:val="6D9BFC67"/>
    <w:rsid w:val="6D9E1B59"/>
    <w:rsid w:val="6DADA30F"/>
    <w:rsid w:val="6DAEBF87"/>
    <w:rsid w:val="6DB0E8B1"/>
    <w:rsid w:val="6DB6507B"/>
    <w:rsid w:val="6DB9E712"/>
    <w:rsid w:val="6DBA618C"/>
    <w:rsid w:val="6DBA6D27"/>
    <w:rsid w:val="6DCB04AC"/>
    <w:rsid w:val="6DD147EB"/>
    <w:rsid w:val="6DD1AB52"/>
    <w:rsid w:val="6DD1C2A2"/>
    <w:rsid w:val="6DDAC97B"/>
    <w:rsid w:val="6DDC5A07"/>
    <w:rsid w:val="6E1E9029"/>
    <w:rsid w:val="6E293931"/>
    <w:rsid w:val="6E3123C3"/>
    <w:rsid w:val="6E45BF58"/>
    <w:rsid w:val="6E512628"/>
    <w:rsid w:val="6E5DFBAF"/>
    <w:rsid w:val="6E794A59"/>
    <w:rsid w:val="6E8FD5E9"/>
    <w:rsid w:val="6E913190"/>
    <w:rsid w:val="6E9D976F"/>
    <w:rsid w:val="6EA221B9"/>
    <w:rsid w:val="6EBE5ED5"/>
    <w:rsid w:val="6EC7EBF2"/>
    <w:rsid w:val="6EE0F481"/>
    <w:rsid w:val="6EEA87BB"/>
    <w:rsid w:val="6F17F380"/>
    <w:rsid w:val="6F23E73E"/>
    <w:rsid w:val="6F3703C8"/>
    <w:rsid w:val="6F37E885"/>
    <w:rsid w:val="6F3A5328"/>
    <w:rsid w:val="6F500044"/>
    <w:rsid w:val="6F5462D2"/>
    <w:rsid w:val="6F5DE000"/>
    <w:rsid w:val="6F6055A3"/>
    <w:rsid w:val="6F6D060E"/>
    <w:rsid w:val="6F6D4CE5"/>
    <w:rsid w:val="6F8957D6"/>
    <w:rsid w:val="6F8B4235"/>
    <w:rsid w:val="6F97B4AB"/>
    <w:rsid w:val="6FADFDBB"/>
    <w:rsid w:val="6FCC07D7"/>
    <w:rsid w:val="6FD095E7"/>
    <w:rsid w:val="6FD13714"/>
    <w:rsid w:val="6FDD678C"/>
    <w:rsid w:val="7020FD48"/>
    <w:rsid w:val="703E501A"/>
    <w:rsid w:val="706324D1"/>
    <w:rsid w:val="70868AF7"/>
    <w:rsid w:val="70936F5A"/>
    <w:rsid w:val="70C20E63"/>
    <w:rsid w:val="70C8E969"/>
    <w:rsid w:val="70C8F611"/>
    <w:rsid w:val="70D219D5"/>
    <w:rsid w:val="70E4BF35"/>
    <w:rsid w:val="70EBA9E8"/>
    <w:rsid w:val="710162E0"/>
    <w:rsid w:val="711691C5"/>
    <w:rsid w:val="712306F3"/>
    <w:rsid w:val="71532927"/>
    <w:rsid w:val="7175BF73"/>
    <w:rsid w:val="71847BA9"/>
    <w:rsid w:val="71860A13"/>
    <w:rsid w:val="718A8134"/>
    <w:rsid w:val="719A492F"/>
    <w:rsid w:val="719BF48F"/>
    <w:rsid w:val="71B73F06"/>
    <w:rsid w:val="71B97325"/>
    <w:rsid w:val="71BA5999"/>
    <w:rsid w:val="71CEC56B"/>
    <w:rsid w:val="71D41026"/>
    <w:rsid w:val="71E14B0E"/>
    <w:rsid w:val="71F2593E"/>
    <w:rsid w:val="71F566BF"/>
    <w:rsid w:val="7208FB3B"/>
    <w:rsid w:val="721A1CD8"/>
    <w:rsid w:val="721D8B9B"/>
    <w:rsid w:val="7230B405"/>
    <w:rsid w:val="72360F85"/>
    <w:rsid w:val="7248B6EE"/>
    <w:rsid w:val="7276902D"/>
    <w:rsid w:val="727D27C3"/>
    <w:rsid w:val="72A625E5"/>
    <w:rsid w:val="72B56A31"/>
    <w:rsid w:val="72CA1AAA"/>
    <w:rsid w:val="72D034C8"/>
    <w:rsid w:val="72D3DFFD"/>
    <w:rsid w:val="72E3A6A3"/>
    <w:rsid w:val="72E62679"/>
    <w:rsid w:val="72F9F193"/>
    <w:rsid w:val="730E3822"/>
    <w:rsid w:val="732773B8"/>
    <w:rsid w:val="732B1551"/>
    <w:rsid w:val="73388C8D"/>
    <w:rsid w:val="7343080D"/>
    <w:rsid w:val="7360EED5"/>
    <w:rsid w:val="736DC5BD"/>
    <w:rsid w:val="73730989"/>
    <w:rsid w:val="73928A85"/>
    <w:rsid w:val="739D97DC"/>
    <w:rsid w:val="73B6CE12"/>
    <w:rsid w:val="73CE6401"/>
    <w:rsid w:val="73E75D4D"/>
    <w:rsid w:val="73EC4797"/>
    <w:rsid w:val="73F7BA47"/>
    <w:rsid w:val="7412CFAC"/>
    <w:rsid w:val="741B4B98"/>
    <w:rsid w:val="741E36A1"/>
    <w:rsid w:val="742A2396"/>
    <w:rsid w:val="742AE616"/>
    <w:rsid w:val="74370A47"/>
    <w:rsid w:val="7439D467"/>
    <w:rsid w:val="74422939"/>
    <w:rsid w:val="744DD7CE"/>
    <w:rsid w:val="7452DD53"/>
    <w:rsid w:val="7468CC3A"/>
    <w:rsid w:val="7477A141"/>
    <w:rsid w:val="747C6050"/>
    <w:rsid w:val="748B2721"/>
    <w:rsid w:val="7492BB2D"/>
    <w:rsid w:val="74B71371"/>
    <w:rsid w:val="74D27DFC"/>
    <w:rsid w:val="74D3956B"/>
    <w:rsid w:val="74D4551C"/>
    <w:rsid w:val="74DA4691"/>
    <w:rsid w:val="74DAA753"/>
    <w:rsid w:val="74F51A84"/>
    <w:rsid w:val="7500D0A9"/>
    <w:rsid w:val="7503AE62"/>
    <w:rsid w:val="7514AEFF"/>
    <w:rsid w:val="75280FC9"/>
    <w:rsid w:val="752D2306"/>
    <w:rsid w:val="753869D7"/>
    <w:rsid w:val="754A1607"/>
    <w:rsid w:val="754CB31B"/>
    <w:rsid w:val="75624D6A"/>
    <w:rsid w:val="7563BBB9"/>
    <w:rsid w:val="75940BAE"/>
    <w:rsid w:val="75AD61EA"/>
    <w:rsid w:val="75BDA0DA"/>
    <w:rsid w:val="75C5F987"/>
    <w:rsid w:val="75C8CA44"/>
    <w:rsid w:val="75D7D8DD"/>
    <w:rsid w:val="7615B3C5"/>
    <w:rsid w:val="7619D16C"/>
    <w:rsid w:val="761DCBE4"/>
    <w:rsid w:val="762B3F29"/>
    <w:rsid w:val="7640380B"/>
    <w:rsid w:val="76443191"/>
    <w:rsid w:val="767ECB59"/>
    <w:rsid w:val="76851E6E"/>
    <w:rsid w:val="76869822"/>
    <w:rsid w:val="76A2F713"/>
    <w:rsid w:val="76C111B7"/>
    <w:rsid w:val="76D84600"/>
    <w:rsid w:val="76E31304"/>
    <w:rsid w:val="76E368F8"/>
    <w:rsid w:val="76FA3841"/>
    <w:rsid w:val="77148D1E"/>
    <w:rsid w:val="77175057"/>
    <w:rsid w:val="772206B8"/>
    <w:rsid w:val="772DB830"/>
    <w:rsid w:val="7730534B"/>
    <w:rsid w:val="7732D829"/>
    <w:rsid w:val="77698201"/>
    <w:rsid w:val="7779AE28"/>
    <w:rsid w:val="77835E21"/>
    <w:rsid w:val="779A4A87"/>
    <w:rsid w:val="77A96DF8"/>
    <w:rsid w:val="77AA2D60"/>
    <w:rsid w:val="77AC5EAA"/>
    <w:rsid w:val="77C38E77"/>
    <w:rsid w:val="77D03DE3"/>
    <w:rsid w:val="77D79F8E"/>
    <w:rsid w:val="77EB3233"/>
    <w:rsid w:val="77ED17BE"/>
    <w:rsid w:val="77FDECDD"/>
    <w:rsid w:val="77FEBFC5"/>
    <w:rsid w:val="78097EB1"/>
    <w:rsid w:val="783EC6FB"/>
    <w:rsid w:val="7840038C"/>
    <w:rsid w:val="78509EB3"/>
    <w:rsid w:val="785DAF46"/>
    <w:rsid w:val="7866B7EA"/>
    <w:rsid w:val="7873D5C7"/>
    <w:rsid w:val="7875CE01"/>
    <w:rsid w:val="7887481B"/>
    <w:rsid w:val="788B8F3F"/>
    <w:rsid w:val="7896C2D1"/>
    <w:rsid w:val="789C0C02"/>
    <w:rsid w:val="78A716AC"/>
    <w:rsid w:val="78B8B768"/>
    <w:rsid w:val="78BCEE36"/>
    <w:rsid w:val="78C43A2F"/>
    <w:rsid w:val="78C85698"/>
    <w:rsid w:val="78CDD05F"/>
    <w:rsid w:val="78CE04E1"/>
    <w:rsid w:val="78D0B67A"/>
    <w:rsid w:val="78D165F0"/>
    <w:rsid w:val="78D33706"/>
    <w:rsid w:val="78D7BBE0"/>
    <w:rsid w:val="78DB58B0"/>
    <w:rsid w:val="78DCEDD0"/>
    <w:rsid w:val="78EA7D93"/>
    <w:rsid w:val="78FF8543"/>
    <w:rsid w:val="7906F494"/>
    <w:rsid w:val="790D04D4"/>
    <w:rsid w:val="790D4FC9"/>
    <w:rsid w:val="79337F02"/>
    <w:rsid w:val="79382B17"/>
    <w:rsid w:val="795A63C6"/>
    <w:rsid w:val="7962E3D3"/>
    <w:rsid w:val="7998D921"/>
    <w:rsid w:val="799A465C"/>
    <w:rsid w:val="79ADF362"/>
    <w:rsid w:val="79CD9717"/>
    <w:rsid w:val="79D5F9B5"/>
    <w:rsid w:val="79FC08FD"/>
    <w:rsid w:val="7A1ABF51"/>
    <w:rsid w:val="7A1EF76F"/>
    <w:rsid w:val="7A265425"/>
    <w:rsid w:val="7A30ECE3"/>
    <w:rsid w:val="7A348A5A"/>
    <w:rsid w:val="7A395BD6"/>
    <w:rsid w:val="7A528951"/>
    <w:rsid w:val="7A5D89BE"/>
    <w:rsid w:val="7A84143E"/>
    <w:rsid w:val="7A842476"/>
    <w:rsid w:val="7A92EB6B"/>
    <w:rsid w:val="7AA9BCBD"/>
    <w:rsid w:val="7AC27792"/>
    <w:rsid w:val="7AC89D58"/>
    <w:rsid w:val="7AD91A4D"/>
    <w:rsid w:val="7AE9AAE4"/>
    <w:rsid w:val="7AF91062"/>
    <w:rsid w:val="7B049997"/>
    <w:rsid w:val="7B060CF3"/>
    <w:rsid w:val="7B3F0C5D"/>
    <w:rsid w:val="7B40648A"/>
    <w:rsid w:val="7B489CD4"/>
    <w:rsid w:val="7B64467C"/>
    <w:rsid w:val="7B68B52F"/>
    <w:rsid w:val="7B768865"/>
    <w:rsid w:val="7B885B9A"/>
    <w:rsid w:val="7B8C2D4F"/>
    <w:rsid w:val="7B9B9606"/>
    <w:rsid w:val="7BA76552"/>
    <w:rsid w:val="7BAB0746"/>
    <w:rsid w:val="7BAE8730"/>
    <w:rsid w:val="7BDE4CAE"/>
    <w:rsid w:val="7BF7AAB9"/>
    <w:rsid w:val="7C1F2DE7"/>
    <w:rsid w:val="7C3FA775"/>
    <w:rsid w:val="7C4585DF"/>
    <w:rsid w:val="7C4FC548"/>
    <w:rsid w:val="7C56D200"/>
    <w:rsid w:val="7C5FC1EB"/>
    <w:rsid w:val="7C609DDE"/>
    <w:rsid w:val="7C6624BF"/>
    <w:rsid w:val="7C68C44C"/>
    <w:rsid w:val="7C71C5D7"/>
    <w:rsid w:val="7C74478F"/>
    <w:rsid w:val="7C7691C5"/>
    <w:rsid w:val="7C7EA182"/>
    <w:rsid w:val="7C96D656"/>
    <w:rsid w:val="7CA56E59"/>
    <w:rsid w:val="7CC426A0"/>
    <w:rsid w:val="7CCFADD3"/>
    <w:rsid w:val="7CD3E124"/>
    <w:rsid w:val="7CD544E9"/>
    <w:rsid w:val="7D1A4D8A"/>
    <w:rsid w:val="7D2014F4"/>
    <w:rsid w:val="7D2BBEAC"/>
    <w:rsid w:val="7D433965"/>
    <w:rsid w:val="7D49DF25"/>
    <w:rsid w:val="7D500A4F"/>
    <w:rsid w:val="7D60C719"/>
    <w:rsid w:val="7D70A74E"/>
    <w:rsid w:val="7D7642E1"/>
    <w:rsid w:val="7D767675"/>
    <w:rsid w:val="7D7F0602"/>
    <w:rsid w:val="7D8673E6"/>
    <w:rsid w:val="7D8B7B8D"/>
    <w:rsid w:val="7DA2E048"/>
    <w:rsid w:val="7DB33BB7"/>
    <w:rsid w:val="7DBA60B6"/>
    <w:rsid w:val="7DC1B9FC"/>
    <w:rsid w:val="7DCC4397"/>
    <w:rsid w:val="7DDA5CB7"/>
    <w:rsid w:val="7DDA7069"/>
    <w:rsid w:val="7E21BECB"/>
    <w:rsid w:val="7E38AA72"/>
    <w:rsid w:val="7E41B6A8"/>
    <w:rsid w:val="7E4EC761"/>
    <w:rsid w:val="7E71D4F1"/>
    <w:rsid w:val="7E9ABC15"/>
    <w:rsid w:val="7EACE444"/>
    <w:rsid w:val="7EC268B8"/>
    <w:rsid w:val="7ECD1019"/>
    <w:rsid w:val="7ED442D8"/>
    <w:rsid w:val="7ED87AAF"/>
    <w:rsid w:val="7EE44A99"/>
    <w:rsid w:val="7EF75B46"/>
    <w:rsid w:val="7EFD348C"/>
    <w:rsid w:val="7F00CA7C"/>
    <w:rsid w:val="7F03DDDD"/>
    <w:rsid w:val="7F216A78"/>
    <w:rsid w:val="7F2BDCE5"/>
    <w:rsid w:val="7F40F10C"/>
    <w:rsid w:val="7F70C09D"/>
    <w:rsid w:val="7F962680"/>
    <w:rsid w:val="7FC5CDAC"/>
    <w:rsid w:val="7FE24986"/>
    <w:rsid w:val="7FE2D436"/>
    <w:rsid w:val="7FE98B80"/>
    <w:rsid w:val="7FFEA346"/>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585"/>
    <o:shapelayout v:ext="edit">
      <o:idmap v:ext="edit" data="2"/>
    </o:shapelayout>
  </w:shapeDefaults>
  <w:decimalSymbol w:val="."/>
  <w:listSeparator w:val=","/>
  <w14:docId w14:val="26BF6AF0"/>
  <w15:docId w15:val="{5776BBD8-7751-405E-AB35-3EEB2DDE5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20" w:line="280" w:lineRule="atLeast"/>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2"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1" w:unhideWhenUsed="1"/>
    <w:lsdException w:name="index heading" w:semiHidden="1" w:unhideWhenUsed="1"/>
    <w:lsdException w:name="caption" w:semiHidden="1" w:uiPriority="7"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99"/>
    <w:semiHidden/>
    <w:rsid w:val="00F57946"/>
    <w:rPr>
      <w:rFonts w:ascii="Cera Pro" w:hAnsi="Cera Pro"/>
      <w:sz w:val="19"/>
    </w:rPr>
  </w:style>
  <w:style w:type="paragraph" w:styleId="Heading1">
    <w:name w:val="heading 1"/>
    <w:basedOn w:val="Pinatoro"/>
    <w:next w:val="USBodyText"/>
    <w:link w:val="Heading1Char"/>
    <w:uiPriority w:val="1"/>
    <w:qFormat/>
    <w:rsid w:val="00D47977"/>
    <w:pPr>
      <w:keepNext/>
      <w:keepLines/>
      <w:pageBreakBefore/>
      <w:spacing w:after="340" w:line="300" w:lineRule="atLeast"/>
      <w:ind w:right="139"/>
      <w:outlineLvl w:val="0"/>
    </w:pPr>
    <w:rPr>
      <w:rFonts w:eastAsiaTheme="majorEastAsia" w:cstheme="majorBidi"/>
      <w:b/>
      <w:color w:val="auto"/>
      <w:sz w:val="48"/>
      <w:szCs w:val="32"/>
    </w:rPr>
  </w:style>
  <w:style w:type="paragraph" w:styleId="Heading2">
    <w:name w:val="heading 2"/>
    <w:basedOn w:val="SureRed"/>
    <w:next w:val="USBodyText"/>
    <w:link w:val="Heading2Char"/>
    <w:uiPriority w:val="1"/>
    <w:qFormat/>
    <w:rsid w:val="00B5636A"/>
    <w:pPr>
      <w:keepNext/>
      <w:keepLines/>
      <w:spacing w:before="340" w:after="170" w:line="420" w:lineRule="atLeast"/>
      <w:ind w:right="851"/>
      <w:outlineLvl w:val="1"/>
    </w:pPr>
    <w:rPr>
      <w:rFonts w:eastAsiaTheme="majorEastAsia" w:cstheme="majorBidi"/>
      <w:sz w:val="36"/>
      <w:szCs w:val="26"/>
    </w:rPr>
  </w:style>
  <w:style w:type="paragraph" w:styleId="Heading3">
    <w:name w:val="heading 3"/>
    <w:basedOn w:val="Pinatoro"/>
    <w:next w:val="USBodyText"/>
    <w:link w:val="Heading3Char"/>
    <w:uiPriority w:val="1"/>
    <w:qFormat/>
    <w:rsid w:val="00DD368D"/>
    <w:pPr>
      <w:keepNext/>
      <w:keepLines/>
      <w:spacing w:before="284" w:line="340" w:lineRule="atLeast"/>
      <w:ind w:right="139"/>
      <w:outlineLvl w:val="2"/>
    </w:pPr>
    <w:rPr>
      <w:rFonts w:eastAsiaTheme="majorEastAsia" w:cstheme="majorBidi"/>
      <w:b/>
      <w:sz w:val="28"/>
      <w:szCs w:val="24"/>
    </w:rPr>
  </w:style>
  <w:style w:type="paragraph" w:styleId="Heading4">
    <w:name w:val="heading 4"/>
    <w:basedOn w:val="Normal"/>
    <w:next w:val="USBodyText"/>
    <w:link w:val="Heading4Char"/>
    <w:uiPriority w:val="1"/>
    <w:qFormat/>
    <w:rsid w:val="00354639"/>
    <w:pPr>
      <w:keepNext/>
      <w:keepLines/>
      <w:spacing w:before="227" w:after="57" w:line="300" w:lineRule="atLeast"/>
      <w:ind w:right="139"/>
      <w:outlineLvl w:val="3"/>
    </w:pPr>
    <w:rPr>
      <w:rFonts w:eastAsiaTheme="majorEastAsia" w:cstheme="majorBidi"/>
      <w:b/>
      <w:iCs/>
      <w:sz w:val="24"/>
    </w:rPr>
  </w:style>
  <w:style w:type="paragraph" w:styleId="Heading5">
    <w:name w:val="heading 5"/>
    <w:basedOn w:val="Normal"/>
    <w:next w:val="USBodyText"/>
    <w:link w:val="Heading5Char"/>
    <w:uiPriority w:val="1"/>
    <w:qFormat/>
    <w:rsid w:val="00D27FBB"/>
    <w:pPr>
      <w:keepNext/>
      <w:keepLines/>
      <w:spacing w:before="170" w:after="57"/>
      <w:ind w:right="139"/>
      <w:outlineLvl w:val="4"/>
    </w:pPr>
    <w:rPr>
      <w:rFonts w:eastAsiaTheme="majorEastAsia" w:cstheme="majorBidi"/>
      <w:b/>
    </w:rPr>
  </w:style>
  <w:style w:type="paragraph" w:styleId="Heading6">
    <w:name w:val="heading 6"/>
    <w:basedOn w:val="Normal"/>
    <w:next w:val="Normal"/>
    <w:link w:val="Heading6Char"/>
    <w:uiPriority w:val="1"/>
    <w:qFormat/>
    <w:rsid w:val="003D2476"/>
    <w:pPr>
      <w:keepNext/>
      <w:keepLines/>
      <w:spacing w:before="170" w:after="57"/>
      <w:outlineLvl w:val="5"/>
    </w:pPr>
    <w:rPr>
      <w:rFonts w:eastAsiaTheme="majorEastAsia" w:cstheme="majorBidi"/>
      <w:i/>
      <w:color w:val="000000" w:themeColor="text1"/>
    </w:rPr>
  </w:style>
  <w:style w:type="paragraph" w:styleId="Heading7">
    <w:name w:val="heading 7"/>
    <w:basedOn w:val="Normal"/>
    <w:next w:val="Normal"/>
    <w:link w:val="Heading7Char"/>
    <w:uiPriority w:val="99"/>
    <w:semiHidden/>
    <w:qFormat/>
    <w:rsid w:val="000A425B"/>
    <w:pPr>
      <w:keepNext/>
      <w:keepLines/>
      <w:numPr>
        <w:ilvl w:val="6"/>
        <w:numId w:val="3"/>
      </w:numPr>
      <w:spacing w:before="40" w:after="0"/>
      <w:ind w:left="5040" w:hanging="360"/>
      <w:outlineLvl w:val="6"/>
    </w:pPr>
    <w:rPr>
      <w:rFonts w:asciiTheme="majorHAnsi" w:eastAsiaTheme="majorEastAsia" w:hAnsiTheme="majorHAnsi" w:cstheme="majorBidi"/>
      <w:i/>
      <w:iCs/>
      <w:color w:val="213639" w:themeColor="accent1" w:themeShade="7F"/>
    </w:rPr>
  </w:style>
  <w:style w:type="paragraph" w:styleId="Heading8">
    <w:name w:val="heading 8"/>
    <w:basedOn w:val="Normal"/>
    <w:next w:val="Normal"/>
    <w:link w:val="Heading8Char"/>
    <w:uiPriority w:val="99"/>
    <w:semiHidden/>
    <w:qFormat/>
    <w:rsid w:val="000A425B"/>
    <w:pPr>
      <w:keepNext/>
      <w:keepLines/>
      <w:numPr>
        <w:ilvl w:val="7"/>
        <w:numId w:val="3"/>
      </w:numPr>
      <w:spacing w:before="40" w:after="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0A425B"/>
    <w:pPr>
      <w:keepNext/>
      <w:keepLines/>
      <w:numPr>
        <w:ilvl w:val="8"/>
        <w:numId w:val="3"/>
      </w:numPr>
      <w:spacing w:before="40" w:after="0"/>
      <w:ind w:left="648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324C1"/>
    <w:pPr>
      <w:spacing w:after="0" w:line="240" w:lineRule="auto"/>
      <w:jc w:val="right"/>
    </w:pPr>
    <w:rPr>
      <w:color w:val="A6A6A6" w:themeColor="background1" w:themeShade="A6"/>
    </w:rPr>
  </w:style>
  <w:style w:type="character" w:customStyle="1" w:styleId="HeaderChar">
    <w:name w:val="Header Char"/>
    <w:basedOn w:val="DefaultParagraphFont"/>
    <w:link w:val="Header"/>
    <w:uiPriority w:val="99"/>
    <w:semiHidden/>
    <w:rsid w:val="007D58E1"/>
    <w:rPr>
      <w:rFonts w:ascii="Cera Pro" w:hAnsi="Cera Pro"/>
      <w:color w:val="A6A6A6" w:themeColor="background1" w:themeShade="A6"/>
      <w:sz w:val="19"/>
    </w:rPr>
  </w:style>
  <w:style w:type="paragraph" w:styleId="Footer">
    <w:name w:val="footer"/>
    <w:basedOn w:val="Normal"/>
    <w:link w:val="FooterChar"/>
    <w:uiPriority w:val="99"/>
    <w:semiHidden/>
    <w:rsid w:val="00C230D9"/>
    <w:pPr>
      <w:tabs>
        <w:tab w:val="left" w:pos="851"/>
        <w:tab w:val="right" w:pos="9072"/>
      </w:tabs>
      <w:spacing w:after="0" w:line="240" w:lineRule="auto"/>
    </w:pPr>
    <w:rPr>
      <w:sz w:val="16"/>
    </w:rPr>
  </w:style>
  <w:style w:type="character" w:customStyle="1" w:styleId="FooterChar">
    <w:name w:val="Footer Char"/>
    <w:basedOn w:val="DefaultParagraphFont"/>
    <w:link w:val="Footer"/>
    <w:uiPriority w:val="99"/>
    <w:semiHidden/>
    <w:rsid w:val="007D58E1"/>
    <w:rPr>
      <w:rFonts w:ascii="Cera Pro" w:hAnsi="Cera Pro"/>
      <w:sz w:val="16"/>
    </w:rPr>
  </w:style>
  <w:style w:type="table" w:styleId="TableGrid">
    <w:name w:val="Table Grid"/>
    <w:basedOn w:val="TableNormal"/>
    <w:uiPriority w:val="39"/>
    <w:rsid w:val="00C57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natoro">
    <w:name w:val="Pinatoro"/>
    <w:basedOn w:val="Normal"/>
    <w:uiPriority w:val="99"/>
    <w:semiHidden/>
    <w:rsid w:val="003B1C75"/>
    <w:rPr>
      <w:color w:val="549D9E"/>
    </w:rPr>
  </w:style>
  <w:style w:type="character" w:customStyle="1" w:styleId="Heading1Char">
    <w:name w:val="Heading 1 Char"/>
    <w:basedOn w:val="DefaultParagraphFont"/>
    <w:link w:val="Heading1"/>
    <w:uiPriority w:val="1"/>
    <w:rsid w:val="00D47977"/>
    <w:rPr>
      <w:rFonts w:ascii="Cera Pro" w:eastAsiaTheme="majorEastAsia" w:hAnsi="Cera Pro" w:cstheme="majorBidi"/>
      <w:b/>
      <w:sz w:val="48"/>
      <w:szCs w:val="32"/>
    </w:rPr>
  </w:style>
  <w:style w:type="paragraph" w:customStyle="1" w:styleId="Heading1Letter">
    <w:name w:val="Heading 1 Letter"/>
    <w:basedOn w:val="Pinatoro"/>
    <w:next w:val="USBodyText"/>
    <w:uiPriority w:val="99"/>
    <w:semiHidden/>
    <w:rsid w:val="001512D4"/>
    <w:pPr>
      <w:keepNext/>
      <w:keepLines/>
      <w:spacing w:before="227" w:after="57" w:line="300" w:lineRule="atLeast"/>
    </w:pPr>
    <w:rPr>
      <w:b/>
      <w:sz w:val="24"/>
    </w:rPr>
  </w:style>
  <w:style w:type="paragraph" w:customStyle="1" w:styleId="Heading2Letter">
    <w:name w:val="Heading 2 Letter"/>
    <w:basedOn w:val="Normal"/>
    <w:next w:val="USBodyText"/>
    <w:uiPriority w:val="99"/>
    <w:semiHidden/>
    <w:rsid w:val="001512D4"/>
    <w:pPr>
      <w:keepNext/>
      <w:keepLines/>
      <w:spacing w:before="113" w:after="57"/>
    </w:pPr>
    <w:rPr>
      <w:b/>
    </w:rPr>
  </w:style>
  <w:style w:type="paragraph" w:customStyle="1" w:styleId="SureRed">
    <w:name w:val="Sure Red"/>
    <w:basedOn w:val="Normal"/>
    <w:uiPriority w:val="99"/>
    <w:semiHidden/>
    <w:rsid w:val="003E2405"/>
    <w:rPr>
      <w:color w:val="E5004B"/>
    </w:rPr>
  </w:style>
  <w:style w:type="paragraph" w:customStyle="1" w:styleId="HeadingSubjectLetter">
    <w:name w:val="Heading Subject Letter"/>
    <w:basedOn w:val="SureRed"/>
    <w:next w:val="USBodyText"/>
    <w:uiPriority w:val="99"/>
    <w:semiHidden/>
    <w:rsid w:val="001512D4"/>
    <w:pPr>
      <w:keepNext/>
      <w:keepLines/>
      <w:spacing w:before="227" w:after="227" w:line="300" w:lineRule="atLeast"/>
    </w:pPr>
    <w:rPr>
      <w:sz w:val="24"/>
    </w:rPr>
  </w:style>
  <w:style w:type="paragraph" w:styleId="ListParagraph">
    <w:name w:val="List Paragraph"/>
    <w:basedOn w:val="Normal"/>
    <w:uiPriority w:val="34"/>
    <w:qFormat/>
    <w:rsid w:val="006D158B"/>
    <w:pPr>
      <w:ind w:left="720"/>
      <w:contextualSpacing/>
    </w:pPr>
  </w:style>
  <w:style w:type="character" w:styleId="PlaceholderText">
    <w:name w:val="Placeholder Text"/>
    <w:basedOn w:val="DefaultParagraphFont"/>
    <w:uiPriority w:val="99"/>
    <w:semiHidden/>
    <w:rsid w:val="006D158B"/>
    <w:rPr>
      <w:color w:val="808080"/>
    </w:rPr>
  </w:style>
  <w:style w:type="paragraph" w:customStyle="1" w:styleId="TAddressLines">
    <w:name w:val="T_Address Lines"/>
    <w:basedOn w:val="Normal"/>
    <w:uiPriority w:val="99"/>
    <w:semiHidden/>
    <w:rsid w:val="00767A4C"/>
    <w:pPr>
      <w:spacing w:after="0"/>
    </w:pPr>
  </w:style>
  <w:style w:type="paragraph" w:customStyle="1" w:styleId="TAttention">
    <w:name w:val="T_Attention"/>
    <w:basedOn w:val="Normal"/>
    <w:uiPriority w:val="99"/>
    <w:semiHidden/>
    <w:rsid w:val="005F2547"/>
    <w:pPr>
      <w:tabs>
        <w:tab w:val="left" w:pos="992"/>
      </w:tabs>
      <w:spacing w:before="113"/>
      <w:ind w:left="992" w:hanging="992"/>
    </w:pPr>
  </w:style>
  <w:style w:type="paragraph" w:customStyle="1" w:styleId="TAuthorsName">
    <w:name w:val="T_Author's Name"/>
    <w:basedOn w:val="Normal"/>
    <w:uiPriority w:val="99"/>
    <w:semiHidden/>
    <w:rsid w:val="006D158B"/>
    <w:pPr>
      <w:keepNext/>
      <w:spacing w:after="0"/>
    </w:pPr>
  </w:style>
  <w:style w:type="paragraph" w:customStyle="1" w:styleId="TAuthorsTitle">
    <w:name w:val="T_Author's Title"/>
    <w:basedOn w:val="Normal"/>
    <w:uiPriority w:val="99"/>
    <w:semiHidden/>
    <w:rsid w:val="006D158B"/>
    <w:rPr>
      <w:b/>
    </w:rPr>
  </w:style>
  <w:style w:type="paragraph" w:customStyle="1" w:styleId="TCity">
    <w:name w:val="T_City"/>
    <w:basedOn w:val="TAddressLines"/>
    <w:uiPriority w:val="99"/>
    <w:semiHidden/>
    <w:rsid w:val="006D158B"/>
    <w:pPr>
      <w:spacing w:after="113"/>
    </w:pPr>
  </w:style>
  <w:style w:type="paragraph" w:customStyle="1" w:styleId="TDate">
    <w:name w:val="T_Date"/>
    <w:basedOn w:val="Normal"/>
    <w:uiPriority w:val="99"/>
    <w:semiHidden/>
    <w:rsid w:val="006D158B"/>
    <w:pPr>
      <w:spacing w:after="454"/>
    </w:pPr>
  </w:style>
  <w:style w:type="paragraph" w:customStyle="1" w:styleId="TEmail">
    <w:name w:val="T_Email"/>
    <w:basedOn w:val="Normal"/>
    <w:uiPriority w:val="99"/>
    <w:semiHidden/>
    <w:rsid w:val="006D158B"/>
  </w:style>
  <w:style w:type="paragraph" w:customStyle="1" w:styleId="TGreeting">
    <w:name w:val="T_Greeting"/>
    <w:basedOn w:val="Normal"/>
    <w:next w:val="Normal"/>
    <w:uiPriority w:val="99"/>
    <w:semiHidden/>
    <w:rsid w:val="006D158B"/>
    <w:pPr>
      <w:spacing w:before="454"/>
    </w:pPr>
  </w:style>
  <w:style w:type="paragraph" w:customStyle="1" w:styleId="TSign-Off">
    <w:name w:val="T_Sign-Off"/>
    <w:basedOn w:val="Normal"/>
    <w:uiPriority w:val="99"/>
    <w:semiHidden/>
    <w:rsid w:val="006D158B"/>
    <w:pPr>
      <w:spacing w:before="454" w:after="0"/>
    </w:pPr>
  </w:style>
  <w:style w:type="paragraph" w:customStyle="1" w:styleId="USBodyText">
    <w:name w:val="US Body Text"/>
    <w:basedOn w:val="Normal"/>
    <w:qFormat/>
    <w:rsid w:val="00A37DD9"/>
    <w:pPr>
      <w:spacing w:before="120"/>
    </w:pPr>
  </w:style>
  <w:style w:type="paragraph" w:customStyle="1" w:styleId="USBullet1">
    <w:name w:val="US Bullet 1"/>
    <w:basedOn w:val="Normal"/>
    <w:uiPriority w:val="2"/>
    <w:qFormat/>
    <w:rsid w:val="008B5445"/>
    <w:pPr>
      <w:numPr>
        <w:numId w:val="4"/>
      </w:numPr>
    </w:pPr>
  </w:style>
  <w:style w:type="paragraph" w:customStyle="1" w:styleId="USBullet2">
    <w:name w:val="US Bullet 2"/>
    <w:basedOn w:val="Normal"/>
    <w:uiPriority w:val="2"/>
    <w:rsid w:val="008B5445"/>
    <w:pPr>
      <w:numPr>
        <w:ilvl w:val="1"/>
        <w:numId w:val="4"/>
      </w:numPr>
      <w:ind w:hanging="851"/>
    </w:pPr>
  </w:style>
  <w:style w:type="paragraph" w:customStyle="1" w:styleId="USBullet3">
    <w:name w:val="US Bullet 3"/>
    <w:basedOn w:val="Normal"/>
    <w:uiPriority w:val="2"/>
    <w:rsid w:val="008B5445"/>
    <w:pPr>
      <w:numPr>
        <w:ilvl w:val="2"/>
        <w:numId w:val="4"/>
      </w:numPr>
      <w:tabs>
        <w:tab w:val="clear" w:pos="1276"/>
        <w:tab w:val="num" w:pos="851"/>
      </w:tabs>
      <w:ind w:left="851" w:hanging="851"/>
    </w:pPr>
  </w:style>
  <w:style w:type="paragraph" w:customStyle="1" w:styleId="USMixedB2">
    <w:name w:val="US Mixed B2"/>
    <w:basedOn w:val="Normal"/>
    <w:uiPriority w:val="3"/>
    <w:rsid w:val="008B5445"/>
    <w:pPr>
      <w:numPr>
        <w:numId w:val="5"/>
      </w:numPr>
      <w:tabs>
        <w:tab w:val="clear" w:pos="851"/>
        <w:tab w:val="num" w:pos="425"/>
      </w:tabs>
      <w:ind w:left="425" w:hanging="425"/>
    </w:pPr>
  </w:style>
  <w:style w:type="paragraph" w:customStyle="1" w:styleId="USMixedB3">
    <w:name w:val="US Mixed B3"/>
    <w:basedOn w:val="Normal"/>
    <w:uiPriority w:val="3"/>
    <w:rsid w:val="008B5445"/>
    <w:pPr>
      <w:numPr>
        <w:ilvl w:val="1"/>
        <w:numId w:val="5"/>
      </w:numPr>
      <w:tabs>
        <w:tab w:val="clear" w:pos="1276"/>
        <w:tab w:val="num" w:pos="851"/>
      </w:tabs>
      <w:ind w:left="851" w:hanging="426"/>
    </w:pPr>
  </w:style>
  <w:style w:type="paragraph" w:customStyle="1" w:styleId="USNumber1">
    <w:name w:val="US Number 1"/>
    <w:basedOn w:val="Normal"/>
    <w:uiPriority w:val="2"/>
    <w:qFormat/>
    <w:rsid w:val="007375DC"/>
    <w:pPr>
      <w:numPr>
        <w:numId w:val="6"/>
      </w:numPr>
    </w:pPr>
  </w:style>
  <w:style w:type="paragraph" w:customStyle="1" w:styleId="USNumbera">
    <w:name w:val="US Number a"/>
    <w:basedOn w:val="Normal"/>
    <w:uiPriority w:val="2"/>
    <w:rsid w:val="008B5445"/>
    <w:pPr>
      <w:numPr>
        <w:ilvl w:val="1"/>
        <w:numId w:val="6"/>
      </w:numPr>
      <w:tabs>
        <w:tab w:val="num" w:pos="1276"/>
      </w:tabs>
      <w:ind w:left="1276" w:hanging="425"/>
    </w:pPr>
  </w:style>
  <w:style w:type="paragraph" w:customStyle="1" w:styleId="USNumberi">
    <w:name w:val="US Number i"/>
    <w:basedOn w:val="Normal"/>
    <w:uiPriority w:val="2"/>
    <w:rsid w:val="008B5445"/>
    <w:pPr>
      <w:numPr>
        <w:ilvl w:val="2"/>
        <w:numId w:val="6"/>
      </w:numPr>
      <w:ind w:left="2160" w:hanging="360"/>
    </w:pPr>
  </w:style>
  <w:style w:type="paragraph" w:customStyle="1" w:styleId="FooterPortrait">
    <w:name w:val="Footer Portrait"/>
    <w:basedOn w:val="Footer"/>
    <w:uiPriority w:val="99"/>
    <w:semiHidden/>
    <w:rsid w:val="006D158B"/>
  </w:style>
  <w:style w:type="paragraph" w:customStyle="1" w:styleId="FooterLandscapeOdd">
    <w:name w:val="Footer Landscape Odd"/>
    <w:basedOn w:val="Footer"/>
    <w:uiPriority w:val="99"/>
    <w:semiHidden/>
    <w:rsid w:val="006D158B"/>
    <w:pPr>
      <w:tabs>
        <w:tab w:val="clear" w:pos="9072"/>
        <w:tab w:val="right" w:pos="14005"/>
      </w:tabs>
    </w:pPr>
  </w:style>
  <w:style w:type="paragraph" w:customStyle="1" w:styleId="USIndent1">
    <w:name w:val="US Indent 1"/>
    <w:basedOn w:val="Normal"/>
    <w:uiPriority w:val="4"/>
    <w:rsid w:val="00CE6DF0"/>
    <w:pPr>
      <w:ind w:left="425"/>
    </w:pPr>
  </w:style>
  <w:style w:type="paragraph" w:customStyle="1" w:styleId="USIndent2">
    <w:name w:val="US Indent 2"/>
    <w:basedOn w:val="Normal"/>
    <w:uiPriority w:val="4"/>
    <w:rsid w:val="00CE6DF0"/>
    <w:pPr>
      <w:ind w:left="851"/>
    </w:pPr>
  </w:style>
  <w:style w:type="paragraph" w:customStyle="1" w:styleId="USIndent3">
    <w:name w:val="US Indent 3"/>
    <w:basedOn w:val="Normal"/>
    <w:uiPriority w:val="4"/>
    <w:rsid w:val="00CE6DF0"/>
    <w:pPr>
      <w:ind w:left="1276"/>
    </w:pPr>
  </w:style>
  <w:style w:type="paragraph" w:customStyle="1" w:styleId="FooterA3Odd">
    <w:name w:val="Footer A3 Odd"/>
    <w:basedOn w:val="Footer"/>
    <w:uiPriority w:val="99"/>
    <w:semiHidden/>
    <w:rsid w:val="00093F4A"/>
    <w:pPr>
      <w:tabs>
        <w:tab w:val="clear" w:pos="9072"/>
        <w:tab w:val="right" w:pos="20979"/>
      </w:tabs>
    </w:pPr>
  </w:style>
  <w:style w:type="paragraph" w:customStyle="1" w:styleId="Quotation">
    <w:name w:val="Quotation"/>
    <w:basedOn w:val="Normal"/>
    <w:uiPriority w:val="11"/>
    <w:rsid w:val="00322D00"/>
    <w:pPr>
      <w:spacing w:before="113" w:line="240" w:lineRule="atLeast"/>
      <w:ind w:right="425"/>
    </w:pPr>
    <w:rPr>
      <w:i/>
      <w:sz w:val="18"/>
    </w:rPr>
  </w:style>
  <w:style w:type="character" w:customStyle="1" w:styleId="Heading2Char">
    <w:name w:val="Heading 2 Char"/>
    <w:basedOn w:val="DefaultParagraphFont"/>
    <w:link w:val="Heading2"/>
    <w:uiPriority w:val="1"/>
    <w:rsid w:val="007D58E1"/>
    <w:rPr>
      <w:rFonts w:ascii="Cera Pro" w:eastAsiaTheme="majorEastAsia" w:hAnsi="Cera Pro" w:cstheme="majorBidi"/>
      <w:color w:val="E5004B"/>
      <w:sz w:val="36"/>
      <w:szCs w:val="26"/>
    </w:rPr>
  </w:style>
  <w:style w:type="paragraph" w:customStyle="1" w:styleId="USSingleSpacedParagraph">
    <w:name w:val="US Single Spaced Paragraph"/>
    <w:basedOn w:val="USBodyText"/>
    <w:uiPriority w:val="99"/>
    <w:semiHidden/>
    <w:rsid w:val="00B54B07"/>
    <w:pPr>
      <w:spacing w:before="0" w:after="0"/>
    </w:pPr>
  </w:style>
  <w:style w:type="character" w:customStyle="1" w:styleId="Heading3Char">
    <w:name w:val="Heading 3 Char"/>
    <w:basedOn w:val="DefaultParagraphFont"/>
    <w:link w:val="Heading3"/>
    <w:uiPriority w:val="1"/>
    <w:rsid w:val="00DD368D"/>
    <w:rPr>
      <w:rFonts w:ascii="Cera Pro" w:eastAsiaTheme="majorEastAsia" w:hAnsi="Cera Pro" w:cstheme="majorBidi"/>
      <w:b/>
      <w:color w:val="549D9E"/>
      <w:sz w:val="28"/>
      <w:szCs w:val="24"/>
    </w:rPr>
  </w:style>
  <w:style w:type="character" w:customStyle="1" w:styleId="Heading4Char">
    <w:name w:val="Heading 4 Char"/>
    <w:basedOn w:val="DefaultParagraphFont"/>
    <w:link w:val="Heading4"/>
    <w:uiPriority w:val="1"/>
    <w:rsid w:val="00354639"/>
    <w:rPr>
      <w:rFonts w:ascii="Cera Pro" w:eastAsiaTheme="majorEastAsia" w:hAnsi="Cera Pro" w:cstheme="majorBidi"/>
      <w:b/>
      <w:iCs/>
      <w:sz w:val="24"/>
    </w:rPr>
  </w:style>
  <w:style w:type="character" w:customStyle="1" w:styleId="Heading5Char">
    <w:name w:val="Heading 5 Char"/>
    <w:basedOn w:val="DefaultParagraphFont"/>
    <w:link w:val="Heading5"/>
    <w:uiPriority w:val="1"/>
    <w:rsid w:val="00D27FBB"/>
    <w:rPr>
      <w:rFonts w:ascii="Cera Pro" w:eastAsiaTheme="majorEastAsia" w:hAnsi="Cera Pro" w:cstheme="majorBidi"/>
      <w:b/>
      <w:sz w:val="19"/>
    </w:rPr>
  </w:style>
  <w:style w:type="paragraph" w:customStyle="1" w:styleId="USIntroduction">
    <w:name w:val="US Introduction"/>
    <w:basedOn w:val="Normal"/>
    <w:next w:val="USBodyText"/>
    <w:uiPriority w:val="99"/>
    <w:semiHidden/>
    <w:rsid w:val="001C6C49"/>
    <w:pPr>
      <w:spacing w:before="340" w:after="227" w:line="340" w:lineRule="atLeast"/>
    </w:pPr>
    <w:rPr>
      <w:sz w:val="28"/>
    </w:rPr>
  </w:style>
  <w:style w:type="paragraph" w:customStyle="1" w:styleId="USPullQuote">
    <w:name w:val="US Pull Quote"/>
    <w:basedOn w:val="SureRed"/>
    <w:uiPriority w:val="13"/>
    <w:rsid w:val="00D44ADF"/>
    <w:pPr>
      <w:pBdr>
        <w:top w:val="single" w:sz="4" w:space="14" w:color="E5004B"/>
        <w:bottom w:val="single" w:sz="4" w:space="14" w:color="E5004B"/>
      </w:pBdr>
      <w:spacing w:before="284" w:after="454" w:line="340" w:lineRule="atLeast"/>
    </w:pPr>
    <w:rPr>
      <w:sz w:val="28"/>
    </w:rPr>
  </w:style>
  <w:style w:type="paragraph" w:styleId="FootnoteText">
    <w:name w:val="footnote text"/>
    <w:basedOn w:val="Normal"/>
    <w:link w:val="FootnoteTextChar"/>
    <w:uiPriority w:val="99"/>
    <w:semiHidden/>
    <w:rsid w:val="00B81402"/>
    <w:pPr>
      <w:tabs>
        <w:tab w:val="left" w:pos="425"/>
      </w:tabs>
      <w:spacing w:after="57" w:line="170" w:lineRule="atLeast"/>
      <w:ind w:left="425" w:hanging="425"/>
    </w:pPr>
    <w:rPr>
      <w:sz w:val="14"/>
      <w:szCs w:val="20"/>
    </w:rPr>
  </w:style>
  <w:style w:type="character" w:customStyle="1" w:styleId="FootnoteTextChar">
    <w:name w:val="Footnote Text Char"/>
    <w:basedOn w:val="DefaultParagraphFont"/>
    <w:link w:val="FootnoteText"/>
    <w:uiPriority w:val="99"/>
    <w:semiHidden/>
    <w:rsid w:val="007D58E1"/>
    <w:rPr>
      <w:rFonts w:ascii="Cera Pro" w:hAnsi="Cera Pro"/>
      <w:sz w:val="14"/>
      <w:szCs w:val="20"/>
    </w:rPr>
  </w:style>
  <w:style w:type="character" w:styleId="FootnoteReference">
    <w:name w:val="footnote reference"/>
    <w:basedOn w:val="DefaultParagraphFont"/>
    <w:uiPriority w:val="99"/>
    <w:semiHidden/>
    <w:rsid w:val="004270E0"/>
    <w:rPr>
      <w:vertAlign w:val="superscript"/>
    </w:rPr>
  </w:style>
  <w:style w:type="table" w:customStyle="1" w:styleId="TablewithNumbers">
    <w:name w:val="Table with Numbers"/>
    <w:basedOn w:val="TableDefault"/>
    <w:uiPriority w:val="99"/>
    <w:rsid w:val="00D52184"/>
    <w:pPr>
      <w:jc w:val="right"/>
    </w:pPr>
    <w:tblPr>
      <w:tblCellMar>
        <w:top w:w="57" w:type="dxa"/>
        <w:bottom w:w="57" w:type="dxa"/>
      </w:tblCellMar>
    </w:tblPr>
    <w:tblStylePr w:type="firstRow">
      <w:pPr>
        <w:wordWrap/>
      </w:pPr>
      <w:rPr>
        <w:b w:val="0"/>
        <w:color w:val="FFFFFF" w:themeColor="background1"/>
      </w:rPr>
      <w:tblPr/>
      <w:tcPr>
        <w:tcBorders>
          <w:insideH w:val="nil"/>
          <w:insideV w:val="nil"/>
        </w:tcBorders>
        <w:shd w:val="clear" w:color="auto" w:fill="436E73"/>
      </w:tcPr>
    </w:tblStylePr>
    <w:tblStylePr w:type="firstCol">
      <w:pPr>
        <w:jc w:val="left"/>
      </w:pPr>
    </w:tblStylePr>
  </w:style>
  <w:style w:type="paragraph" w:styleId="Caption">
    <w:name w:val="caption"/>
    <w:basedOn w:val="Normal"/>
    <w:next w:val="USBodyText"/>
    <w:uiPriority w:val="12"/>
    <w:rsid w:val="002E622E"/>
    <w:pPr>
      <w:keepNext/>
      <w:keepLines/>
      <w:tabs>
        <w:tab w:val="left" w:pos="1049"/>
      </w:tabs>
      <w:spacing w:before="397" w:after="240"/>
      <w:ind w:left="1049" w:hanging="1049"/>
    </w:pPr>
    <w:rPr>
      <w:b/>
      <w:iCs/>
      <w:szCs w:val="18"/>
    </w:rPr>
  </w:style>
  <w:style w:type="paragraph" w:customStyle="1" w:styleId="TSTableNormal1">
    <w:name w:val="TS Table Normal1"/>
    <w:basedOn w:val="Normal"/>
    <w:uiPriority w:val="99"/>
    <w:semiHidden/>
    <w:rsid w:val="00A365B0"/>
    <w:pPr>
      <w:spacing w:before="57" w:after="57" w:line="190" w:lineRule="atLeast"/>
      <w:ind w:right="227"/>
    </w:pPr>
    <w:rPr>
      <w:sz w:val="16"/>
    </w:rPr>
  </w:style>
  <w:style w:type="paragraph" w:customStyle="1" w:styleId="TSTableHeading">
    <w:name w:val="TS Table Heading"/>
    <w:basedOn w:val="Normal"/>
    <w:uiPriority w:val="5"/>
    <w:qFormat/>
    <w:rsid w:val="00576752"/>
    <w:pPr>
      <w:spacing w:before="57" w:after="57" w:line="190" w:lineRule="atLeast"/>
    </w:pPr>
    <w:rPr>
      <w:b/>
      <w:color w:val="FFFFFF"/>
      <w:sz w:val="16"/>
    </w:rPr>
  </w:style>
  <w:style w:type="paragraph" w:customStyle="1" w:styleId="TSOtherBodyText">
    <w:name w:val="TS Other (Body Text)"/>
    <w:basedOn w:val="TSTableNormal1"/>
    <w:uiPriority w:val="6"/>
    <w:qFormat/>
    <w:rsid w:val="004E5FE5"/>
    <w:pPr>
      <w:ind w:right="0"/>
    </w:pPr>
  </w:style>
  <w:style w:type="paragraph" w:customStyle="1" w:styleId="TSTextBodyText">
    <w:name w:val="TS Text (Body Text)"/>
    <w:basedOn w:val="Normal"/>
    <w:uiPriority w:val="99"/>
    <w:semiHidden/>
    <w:rsid w:val="00B17005"/>
    <w:pPr>
      <w:spacing w:before="57" w:after="57" w:line="190" w:lineRule="atLeast"/>
      <w:ind w:right="227"/>
    </w:pPr>
    <w:rPr>
      <w:sz w:val="16"/>
    </w:rPr>
  </w:style>
  <w:style w:type="paragraph" w:customStyle="1" w:styleId="TSNumber1">
    <w:name w:val="TS Number 1"/>
    <w:basedOn w:val="Normal"/>
    <w:uiPriority w:val="7"/>
    <w:qFormat/>
    <w:rsid w:val="008B5445"/>
    <w:pPr>
      <w:numPr>
        <w:numId w:val="7"/>
      </w:numPr>
      <w:spacing w:before="57" w:after="57" w:line="190" w:lineRule="atLeast"/>
      <w:ind w:right="227"/>
    </w:pPr>
    <w:rPr>
      <w:sz w:val="16"/>
    </w:rPr>
  </w:style>
  <w:style w:type="paragraph" w:customStyle="1" w:styleId="TSNumbera">
    <w:name w:val="TS Number a"/>
    <w:basedOn w:val="Normal"/>
    <w:uiPriority w:val="7"/>
    <w:rsid w:val="008B5445"/>
    <w:pPr>
      <w:numPr>
        <w:ilvl w:val="1"/>
        <w:numId w:val="7"/>
      </w:numPr>
      <w:tabs>
        <w:tab w:val="left" w:pos="425"/>
        <w:tab w:val="num" w:pos="851"/>
      </w:tabs>
      <w:spacing w:before="57" w:after="57" w:line="190" w:lineRule="atLeast"/>
      <w:ind w:left="851" w:right="227" w:hanging="426"/>
    </w:pPr>
    <w:rPr>
      <w:sz w:val="16"/>
    </w:rPr>
  </w:style>
  <w:style w:type="paragraph" w:customStyle="1" w:styleId="TSNumberi">
    <w:name w:val="TS Number i"/>
    <w:basedOn w:val="Normal"/>
    <w:uiPriority w:val="7"/>
    <w:rsid w:val="008B5445"/>
    <w:pPr>
      <w:numPr>
        <w:ilvl w:val="2"/>
        <w:numId w:val="7"/>
      </w:numPr>
      <w:tabs>
        <w:tab w:val="left" w:pos="641"/>
        <w:tab w:val="num" w:pos="1276"/>
      </w:tabs>
      <w:spacing w:before="57" w:after="57" w:line="190" w:lineRule="atLeast"/>
      <w:ind w:left="1276" w:right="227" w:hanging="425"/>
    </w:pPr>
    <w:rPr>
      <w:sz w:val="16"/>
    </w:rPr>
  </w:style>
  <w:style w:type="paragraph" w:customStyle="1" w:styleId="TSIndent1">
    <w:name w:val="TS Indent 1"/>
    <w:basedOn w:val="TSTableNormal1"/>
    <w:uiPriority w:val="9"/>
    <w:rsid w:val="00A365B0"/>
    <w:pPr>
      <w:ind w:left="215"/>
    </w:pPr>
  </w:style>
  <w:style w:type="paragraph" w:customStyle="1" w:styleId="TSIndent2">
    <w:name w:val="TS Indent 2"/>
    <w:basedOn w:val="TSTableNormal1"/>
    <w:uiPriority w:val="9"/>
    <w:rsid w:val="00A365B0"/>
    <w:pPr>
      <w:ind w:left="425"/>
    </w:pPr>
  </w:style>
  <w:style w:type="paragraph" w:customStyle="1" w:styleId="TSIndent3">
    <w:name w:val="TS Indent 3"/>
    <w:basedOn w:val="TSTableNormal1"/>
    <w:uiPriority w:val="9"/>
    <w:rsid w:val="00A365B0"/>
    <w:pPr>
      <w:ind w:left="641"/>
    </w:pPr>
  </w:style>
  <w:style w:type="paragraph" w:customStyle="1" w:styleId="TCopiesto">
    <w:name w:val="T_Copies to"/>
    <w:basedOn w:val="Normal"/>
    <w:next w:val="USBodyText"/>
    <w:uiPriority w:val="99"/>
    <w:semiHidden/>
    <w:rsid w:val="00F85BF0"/>
    <w:pPr>
      <w:tabs>
        <w:tab w:val="left" w:pos="1276"/>
      </w:tabs>
      <w:spacing w:before="160"/>
      <w:ind w:left="1276" w:hanging="1276"/>
    </w:pPr>
  </w:style>
  <w:style w:type="paragraph" w:customStyle="1" w:styleId="TEnclosures">
    <w:name w:val="T_Enclosures"/>
    <w:basedOn w:val="Normal"/>
    <w:next w:val="USBodyText"/>
    <w:uiPriority w:val="99"/>
    <w:semiHidden/>
    <w:rsid w:val="001158D4"/>
    <w:pPr>
      <w:tabs>
        <w:tab w:val="left" w:pos="1276"/>
      </w:tabs>
      <w:spacing w:before="160" w:after="0"/>
      <w:ind w:left="1276" w:hanging="1276"/>
    </w:pPr>
  </w:style>
  <w:style w:type="paragraph" w:customStyle="1" w:styleId="Comments">
    <w:name w:val="Comments"/>
    <w:basedOn w:val="Normal"/>
    <w:uiPriority w:val="17"/>
    <w:rsid w:val="0045451D"/>
    <w:pPr>
      <w:shd w:val="clear" w:color="auto" w:fill="FFFF00"/>
    </w:pPr>
  </w:style>
  <w:style w:type="paragraph" w:customStyle="1" w:styleId="USWhiteSpace">
    <w:name w:val="US White Space"/>
    <w:basedOn w:val="Normal"/>
    <w:uiPriority w:val="10"/>
    <w:rsid w:val="00EE7CBD"/>
    <w:pPr>
      <w:spacing w:after="0" w:line="240" w:lineRule="auto"/>
    </w:pPr>
    <w:rPr>
      <w:sz w:val="12"/>
    </w:rPr>
  </w:style>
  <w:style w:type="paragraph" w:customStyle="1" w:styleId="TSBodyHeading">
    <w:name w:val="TS Body Heading"/>
    <w:basedOn w:val="TSOtherBodyText"/>
    <w:next w:val="TSTextBodyText"/>
    <w:uiPriority w:val="5"/>
    <w:rsid w:val="00724DBC"/>
    <w:pPr>
      <w:spacing w:before="80" w:after="20"/>
    </w:pPr>
    <w:rPr>
      <w:b/>
    </w:rPr>
  </w:style>
  <w:style w:type="paragraph" w:customStyle="1" w:styleId="TSMixedB2">
    <w:name w:val="TS Mixed B2"/>
    <w:basedOn w:val="TSTableNormal1"/>
    <w:uiPriority w:val="8"/>
    <w:rsid w:val="008B5445"/>
    <w:pPr>
      <w:numPr>
        <w:numId w:val="8"/>
      </w:numPr>
      <w:tabs>
        <w:tab w:val="clear" w:pos="425"/>
        <w:tab w:val="num" w:pos="215"/>
      </w:tabs>
      <w:ind w:left="215" w:hanging="215"/>
    </w:pPr>
  </w:style>
  <w:style w:type="paragraph" w:customStyle="1" w:styleId="TSMixedB3">
    <w:name w:val="TS Mixed B3"/>
    <w:basedOn w:val="TSTableNormal1"/>
    <w:uiPriority w:val="8"/>
    <w:rsid w:val="008B5445"/>
    <w:pPr>
      <w:numPr>
        <w:ilvl w:val="1"/>
        <w:numId w:val="8"/>
      </w:numPr>
      <w:tabs>
        <w:tab w:val="clear" w:pos="641"/>
        <w:tab w:val="num" w:pos="425"/>
      </w:tabs>
      <w:ind w:left="425" w:hanging="210"/>
    </w:pPr>
  </w:style>
  <w:style w:type="paragraph" w:customStyle="1" w:styleId="USSource">
    <w:name w:val="US Source"/>
    <w:basedOn w:val="Normal"/>
    <w:uiPriority w:val="12"/>
    <w:rsid w:val="009308BF"/>
    <w:pPr>
      <w:spacing w:before="57" w:after="57" w:line="170" w:lineRule="atLeast"/>
    </w:pPr>
    <w:rPr>
      <w:sz w:val="14"/>
    </w:rPr>
  </w:style>
  <w:style w:type="paragraph" w:customStyle="1" w:styleId="USNotes">
    <w:name w:val="US Notes"/>
    <w:basedOn w:val="Normal"/>
    <w:uiPriority w:val="16"/>
    <w:rsid w:val="008977A1"/>
    <w:pPr>
      <w:numPr>
        <w:numId w:val="9"/>
      </w:numPr>
      <w:tabs>
        <w:tab w:val="clear" w:pos="215"/>
        <w:tab w:val="num" w:pos="425"/>
      </w:tabs>
      <w:spacing w:before="57" w:after="57" w:line="170" w:lineRule="atLeast"/>
      <w:ind w:left="425" w:hanging="210"/>
    </w:pPr>
    <w:rPr>
      <w:sz w:val="14"/>
    </w:rPr>
  </w:style>
  <w:style w:type="paragraph" w:customStyle="1" w:styleId="TSTextSingle">
    <w:name w:val="TS Text (Single)"/>
    <w:basedOn w:val="TSOtherBodyText"/>
    <w:uiPriority w:val="99"/>
    <w:semiHidden/>
    <w:rsid w:val="00A365B0"/>
    <w:pPr>
      <w:spacing w:before="0" w:after="0" w:line="240" w:lineRule="auto"/>
    </w:pPr>
  </w:style>
  <w:style w:type="paragraph" w:customStyle="1" w:styleId="TSBullet1">
    <w:name w:val="TS Bullet 1"/>
    <w:basedOn w:val="TSTableNormal1"/>
    <w:uiPriority w:val="7"/>
    <w:qFormat/>
    <w:rsid w:val="002D3AE1"/>
    <w:pPr>
      <w:numPr>
        <w:numId w:val="10"/>
      </w:numPr>
      <w:spacing w:line="240" w:lineRule="auto"/>
      <w:ind w:right="29"/>
    </w:pPr>
    <w:rPr>
      <w:lang w:val="en-AU"/>
    </w:rPr>
  </w:style>
  <w:style w:type="paragraph" w:customStyle="1" w:styleId="TSBullet2">
    <w:name w:val="TS Bullet 2"/>
    <w:basedOn w:val="TSTableNormal1"/>
    <w:uiPriority w:val="7"/>
    <w:rsid w:val="008B5445"/>
    <w:pPr>
      <w:numPr>
        <w:ilvl w:val="1"/>
        <w:numId w:val="10"/>
      </w:numPr>
      <w:tabs>
        <w:tab w:val="clear" w:pos="425"/>
      </w:tabs>
      <w:ind w:left="215" w:firstLine="0"/>
    </w:pPr>
  </w:style>
  <w:style w:type="paragraph" w:customStyle="1" w:styleId="TSBullet3">
    <w:name w:val="TS Bullet 3"/>
    <w:basedOn w:val="TSTableNormal1"/>
    <w:uiPriority w:val="7"/>
    <w:rsid w:val="008B5445"/>
    <w:pPr>
      <w:numPr>
        <w:ilvl w:val="2"/>
        <w:numId w:val="10"/>
      </w:numPr>
      <w:tabs>
        <w:tab w:val="clear" w:pos="641"/>
      </w:tabs>
      <w:ind w:left="1080" w:hanging="360"/>
    </w:pPr>
  </w:style>
  <w:style w:type="paragraph" w:customStyle="1" w:styleId="NHHeading1">
    <w:name w:val="NH Heading 1"/>
    <w:basedOn w:val="Heading1"/>
    <w:next w:val="USBodyText"/>
    <w:uiPriority w:val="15"/>
    <w:rsid w:val="007F6B4B"/>
    <w:pPr>
      <w:numPr>
        <w:numId w:val="3"/>
      </w:numPr>
      <w:tabs>
        <w:tab w:val="clear" w:pos="851"/>
      </w:tabs>
      <w:ind w:left="720" w:hanging="360"/>
      <w:outlineLvl w:val="6"/>
    </w:pPr>
  </w:style>
  <w:style w:type="character" w:customStyle="1" w:styleId="Heading6Char">
    <w:name w:val="Heading 6 Char"/>
    <w:basedOn w:val="DefaultParagraphFont"/>
    <w:link w:val="Heading6"/>
    <w:uiPriority w:val="1"/>
    <w:rsid w:val="007D58E1"/>
    <w:rPr>
      <w:rFonts w:ascii="Cera Pro" w:eastAsiaTheme="majorEastAsia" w:hAnsi="Cera Pro" w:cstheme="majorBidi"/>
      <w:i/>
      <w:color w:val="000000" w:themeColor="text1"/>
      <w:sz w:val="19"/>
    </w:rPr>
  </w:style>
  <w:style w:type="paragraph" w:customStyle="1" w:styleId="NHHeading2">
    <w:name w:val="NH Heading 2"/>
    <w:basedOn w:val="Heading2"/>
    <w:next w:val="USBodyText"/>
    <w:uiPriority w:val="15"/>
    <w:rsid w:val="007F6B4B"/>
    <w:pPr>
      <w:numPr>
        <w:ilvl w:val="1"/>
        <w:numId w:val="3"/>
      </w:numPr>
      <w:tabs>
        <w:tab w:val="clear" w:pos="851"/>
      </w:tabs>
      <w:ind w:left="1440" w:hanging="360"/>
      <w:outlineLvl w:val="7"/>
    </w:pPr>
  </w:style>
  <w:style w:type="paragraph" w:customStyle="1" w:styleId="NHHeading3">
    <w:name w:val="NH Heading 3"/>
    <w:basedOn w:val="Heading3"/>
    <w:next w:val="USBodyText"/>
    <w:uiPriority w:val="15"/>
    <w:rsid w:val="007F6B4B"/>
    <w:pPr>
      <w:numPr>
        <w:ilvl w:val="2"/>
        <w:numId w:val="3"/>
      </w:numPr>
      <w:tabs>
        <w:tab w:val="clear" w:pos="851"/>
      </w:tabs>
      <w:ind w:left="2160" w:hanging="360"/>
      <w:outlineLvl w:val="8"/>
    </w:pPr>
  </w:style>
  <w:style w:type="paragraph" w:customStyle="1" w:styleId="NHHeading4">
    <w:name w:val="NH Heading 4"/>
    <w:basedOn w:val="Heading4"/>
    <w:next w:val="USBodyText"/>
    <w:uiPriority w:val="99"/>
    <w:semiHidden/>
    <w:rsid w:val="007F6B4B"/>
    <w:pPr>
      <w:numPr>
        <w:ilvl w:val="3"/>
        <w:numId w:val="3"/>
      </w:numPr>
      <w:ind w:left="2880" w:hanging="360"/>
    </w:pPr>
  </w:style>
  <w:style w:type="paragraph" w:customStyle="1" w:styleId="NHHeading5">
    <w:name w:val="NH Heading 5"/>
    <w:basedOn w:val="Heading5"/>
    <w:next w:val="USBodyText"/>
    <w:uiPriority w:val="99"/>
    <w:semiHidden/>
    <w:rsid w:val="007F6B4B"/>
    <w:pPr>
      <w:numPr>
        <w:ilvl w:val="4"/>
        <w:numId w:val="3"/>
      </w:numPr>
      <w:ind w:left="3600" w:hanging="360"/>
    </w:pPr>
  </w:style>
  <w:style w:type="paragraph" w:customStyle="1" w:styleId="LnHeading1">
    <w:name w:val="Ln Heading 1"/>
    <w:basedOn w:val="Heading1"/>
    <w:next w:val="LNPara2"/>
    <w:uiPriority w:val="15"/>
    <w:rsid w:val="00C75BB5"/>
    <w:pPr>
      <w:numPr>
        <w:numId w:val="11"/>
      </w:numPr>
      <w:tabs>
        <w:tab w:val="clear" w:pos="851"/>
        <w:tab w:val="num" w:pos="215"/>
      </w:tabs>
      <w:ind w:left="215" w:hanging="215"/>
      <w:outlineLvl w:val="5"/>
    </w:pPr>
  </w:style>
  <w:style w:type="character" w:customStyle="1" w:styleId="Heading7Char">
    <w:name w:val="Heading 7 Char"/>
    <w:basedOn w:val="DefaultParagraphFont"/>
    <w:link w:val="Heading7"/>
    <w:uiPriority w:val="99"/>
    <w:semiHidden/>
    <w:rsid w:val="007D58E1"/>
    <w:rPr>
      <w:rFonts w:asciiTheme="majorHAnsi" w:eastAsiaTheme="majorEastAsia" w:hAnsiTheme="majorHAnsi" w:cstheme="majorBidi"/>
      <w:i/>
      <w:iCs/>
      <w:color w:val="213639" w:themeColor="accent1" w:themeShade="7F"/>
      <w:sz w:val="19"/>
    </w:rPr>
  </w:style>
  <w:style w:type="character" w:customStyle="1" w:styleId="Heading8Char">
    <w:name w:val="Heading 8 Char"/>
    <w:basedOn w:val="DefaultParagraphFont"/>
    <w:link w:val="Heading8"/>
    <w:uiPriority w:val="99"/>
    <w:semiHidden/>
    <w:rsid w:val="007D58E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7D58E1"/>
    <w:rPr>
      <w:rFonts w:asciiTheme="majorHAnsi" w:eastAsiaTheme="majorEastAsia" w:hAnsiTheme="majorHAnsi" w:cstheme="majorBidi"/>
      <w:i/>
      <w:iCs/>
      <w:color w:val="272727" w:themeColor="text1" w:themeTint="D8"/>
      <w:sz w:val="21"/>
      <w:szCs w:val="21"/>
    </w:rPr>
  </w:style>
  <w:style w:type="paragraph" w:customStyle="1" w:styleId="LNPara2">
    <w:name w:val="LN Para 2"/>
    <w:basedOn w:val="Normal"/>
    <w:uiPriority w:val="15"/>
    <w:rsid w:val="008B5445"/>
    <w:pPr>
      <w:numPr>
        <w:ilvl w:val="1"/>
        <w:numId w:val="11"/>
      </w:numPr>
      <w:tabs>
        <w:tab w:val="clear" w:pos="851"/>
        <w:tab w:val="num" w:pos="425"/>
      </w:tabs>
      <w:ind w:left="425" w:hanging="210"/>
    </w:pPr>
  </w:style>
  <w:style w:type="paragraph" w:customStyle="1" w:styleId="LNPara3">
    <w:name w:val="LN Para 3"/>
    <w:basedOn w:val="Normal"/>
    <w:uiPriority w:val="15"/>
    <w:rsid w:val="008B5445"/>
    <w:pPr>
      <w:numPr>
        <w:ilvl w:val="2"/>
        <w:numId w:val="11"/>
      </w:numPr>
      <w:tabs>
        <w:tab w:val="clear" w:pos="851"/>
        <w:tab w:val="num" w:pos="641"/>
      </w:tabs>
      <w:ind w:left="641" w:hanging="216"/>
    </w:pPr>
  </w:style>
  <w:style w:type="paragraph" w:customStyle="1" w:styleId="LNParaa">
    <w:name w:val="LN Para a"/>
    <w:basedOn w:val="Normal"/>
    <w:uiPriority w:val="15"/>
    <w:rsid w:val="008B5445"/>
    <w:pPr>
      <w:numPr>
        <w:ilvl w:val="3"/>
        <w:numId w:val="11"/>
      </w:numPr>
      <w:tabs>
        <w:tab w:val="clear" w:pos="1276"/>
      </w:tabs>
      <w:ind w:left="2880" w:hanging="360"/>
    </w:pPr>
  </w:style>
  <w:style w:type="paragraph" w:customStyle="1" w:styleId="LNParai">
    <w:name w:val="LN Para i"/>
    <w:basedOn w:val="Normal"/>
    <w:uiPriority w:val="99"/>
    <w:semiHidden/>
    <w:rsid w:val="00C75BB5"/>
    <w:pPr>
      <w:numPr>
        <w:ilvl w:val="4"/>
        <w:numId w:val="11"/>
      </w:numPr>
      <w:tabs>
        <w:tab w:val="clear" w:pos="1701"/>
      </w:tabs>
      <w:ind w:left="3600" w:hanging="360"/>
    </w:pPr>
  </w:style>
  <w:style w:type="paragraph" w:customStyle="1" w:styleId="LNParaB1">
    <w:name w:val="LN Para B1"/>
    <w:basedOn w:val="Normal"/>
    <w:uiPriority w:val="99"/>
    <w:semiHidden/>
    <w:rsid w:val="00C75BB5"/>
    <w:pPr>
      <w:numPr>
        <w:ilvl w:val="5"/>
        <w:numId w:val="11"/>
      </w:numPr>
      <w:tabs>
        <w:tab w:val="clear" w:pos="1276"/>
      </w:tabs>
      <w:ind w:left="4320" w:hanging="360"/>
    </w:pPr>
  </w:style>
  <w:style w:type="paragraph" w:customStyle="1" w:styleId="LNParaB2">
    <w:name w:val="LN Para B2"/>
    <w:basedOn w:val="Normal"/>
    <w:uiPriority w:val="99"/>
    <w:semiHidden/>
    <w:rsid w:val="00C75BB5"/>
    <w:pPr>
      <w:numPr>
        <w:ilvl w:val="6"/>
        <w:numId w:val="11"/>
      </w:numPr>
      <w:tabs>
        <w:tab w:val="clear" w:pos="1701"/>
      </w:tabs>
      <w:ind w:left="5040" w:hanging="360"/>
    </w:pPr>
  </w:style>
  <w:style w:type="paragraph" w:customStyle="1" w:styleId="LNParaB3">
    <w:name w:val="LN Para B3"/>
    <w:basedOn w:val="Normal"/>
    <w:uiPriority w:val="99"/>
    <w:semiHidden/>
    <w:rsid w:val="00C75BB5"/>
    <w:pPr>
      <w:numPr>
        <w:ilvl w:val="7"/>
        <w:numId w:val="11"/>
      </w:numPr>
      <w:tabs>
        <w:tab w:val="clear" w:pos="2126"/>
      </w:tabs>
      <w:ind w:left="5760" w:hanging="360"/>
    </w:pPr>
  </w:style>
  <w:style w:type="paragraph" w:customStyle="1" w:styleId="LNHeading2">
    <w:name w:val="LN Heading 2"/>
    <w:basedOn w:val="Heading2"/>
    <w:next w:val="LNPara2"/>
    <w:uiPriority w:val="99"/>
    <w:semiHidden/>
    <w:rsid w:val="00C75BB5"/>
    <w:pPr>
      <w:ind w:left="851"/>
    </w:pPr>
  </w:style>
  <w:style w:type="paragraph" w:customStyle="1" w:styleId="LNHeading3">
    <w:name w:val="LN Heading 3"/>
    <w:basedOn w:val="Heading3"/>
    <w:next w:val="LNPara2"/>
    <w:uiPriority w:val="99"/>
    <w:semiHidden/>
    <w:rsid w:val="00C75BB5"/>
    <w:pPr>
      <w:ind w:left="851"/>
    </w:pPr>
  </w:style>
  <w:style w:type="paragraph" w:customStyle="1" w:styleId="LNHeading4">
    <w:name w:val="LN Heading 4"/>
    <w:basedOn w:val="Heading4"/>
    <w:next w:val="LNPara2"/>
    <w:uiPriority w:val="99"/>
    <w:semiHidden/>
    <w:rsid w:val="00C75BB5"/>
    <w:pPr>
      <w:ind w:left="851"/>
    </w:pPr>
  </w:style>
  <w:style w:type="paragraph" w:customStyle="1" w:styleId="LNHeading5">
    <w:name w:val="LN Heading 5"/>
    <w:basedOn w:val="Heading5"/>
    <w:next w:val="LNPara2"/>
    <w:uiPriority w:val="99"/>
    <w:semiHidden/>
    <w:rsid w:val="00C75BB5"/>
    <w:pPr>
      <w:ind w:left="851"/>
    </w:pPr>
  </w:style>
  <w:style w:type="paragraph" w:customStyle="1" w:styleId="ApxHeading1">
    <w:name w:val="Apx Heading 1"/>
    <w:basedOn w:val="Heading1"/>
    <w:next w:val="USBodyText"/>
    <w:uiPriority w:val="16"/>
    <w:qFormat/>
    <w:rsid w:val="00D53C80"/>
    <w:pPr>
      <w:numPr>
        <w:numId w:val="12"/>
      </w:numPr>
    </w:pPr>
  </w:style>
  <w:style w:type="paragraph" w:customStyle="1" w:styleId="ApxHeading2">
    <w:name w:val="Apx Heading 2"/>
    <w:basedOn w:val="Heading2"/>
    <w:next w:val="USBodyText"/>
    <w:uiPriority w:val="16"/>
    <w:qFormat/>
    <w:rsid w:val="00D53C80"/>
  </w:style>
  <w:style w:type="paragraph" w:customStyle="1" w:styleId="ApxHeading3">
    <w:name w:val="Apx Heading 3"/>
    <w:basedOn w:val="Heading3"/>
    <w:next w:val="USBodyText"/>
    <w:uiPriority w:val="16"/>
    <w:rsid w:val="00D53C80"/>
  </w:style>
  <w:style w:type="paragraph" w:customStyle="1" w:styleId="ApxHeading4">
    <w:name w:val="Apx Heading 4"/>
    <w:basedOn w:val="Heading4"/>
    <w:next w:val="USBodyText"/>
    <w:uiPriority w:val="16"/>
    <w:rsid w:val="00D53C80"/>
  </w:style>
  <w:style w:type="paragraph" w:customStyle="1" w:styleId="ApxHeading5">
    <w:name w:val="Apx Heading 5"/>
    <w:basedOn w:val="Heading5"/>
    <w:next w:val="USBodyText"/>
    <w:uiPriority w:val="16"/>
    <w:rsid w:val="00D53C80"/>
  </w:style>
  <w:style w:type="paragraph" w:customStyle="1" w:styleId="LNIndent1">
    <w:name w:val="LN Indent 1"/>
    <w:basedOn w:val="Normal"/>
    <w:uiPriority w:val="99"/>
    <w:semiHidden/>
    <w:rsid w:val="00C75BB5"/>
    <w:pPr>
      <w:ind w:left="851"/>
    </w:pPr>
  </w:style>
  <w:style w:type="paragraph" w:customStyle="1" w:styleId="LNIndent2">
    <w:name w:val="LN Indent 2"/>
    <w:basedOn w:val="Normal"/>
    <w:uiPriority w:val="99"/>
    <w:semiHidden/>
    <w:rsid w:val="00C75BB5"/>
    <w:pPr>
      <w:ind w:left="1276"/>
    </w:pPr>
  </w:style>
  <w:style w:type="paragraph" w:customStyle="1" w:styleId="LNIndent3">
    <w:name w:val="LN Indent 3"/>
    <w:basedOn w:val="Normal"/>
    <w:uiPriority w:val="99"/>
    <w:semiHidden/>
    <w:rsid w:val="00C75BB5"/>
    <w:pPr>
      <w:ind w:left="1701"/>
    </w:pPr>
  </w:style>
  <w:style w:type="paragraph" w:customStyle="1" w:styleId="LNIndent4">
    <w:name w:val="LN Indent 4"/>
    <w:basedOn w:val="Normal"/>
    <w:uiPriority w:val="99"/>
    <w:semiHidden/>
    <w:rsid w:val="00C75BB5"/>
    <w:pPr>
      <w:ind w:left="2126"/>
    </w:pPr>
  </w:style>
  <w:style w:type="table" w:styleId="TableGridLight">
    <w:name w:val="Grid Table Light"/>
    <w:basedOn w:val="TableNormal"/>
    <w:uiPriority w:val="40"/>
    <w:rsid w:val="00420B9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USPlaceholder">
    <w:name w:val="US Placeholder"/>
    <w:basedOn w:val="Normal"/>
    <w:uiPriority w:val="99"/>
    <w:semiHidden/>
    <w:rsid w:val="00A323F5"/>
    <w:pPr>
      <w:keepNext/>
      <w:spacing w:after="0" w:line="240" w:lineRule="auto"/>
      <w:ind w:left="-17"/>
    </w:pPr>
    <w:rPr>
      <w:noProof/>
      <w:sz w:val="2"/>
    </w:rPr>
  </w:style>
  <w:style w:type="paragraph" w:customStyle="1" w:styleId="USNotesHeading">
    <w:name w:val="US Notes (Heading)"/>
    <w:basedOn w:val="Normal"/>
    <w:uiPriority w:val="16"/>
    <w:rsid w:val="00322D00"/>
    <w:pPr>
      <w:spacing w:before="113" w:line="170" w:lineRule="atLeast"/>
    </w:pPr>
    <w:rPr>
      <w:b/>
      <w:sz w:val="14"/>
    </w:rPr>
  </w:style>
  <w:style w:type="paragraph" w:customStyle="1" w:styleId="TClosing">
    <w:name w:val="T_Closing"/>
    <w:basedOn w:val="Normal"/>
    <w:uiPriority w:val="99"/>
    <w:semiHidden/>
    <w:rsid w:val="00C837AB"/>
  </w:style>
  <w:style w:type="paragraph" w:customStyle="1" w:styleId="TSignature">
    <w:name w:val="T_Signature"/>
    <w:basedOn w:val="USBodyText"/>
    <w:uiPriority w:val="99"/>
    <w:semiHidden/>
    <w:rsid w:val="00D041F1"/>
    <w:pPr>
      <w:spacing w:before="480" w:after="480"/>
    </w:pPr>
  </w:style>
  <w:style w:type="paragraph" w:styleId="BalloonText">
    <w:name w:val="Balloon Text"/>
    <w:basedOn w:val="Normal"/>
    <w:link w:val="BalloonTextChar"/>
    <w:uiPriority w:val="99"/>
    <w:semiHidden/>
    <w:rsid w:val="006315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8E1"/>
    <w:rPr>
      <w:rFonts w:ascii="Segoe UI" w:hAnsi="Segoe UI" w:cs="Segoe UI"/>
      <w:sz w:val="18"/>
      <w:szCs w:val="18"/>
    </w:rPr>
  </w:style>
  <w:style w:type="paragraph" w:customStyle="1" w:styleId="CoverHeading1">
    <w:name w:val="Cover Heading 1"/>
    <w:basedOn w:val="Normal"/>
    <w:next w:val="Normal"/>
    <w:uiPriority w:val="99"/>
    <w:semiHidden/>
    <w:rsid w:val="00674EB8"/>
    <w:pPr>
      <w:keepNext/>
      <w:spacing w:after="0" w:line="480" w:lineRule="atLeast"/>
      <w:ind w:right="1701"/>
    </w:pPr>
    <w:rPr>
      <w:b/>
      <w:color w:val="000000"/>
      <w:spacing w:val="-20"/>
      <w:sz w:val="48"/>
    </w:rPr>
  </w:style>
  <w:style w:type="paragraph" w:customStyle="1" w:styleId="CoverDocumentType">
    <w:name w:val="Cover Document Type"/>
    <w:basedOn w:val="SureRed"/>
    <w:next w:val="CoverSubheading"/>
    <w:uiPriority w:val="99"/>
    <w:semiHidden/>
    <w:rsid w:val="00A25C51"/>
    <w:pPr>
      <w:keepNext/>
      <w:spacing w:after="0"/>
    </w:pPr>
    <w:rPr>
      <w:b/>
    </w:rPr>
  </w:style>
  <w:style w:type="paragraph" w:customStyle="1" w:styleId="CoverSubheading">
    <w:name w:val="Cover Subheading"/>
    <w:basedOn w:val="Normal"/>
    <w:uiPriority w:val="99"/>
    <w:semiHidden/>
    <w:rsid w:val="004B3DD8"/>
    <w:pPr>
      <w:keepNext/>
      <w:spacing w:after="0"/>
    </w:pPr>
    <w:rPr>
      <w:b/>
      <w:color w:val="E0004D"/>
    </w:rPr>
  </w:style>
  <w:style w:type="paragraph" w:customStyle="1" w:styleId="CoverDate">
    <w:name w:val="Cover Date"/>
    <w:basedOn w:val="Normal"/>
    <w:uiPriority w:val="99"/>
    <w:semiHidden/>
    <w:rsid w:val="009A0960"/>
    <w:pPr>
      <w:spacing w:before="113"/>
    </w:pPr>
  </w:style>
  <w:style w:type="paragraph" w:customStyle="1" w:styleId="HeadingContents">
    <w:name w:val="Heading Contents"/>
    <w:basedOn w:val="Heading1"/>
    <w:uiPriority w:val="99"/>
    <w:semiHidden/>
    <w:rsid w:val="00390D69"/>
    <w:pPr>
      <w:pageBreakBefore w:val="0"/>
      <w:spacing w:before="680" w:after="220" w:line="480" w:lineRule="atLeast"/>
      <w:outlineLvl w:val="9"/>
    </w:pPr>
  </w:style>
  <w:style w:type="paragraph" w:styleId="TOCHeading">
    <w:name w:val="TOC Heading"/>
    <w:basedOn w:val="Heading1"/>
    <w:next w:val="Normal"/>
    <w:uiPriority w:val="99"/>
    <w:semiHidden/>
    <w:rsid w:val="00380AAF"/>
    <w:pPr>
      <w:pageBreakBefore w:val="0"/>
      <w:spacing w:before="240" w:after="0" w:line="259" w:lineRule="auto"/>
      <w:ind w:right="0"/>
      <w:outlineLvl w:val="9"/>
    </w:pPr>
    <w:rPr>
      <w:rFonts w:asciiTheme="majorHAnsi" w:hAnsiTheme="majorHAnsi"/>
      <w:b w:val="0"/>
      <w:caps/>
      <w:color w:val="325255" w:themeColor="accent1" w:themeShade="BF"/>
      <w:sz w:val="32"/>
      <w:lang w:val="en-US"/>
    </w:rPr>
  </w:style>
  <w:style w:type="paragraph" w:styleId="TOC1">
    <w:name w:val="toc 1"/>
    <w:basedOn w:val="Normal"/>
    <w:next w:val="Normal"/>
    <w:uiPriority w:val="39"/>
    <w:rsid w:val="0059148A"/>
    <w:pPr>
      <w:tabs>
        <w:tab w:val="right" w:pos="9072"/>
      </w:tabs>
      <w:spacing w:before="170" w:after="80"/>
      <w:ind w:right="851"/>
    </w:pPr>
    <w:rPr>
      <w:b/>
    </w:rPr>
  </w:style>
  <w:style w:type="paragraph" w:styleId="TOC2">
    <w:name w:val="toc 2"/>
    <w:basedOn w:val="Normal"/>
    <w:next w:val="Normal"/>
    <w:uiPriority w:val="39"/>
    <w:rsid w:val="0059148A"/>
    <w:pPr>
      <w:tabs>
        <w:tab w:val="right" w:pos="9072"/>
      </w:tabs>
      <w:spacing w:after="80"/>
      <w:ind w:right="851"/>
    </w:pPr>
  </w:style>
  <w:style w:type="paragraph" w:styleId="TOC3">
    <w:name w:val="toc 3"/>
    <w:basedOn w:val="Normal"/>
    <w:next w:val="Normal"/>
    <w:uiPriority w:val="39"/>
    <w:rsid w:val="00853045"/>
    <w:pPr>
      <w:tabs>
        <w:tab w:val="right" w:pos="9072"/>
      </w:tabs>
      <w:spacing w:after="80"/>
      <w:ind w:left="425" w:right="851"/>
    </w:pPr>
  </w:style>
  <w:style w:type="character" w:styleId="Hyperlink">
    <w:name w:val="Hyperlink"/>
    <w:basedOn w:val="DefaultParagraphFont"/>
    <w:uiPriority w:val="99"/>
    <w:rsid w:val="00293374"/>
    <w:rPr>
      <w:color w:val="549D9E"/>
      <w:u w:val="single"/>
    </w:rPr>
  </w:style>
  <w:style w:type="paragraph" w:styleId="TOC4">
    <w:name w:val="toc 4"/>
    <w:basedOn w:val="Normal"/>
    <w:next w:val="Normal"/>
    <w:uiPriority w:val="99"/>
    <w:semiHidden/>
    <w:rsid w:val="00853045"/>
    <w:pPr>
      <w:tabs>
        <w:tab w:val="right" w:pos="9072"/>
      </w:tabs>
      <w:spacing w:after="80"/>
      <w:ind w:left="851" w:right="851"/>
    </w:pPr>
  </w:style>
  <w:style w:type="paragraph" w:styleId="TOC5">
    <w:name w:val="toc 5"/>
    <w:basedOn w:val="Normal"/>
    <w:next w:val="Normal"/>
    <w:uiPriority w:val="99"/>
    <w:semiHidden/>
    <w:rsid w:val="00853045"/>
    <w:pPr>
      <w:tabs>
        <w:tab w:val="right" w:pos="9072"/>
      </w:tabs>
      <w:spacing w:after="80"/>
      <w:ind w:left="1276" w:right="851"/>
    </w:pPr>
  </w:style>
  <w:style w:type="paragraph" w:styleId="TOC8">
    <w:name w:val="toc 8"/>
    <w:basedOn w:val="TOC2"/>
    <w:next w:val="Normal"/>
    <w:uiPriority w:val="99"/>
    <w:semiHidden/>
    <w:rsid w:val="00A03F1D"/>
    <w:pPr>
      <w:ind w:left="851" w:hanging="851"/>
    </w:pPr>
  </w:style>
  <w:style w:type="paragraph" w:styleId="TOC9">
    <w:name w:val="toc 9"/>
    <w:basedOn w:val="Normal"/>
    <w:next w:val="Normal"/>
    <w:uiPriority w:val="99"/>
    <w:semiHidden/>
    <w:rsid w:val="00A03F1D"/>
    <w:pPr>
      <w:tabs>
        <w:tab w:val="left" w:pos="1701"/>
        <w:tab w:val="right" w:pos="9072"/>
      </w:tabs>
      <w:spacing w:after="80"/>
      <w:ind w:left="1702" w:right="851" w:hanging="851"/>
    </w:pPr>
  </w:style>
  <w:style w:type="paragraph" w:styleId="TableofFigures">
    <w:name w:val="table of figures"/>
    <w:basedOn w:val="Normal"/>
    <w:next w:val="Normal"/>
    <w:uiPriority w:val="99"/>
    <w:rsid w:val="00853045"/>
    <w:pPr>
      <w:tabs>
        <w:tab w:val="left" w:pos="1049"/>
        <w:tab w:val="right" w:pos="9072"/>
      </w:tabs>
      <w:spacing w:after="80"/>
      <w:ind w:left="1049" w:right="851" w:hanging="1049"/>
    </w:pPr>
  </w:style>
  <w:style w:type="paragraph" w:customStyle="1" w:styleId="FooterPortraitOdd">
    <w:name w:val="Footer Portrait Odd"/>
    <w:basedOn w:val="Footer"/>
    <w:uiPriority w:val="99"/>
    <w:semiHidden/>
    <w:rsid w:val="00B20014"/>
    <w:rPr>
      <w:noProof/>
      <w:lang w:eastAsia="en-NZ"/>
    </w:rPr>
  </w:style>
  <w:style w:type="paragraph" w:customStyle="1" w:styleId="FooterPortraitEven">
    <w:name w:val="Footer Portrait Even"/>
    <w:basedOn w:val="Footer"/>
    <w:uiPriority w:val="99"/>
    <w:semiHidden/>
    <w:rsid w:val="00B43FB4"/>
    <w:pPr>
      <w:tabs>
        <w:tab w:val="clear" w:pos="851"/>
        <w:tab w:val="clear" w:pos="9072"/>
        <w:tab w:val="right" w:pos="8222"/>
      </w:tabs>
    </w:pPr>
    <w:rPr>
      <w:lang w:eastAsia="en-NZ"/>
    </w:rPr>
  </w:style>
  <w:style w:type="character" w:customStyle="1" w:styleId="FooterDateTime">
    <w:name w:val="Footer Date Time"/>
    <w:basedOn w:val="DefaultParagraphFont"/>
    <w:uiPriority w:val="99"/>
    <w:semiHidden/>
    <w:rsid w:val="00844C2D"/>
    <w:rPr>
      <w:color w:val="ABA9AD"/>
      <w:sz w:val="16"/>
    </w:rPr>
  </w:style>
  <w:style w:type="paragraph" w:styleId="TOC7">
    <w:name w:val="toc 7"/>
    <w:basedOn w:val="TOC1"/>
    <w:next w:val="Normal"/>
    <w:uiPriority w:val="99"/>
    <w:semiHidden/>
    <w:rsid w:val="00A03F1D"/>
    <w:pPr>
      <w:tabs>
        <w:tab w:val="left" w:pos="851"/>
      </w:tabs>
      <w:ind w:left="851" w:hanging="851"/>
    </w:pPr>
  </w:style>
  <w:style w:type="paragraph" w:styleId="TOC6">
    <w:name w:val="toc 6"/>
    <w:basedOn w:val="TOC1"/>
    <w:next w:val="Normal"/>
    <w:uiPriority w:val="99"/>
    <w:semiHidden/>
    <w:rsid w:val="00853045"/>
    <w:pPr>
      <w:tabs>
        <w:tab w:val="clear" w:pos="9072"/>
        <w:tab w:val="left" w:pos="851"/>
        <w:tab w:val="right" w:pos="9060"/>
      </w:tabs>
    </w:pPr>
  </w:style>
  <w:style w:type="table" w:styleId="PlainTable3">
    <w:name w:val="Plain Table 3"/>
    <w:basedOn w:val="TableNormal"/>
    <w:uiPriority w:val="43"/>
    <w:rsid w:val="0092418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1Light-Accent3">
    <w:name w:val="List Table 1 Light Accent 3"/>
    <w:basedOn w:val="TableNormal"/>
    <w:uiPriority w:val="46"/>
    <w:rsid w:val="00A03F1D"/>
    <w:pPr>
      <w:spacing w:after="0" w:line="240" w:lineRule="auto"/>
    </w:pPr>
    <w:tblPr>
      <w:tblStyleRowBandSize w:val="1"/>
      <w:tblStyleColBandSize w:val="1"/>
    </w:tblPr>
    <w:tblStylePr w:type="firstRow">
      <w:rPr>
        <w:b/>
        <w:bCs/>
      </w:rPr>
      <w:tblPr/>
      <w:tcPr>
        <w:tcBorders>
          <w:bottom w:val="single" w:sz="4" w:space="0" w:color="C8C4C2" w:themeColor="accent3" w:themeTint="99"/>
        </w:tcBorders>
      </w:tcPr>
    </w:tblStylePr>
    <w:tblStylePr w:type="lastRow">
      <w:rPr>
        <w:b/>
        <w:bCs/>
      </w:rPr>
      <w:tblPr/>
      <w:tcPr>
        <w:tcBorders>
          <w:top w:val="single" w:sz="4" w:space="0" w:color="C8C4C2" w:themeColor="accent3" w:themeTint="99"/>
        </w:tcBorders>
      </w:tcPr>
    </w:tblStylePr>
    <w:tblStylePr w:type="firstCol">
      <w:rPr>
        <w:b/>
        <w:bCs/>
      </w:rPr>
    </w:tblStylePr>
    <w:tblStylePr w:type="lastCol">
      <w:rPr>
        <w:b/>
        <w:bCs/>
      </w:rPr>
    </w:tblStylePr>
    <w:tblStylePr w:type="band1Vert">
      <w:tblPr/>
      <w:tcPr>
        <w:shd w:val="clear" w:color="auto" w:fill="ECEBEA" w:themeFill="accent3" w:themeFillTint="33"/>
      </w:tcPr>
    </w:tblStylePr>
    <w:tblStylePr w:type="band1Horz">
      <w:tblPr/>
      <w:tcPr>
        <w:shd w:val="clear" w:color="auto" w:fill="ECEBEA" w:themeFill="accent3" w:themeFillTint="33"/>
      </w:tcPr>
    </w:tblStylePr>
  </w:style>
  <w:style w:type="paragraph" w:customStyle="1" w:styleId="FooterLandscapeEven">
    <w:name w:val="Footer Landscape Even"/>
    <w:basedOn w:val="Footer"/>
    <w:uiPriority w:val="99"/>
    <w:semiHidden/>
    <w:rsid w:val="006C7FB5"/>
    <w:pPr>
      <w:tabs>
        <w:tab w:val="clear" w:pos="851"/>
        <w:tab w:val="clear" w:pos="9072"/>
        <w:tab w:val="right" w:pos="13154"/>
      </w:tabs>
    </w:pPr>
  </w:style>
  <w:style w:type="paragraph" w:customStyle="1" w:styleId="FooterA3Even">
    <w:name w:val="Footer A3 Even"/>
    <w:basedOn w:val="Footer"/>
    <w:uiPriority w:val="99"/>
    <w:semiHidden/>
    <w:rsid w:val="006C7FB5"/>
    <w:pPr>
      <w:tabs>
        <w:tab w:val="clear" w:pos="851"/>
        <w:tab w:val="clear" w:pos="9072"/>
        <w:tab w:val="right" w:pos="20129"/>
      </w:tabs>
    </w:pPr>
  </w:style>
  <w:style w:type="paragraph" w:customStyle="1" w:styleId="SNHeading1">
    <w:name w:val="SN Heading 1"/>
    <w:basedOn w:val="Heading1"/>
    <w:next w:val="SNNumber1"/>
    <w:uiPriority w:val="99"/>
    <w:semiHidden/>
    <w:rsid w:val="00C75BB5"/>
    <w:pPr>
      <w:numPr>
        <w:numId w:val="13"/>
      </w:numPr>
      <w:tabs>
        <w:tab w:val="clear" w:pos="851"/>
      </w:tabs>
      <w:ind w:left="0" w:firstLine="0"/>
    </w:pPr>
  </w:style>
  <w:style w:type="paragraph" w:customStyle="1" w:styleId="SNNumber1">
    <w:name w:val="SN Number 1"/>
    <w:basedOn w:val="USBodyText"/>
    <w:uiPriority w:val="99"/>
    <w:semiHidden/>
    <w:rsid w:val="008B5445"/>
    <w:pPr>
      <w:numPr>
        <w:numId w:val="14"/>
      </w:numPr>
    </w:pPr>
  </w:style>
  <w:style w:type="paragraph" w:customStyle="1" w:styleId="SNPara1">
    <w:name w:val="SN Para 1"/>
    <w:basedOn w:val="USBodyText"/>
    <w:uiPriority w:val="99"/>
    <w:semiHidden/>
    <w:rsid w:val="008B5445"/>
    <w:pPr>
      <w:numPr>
        <w:ilvl w:val="3"/>
        <w:numId w:val="14"/>
      </w:numPr>
      <w:tabs>
        <w:tab w:val="clear" w:pos="1276"/>
      </w:tabs>
      <w:ind w:left="2160" w:firstLine="0"/>
    </w:pPr>
  </w:style>
  <w:style w:type="paragraph" w:customStyle="1" w:styleId="SNParaa">
    <w:name w:val="SN Para a"/>
    <w:basedOn w:val="USBodyText"/>
    <w:uiPriority w:val="99"/>
    <w:semiHidden/>
    <w:rsid w:val="008B5445"/>
    <w:pPr>
      <w:numPr>
        <w:ilvl w:val="1"/>
        <w:numId w:val="14"/>
      </w:numPr>
      <w:tabs>
        <w:tab w:val="clear" w:pos="1276"/>
      </w:tabs>
      <w:ind w:left="0" w:firstLine="0"/>
    </w:pPr>
  </w:style>
  <w:style w:type="paragraph" w:customStyle="1" w:styleId="SNParaB1">
    <w:name w:val="SN Para B1"/>
    <w:basedOn w:val="USBodyText"/>
    <w:uiPriority w:val="99"/>
    <w:semiHidden/>
    <w:rsid w:val="008B5445"/>
    <w:pPr>
      <w:numPr>
        <w:ilvl w:val="4"/>
        <w:numId w:val="14"/>
      </w:numPr>
      <w:tabs>
        <w:tab w:val="clear" w:pos="1701"/>
      </w:tabs>
      <w:ind w:left="2880" w:firstLine="0"/>
    </w:pPr>
  </w:style>
  <w:style w:type="paragraph" w:customStyle="1" w:styleId="SNParaB2">
    <w:name w:val="SN Para B2"/>
    <w:basedOn w:val="USBodyText"/>
    <w:uiPriority w:val="99"/>
    <w:semiHidden/>
    <w:rsid w:val="008B5445"/>
    <w:pPr>
      <w:numPr>
        <w:ilvl w:val="5"/>
        <w:numId w:val="14"/>
      </w:numPr>
      <w:tabs>
        <w:tab w:val="clear" w:pos="2126"/>
      </w:tabs>
      <w:ind w:left="3600" w:firstLine="0"/>
    </w:pPr>
  </w:style>
  <w:style w:type="paragraph" w:customStyle="1" w:styleId="SNParai">
    <w:name w:val="SN Para i"/>
    <w:basedOn w:val="USBodyText"/>
    <w:uiPriority w:val="99"/>
    <w:semiHidden/>
    <w:rsid w:val="008B5445"/>
    <w:pPr>
      <w:numPr>
        <w:ilvl w:val="2"/>
        <w:numId w:val="14"/>
      </w:numPr>
      <w:tabs>
        <w:tab w:val="clear" w:pos="1276"/>
      </w:tabs>
      <w:ind w:left="1440" w:firstLine="0"/>
    </w:pPr>
  </w:style>
  <w:style w:type="paragraph" w:customStyle="1" w:styleId="SNBullet1">
    <w:name w:val="SN Bullet 1"/>
    <w:basedOn w:val="USBodyText"/>
    <w:uiPriority w:val="99"/>
    <w:semiHidden/>
    <w:rsid w:val="00C75BB5"/>
    <w:pPr>
      <w:numPr>
        <w:numId w:val="15"/>
      </w:numPr>
      <w:tabs>
        <w:tab w:val="clear" w:pos="1276"/>
        <w:tab w:val="num" w:pos="851"/>
      </w:tabs>
      <w:spacing w:before="0"/>
      <w:ind w:left="851" w:hanging="851"/>
    </w:pPr>
  </w:style>
  <w:style w:type="paragraph" w:customStyle="1" w:styleId="SNBullet2">
    <w:name w:val="SN Bullet 2"/>
    <w:basedOn w:val="USBodyText"/>
    <w:uiPriority w:val="99"/>
    <w:semiHidden/>
    <w:rsid w:val="00C75BB5"/>
    <w:pPr>
      <w:numPr>
        <w:ilvl w:val="1"/>
        <w:numId w:val="15"/>
      </w:numPr>
      <w:tabs>
        <w:tab w:val="clear" w:pos="1701"/>
        <w:tab w:val="num" w:pos="1276"/>
      </w:tabs>
      <w:spacing w:before="0"/>
      <w:ind w:left="1276"/>
    </w:pPr>
  </w:style>
  <w:style w:type="paragraph" w:customStyle="1" w:styleId="SNBullet3">
    <w:name w:val="SN Bullet 3"/>
    <w:basedOn w:val="USBodyText"/>
    <w:uiPriority w:val="99"/>
    <w:semiHidden/>
    <w:rsid w:val="00C75BB5"/>
    <w:pPr>
      <w:numPr>
        <w:ilvl w:val="2"/>
        <w:numId w:val="15"/>
      </w:numPr>
      <w:tabs>
        <w:tab w:val="clear" w:pos="2126"/>
        <w:tab w:val="num" w:pos="1276"/>
      </w:tabs>
      <w:spacing w:before="0"/>
      <w:ind w:left="1276"/>
    </w:pPr>
  </w:style>
  <w:style w:type="paragraph" w:customStyle="1" w:styleId="HeadingSectionDivider">
    <w:name w:val="Heading Section Divider"/>
    <w:basedOn w:val="Heading1"/>
    <w:next w:val="Normal"/>
    <w:uiPriority w:val="99"/>
    <w:semiHidden/>
    <w:rsid w:val="00441F0D"/>
    <w:pPr>
      <w:spacing w:line="880" w:lineRule="atLeast"/>
    </w:pPr>
    <w:rPr>
      <w:color w:val="000000" w:themeColor="text1"/>
      <w:sz w:val="88"/>
    </w:rPr>
  </w:style>
  <w:style w:type="paragraph" w:customStyle="1" w:styleId="USNote">
    <w:name w:val="US Note"/>
    <w:basedOn w:val="USNotes"/>
    <w:uiPriority w:val="16"/>
    <w:rsid w:val="00DD7E65"/>
    <w:pPr>
      <w:numPr>
        <w:numId w:val="0"/>
      </w:numPr>
    </w:pPr>
  </w:style>
  <w:style w:type="paragraph" w:customStyle="1" w:styleId="SNHeading2">
    <w:name w:val="SN Heading 2"/>
    <w:basedOn w:val="Heading2"/>
    <w:next w:val="SNNumber1"/>
    <w:uiPriority w:val="99"/>
    <w:semiHidden/>
    <w:rsid w:val="00C75BB5"/>
  </w:style>
  <w:style w:type="paragraph" w:customStyle="1" w:styleId="SNHeading3">
    <w:name w:val="SN Heading 3"/>
    <w:basedOn w:val="Heading3"/>
    <w:next w:val="SNNumber1"/>
    <w:uiPriority w:val="99"/>
    <w:semiHidden/>
    <w:rsid w:val="00C75BB5"/>
  </w:style>
  <w:style w:type="paragraph" w:customStyle="1" w:styleId="SNHeading4">
    <w:name w:val="SN Heading 4"/>
    <w:basedOn w:val="Heading4"/>
    <w:next w:val="SNNumber1"/>
    <w:uiPriority w:val="99"/>
    <w:semiHidden/>
    <w:rsid w:val="00C75BB5"/>
  </w:style>
  <w:style w:type="paragraph" w:customStyle="1" w:styleId="SNHeading5">
    <w:name w:val="SN Heading 5"/>
    <w:basedOn w:val="Heading5"/>
    <w:next w:val="SNNumber1"/>
    <w:uiPriority w:val="99"/>
    <w:semiHidden/>
    <w:rsid w:val="00C75BB5"/>
  </w:style>
  <w:style w:type="paragraph" w:customStyle="1" w:styleId="HeadingSectionDivider-Black">
    <w:name w:val="Heading Section Divider - Black"/>
    <w:basedOn w:val="Heading1"/>
    <w:uiPriority w:val="99"/>
    <w:semiHidden/>
    <w:rsid w:val="00441F0D"/>
    <w:pPr>
      <w:pageBreakBefore w:val="0"/>
      <w:spacing w:line="880" w:lineRule="atLeast"/>
    </w:pPr>
    <w:rPr>
      <w:color w:val="000000" w:themeColor="text1"/>
      <w:sz w:val="88"/>
    </w:rPr>
  </w:style>
  <w:style w:type="paragraph" w:customStyle="1" w:styleId="HeadingSectionDivider-BlueArrows">
    <w:name w:val="Heading Section Divider - Blue Arrows"/>
    <w:basedOn w:val="HeadingSectionDivider-Black"/>
    <w:uiPriority w:val="99"/>
    <w:semiHidden/>
    <w:rsid w:val="00441F0D"/>
    <w:pPr>
      <w:framePr w:wrap="around" w:vAnchor="page" w:hAnchor="margin" w:xAlign="center" w:y="6805"/>
      <w:spacing w:after="0"/>
      <w:ind w:right="0"/>
      <w:jc w:val="center"/>
    </w:pPr>
    <w:rPr>
      <w:b w:val="0"/>
    </w:rPr>
  </w:style>
  <w:style w:type="paragraph" w:customStyle="1" w:styleId="HeadingSectionDivider-White">
    <w:name w:val="Heading Section Divider - White"/>
    <w:basedOn w:val="HeadingSectionDivider-Black"/>
    <w:next w:val="Normal"/>
    <w:uiPriority w:val="99"/>
    <w:unhideWhenUsed/>
    <w:rsid w:val="00441F0D"/>
    <w:pPr>
      <w:outlineLvl w:val="9"/>
    </w:pPr>
    <w:rPr>
      <w:bCs/>
      <w:color w:val="FFFFFF" w:themeColor="background1"/>
    </w:rPr>
  </w:style>
  <w:style w:type="paragraph" w:customStyle="1" w:styleId="USPullQuoteBlack">
    <w:name w:val="US Pull Quote Black"/>
    <w:basedOn w:val="USPullQuote"/>
    <w:uiPriority w:val="13"/>
    <w:rsid w:val="00C57284"/>
    <w:pPr>
      <w:pBdr>
        <w:top w:val="single" w:sz="4" w:space="14" w:color="auto"/>
        <w:bottom w:val="single" w:sz="4" w:space="14" w:color="auto"/>
      </w:pBdr>
    </w:pPr>
    <w:rPr>
      <w:b/>
      <w:bCs/>
      <w:color w:val="auto"/>
    </w:rPr>
  </w:style>
  <w:style w:type="paragraph" w:customStyle="1" w:styleId="USPullQuoteWhite">
    <w:name w:val="US Pull Quote White"/>
    <w:basedOn w:val="USPullQuote"/>
    <w:uiPriority w:val="13"/>
    <w:rsid w:val="00C57284"/>
    <w:pPr>
      <w:pBdr>
        <w:top w:val="single" w:sz="4" w:space="14" w:color="FFFFFF" w:themeColor="background1"/>
        <w:bottom w:val="single" w:sz="4" w:space="14" w:color="FFFFFF" w:themeColor="background1"/>
      </w:pBdr>
    </w:pPr>
    <w:rPr>
      <w:b/>
      <w:bCs/>
      <w:color w:val="FFFFFF" w:themeColor="background1"/>
    </w:rPr>
  </w:style>
  <w:style w:type="paragraph" w:customStyle="1" w:styleId="TSTableHeadingBlack">
    <w:name w:val="TS Table Heading Black"/>
    <w:basedOn w:val="Normal"/>
    <w:uiPriority w:val="5"/>
    <w:rsid w:val="00B17005"/>
    <w:pPr>
      <w:spacing w:before="57" w:after="57" w:line="190" w:lineRule="atLeast"/>
    </w:pPr>
    <w:rPr>
      <w:b/>
      <w:sz w:val="16"/>
    </w:rPr>
  </w:style>
  <w:style w:type="character" w:styleId="FollowedHyperlink">
    <w:name w:val="FollowedHyperlink"/>
    <w:basedOn w:val="DefaultParagraphFont"/>
    <w:uiPriority w:val="11"/>
    <w:rsid w:val="00293374"/>
    <w:rPr>
      <w:color w:val="549D9E"/>
      <w:u w:val="single"/>
    </w:rPr>
  </w:style>
  <w:style w:type="paragraph" w:customStyle="1" w:styleId="HeadingNonContents">
    <w:name w:val="Heading Non Contents"/>
    <w:basedOn w:val="HeadingContents"/>
    <w:next w:val="USBodyText"/>
    <w:uiPriority w:val="99"/>
    <w:semiHidden/>
    <w:rsid w:val="00D71C59"/>
  </w:style>
  <w:style w:type="paragraph" w:customStyle="1" w:styleId="USWhiteSpaceAfterTable">
    <w:name w:val="US White Space After Table"/>
    <w:basedOn w:val="USWhiteSpace"/>
    <w:next w:val="USBodyText"/>
    <w:uiPriority w:val="10"/>
    <w:rsid w:val="00B43D08"/>
    <w:pPr>
      <w:spacing w:after="277"/>
    </w:pPr>
  </w:style>
  <w:style w:type="paragraph" w:customStyle="1" w:styleId="SNIndent1">
    <w:name w:val="SN Indent 1"/>
    <w:basedOn w:val="Normal"/>
    <w:uiPriority w:val="99"/>
    <w:semiHidden/>
    <w:rsid w:val="00C75BB5"/>
    <w:pPr>
      <w:ind w:left="851"/>
    </w:pPr>
  </w:style>
  <w:style w:type="paragraph" w:customStyle="1" w:styleId="SNIndent2">
    <w:name w:val="SN Indent 2"/>
    <w:basedOn w:val="Normal"/>
    <w:uiPriority w:val="99"/>
    <w:semiHidden/>
    <w:rsid w:val="00C75BB5"/>
    <w:pPr>
      <w:ind w:left="1276"/>
    </w:pPr>
  </w:style>
  <w:style w:type="paragraph" w:customStyle="1" w:styleId="SNIndent3">
    <w:name w:val="SN Indent 3"/>
    <w:basedOn w:val="Normal"/>
    <w:uiPriority w:val="99"/>
    <w:semiHidden/>
    <w:rsid w:val="00C75BB5"/>
    <w:pPr>
      <w:ind w:left="1701"/>
    </w:pPr>
  </w:style>
  <w:style w:type="paragraph" w:customStyle="1" w:styleId="SNIndent4">
    <w:name w:val="SN Indent 4"/>
    <w:basedOn w:val="Normal"/>
    <w:uiPriority w:val="99"/>
    <w:semiHidden/>
    <w:rsid w:val="00C75BB5"/>
    <w:pPr>
      <w:ind w:left="2126"/>
    </w:pPr>
  </w:style>
  <w:style w:type="character" w:customStyle="1" w:styleId="HyperlinkSourceTextReference">
    <w:name w:val="Hyperlink (Source Text Reference)"/>
    <w:basedOn w:val="DefaultParagraphFont"/>
    <w:uiPriority w:val="99"/>
    <w:semiHidden/>
    <w:rsid w:val="00293374"/>
    <w:rPr>
      <w:color w:val="549D9E"/>
      <w:u w:val="single"/>
    </w:rPr>
  </w:style>
  <w:style w:type="paragraph" w:customStyle="1" w:styleId="FooterA3PortraitEven">
    <w:name w:val="Footer A3 Portrait Even"/>
    <w:basedOn w:val="Normal"/>
    <w:uiPriority w:val="99"/>
    <w:semiHidden/>
    <w:rsid w:val="00266907"/>
    <w:pPr>
      <w:tabs>
        <w:tab w:val="right" w:pos="13154"/>
      </w:tabs>
      <w:spacing w:after="0" w:line="240" w:lineRule="auto"/>
    </w:pPr>
    <w:rPr>
      <w:sz w:val="16"/>
    </w:rPr>
  </w:style>
  <w:style w:type="paragraph" w:customStyle="1" w:styleId="FooterA3PortraitOdd">
    <w:name w:val="Footer A3 Portrait Odd"/>
    <w:basedOn w:val="Normal"/>
    <w:uiPriority w:val="99"/>
    <w:semiHidden/>
    <w:rsid w:val="00266907"/>
    <w:pPr>
      <w:tabs>
        <w:tab w:val="left" w:pos="851"/>
        <w:tab w:val="right" w:pos="14005"/>
      </w:tabs>
      <w:spacing w:after="0" w:line="240" w:lineRule="auto"/>
    </w:pPr>
    <w:rPr>
      <w:noProof/>
      <w:sz w:val="16"/>
      <w:lang w:eastAsia="en-NZ"/>
    </w:rPr>
  </w:style>
  <w:style w:type="paragraph" w:customStyle="1" w:styleId="USPullQuoteBlue">
    <w:name w:val="US Pull Quote Blue"/>
    <w:basedOn w:val="Normal"/>
    <w:uiPriority w:val="13"/>
    <w:rsid w:val="00293374"/>
    <w:pPr>
      <w:pBdr>
        <w:top w:val="single" w:sz="4" w:space="14" w:color="74C6C7"/>
        <w:bottom w:val="single" w:sz="4" w:space="14" w:color="74C6C7"/>
      </w:pBdr>
      <w:spacing w:before="284" w:after="454" w:line="340" w:lineRule="atLeast"/>
    </w:pPr>
    <w:rPr>
      <w:color w:val="549D9E"/>
      <w:sz w:val="28"/>
    </w:rPr>
  </w:style>
  <w:style w:type="paragraph" w:customStyle="1" w:styleId="USPullQuoteBlackNon-Bold">
    <w:name w:val="US Pull Quote Black Non-Bold"/>
    <w:basedOn w:val="Normal"/>
    <w:uiPriority w:val="13"/>
    <w:rsid w:val="00E87FFA"/>
    <w:pPr>
      <w:pBdr>
        <w:top w:val="single" w:sz="4" w:space="14" w:color="auto"/>
        <w:bottom w:val="single" w:sz="4" w:space="14" w:color="auto"/>
      </w:pBdr>
      <w:spacing w:before="284" w:after="454" w:line="340" w:lineRule="atLeast"/>
    </w:pPr>
    <w:rPr>
      <w:bCs/>
      <w:sz w:val="28"/>
    </w:rPr>
  </w:style>
  <w:style w:type="paragraph" w:customStyle="1" w:styleId="USWhiteSpaceBeforeTable">
    <w:name w:val="US White Space Before Table"/>
    <w:basedOn w:val="Normal"/>
    <w:uiPriority w:val="10"/>
    <w:rsid w:val="00D30270"/>
    <w:pPr>
      <w:spacing w:after="277" w:line="240" w:lineRule="auto"/>
    </w:pPr>
    <w:rPr>
      <w:sz w:val="12"/>
    </w:rPr>
  </w:style>
  <w:style w:type="table" w:customStyle="1" w:styleId="MJRowlines">
    <w:name w:val="MJ Row lines"/>
    <w:basedOn w:val="TableNormal"/>
    <w:uiPriority w:val="99"/>
    <w:rsid w:val="0027403B"/>
    <w:pPr>
      <w:spacing w:after="0" w:line="240" w:lineRule="auto"/>
    </w:pPr>
    <w:tblPr/>
  </w:style>
  <w:style w:type="paragraph" w:styleId="Bibliography">
    <w:name w:val="Bibliography"/>
    <w:basedOn w:val="Normal"/>
    <w:next w:val="Normal"/>
    <w:uiPriority w:val="99"/>
    <w:semiHidden/>
    <w:rsid w:val="005266D2"/>
  </w:style>
  <w:style w:type="paragraph" w:styleId="BlockText">
    <w:name w:val="Block Text"/>
    <w:basedOn w:val="Normal"/>
    <w:uiPriority w:val="99"/>
    <w:semiHidden/>
    <w:rsid w:val="005266D2"/>
    <w:pPr>
      <w:pBdr>
        <w:top w:val="single" w:sz="2" w:space="10" w:color="436E73" w:themeColor="accent1"/>
        <w:left w:val="single" w:sz="2" w:space="10" w:color="436E73" w:themeColor="accent1"/>
        <w:bottom w:val="single" w:sz="2" w:space="10" w:color="436E73" w:themeColor="accent1"/>
        <w:right w:val="single" w:sz="2" w:space="10" w:color="436E73" w:themeColor="accent1"/>
      </w:pBdr>
      <w:ind w:left="1152" w:right="1152"/>
    </w:pPr>
    <w:rPr>
      <w:rFonts w:asciiTheme="minorHAnsi" w:eastAsiaTheme="minorEastAsia" w:hAnsiTheme="minorHAnsi"/>
      <w:i/>
      <w:iCs/>
      <w:color w:val="436E73" w:themeColor="accent1"/>
    </w:rPr>
  </w:style>
  <w:style w:type="paragraph" w:styleId="BodyText">
    <w:name w:val="Body Text"/>
    <w:basedOn w:val="Normal"/>
    <w:link w:val="BodyTextChar"/>
    <w:uiPriority w:val="99"/>
    <w:semiHidden/>
    <w:rsid w:val="005266D2"/>
  </w:style>
  <w:style w:type="character" w:customStyle="1" w:styleId="BodyTextChar">
    <w:name w:val="Body Text Char"/>
    <w:basedOn w:val="DefaultParagraphFont"/>
    <w:link w:val="BodyText"/>
    <w:uiPriority w:val="99"/>
    <w:semiHidden/>
    <w:rsid w:val="007D58E1"/>
    <w:rPr>
      <w:rFonts w:ascii="Cera Pro" w:hAnsi="Cera Pro"/>
      <w:sz w:val="19"/>
    </w:rPr>
  </w:style>
  <w:style w:type="paragraph" w:styleId="BodyText2">
    <w:name w:val="Body Text 2"/>
    <w:basedOn w:val="Normal"/>
    <w:link w:val="BodyText2Char"/>
    <w:uiPriority w:val="99"/>
    <w:semiHidden/>
    <w:rsid w:val="005266D2"/>
    <w:pPr>
      <w:spacing w:line="480" w:lineRule="auto"/>
    </w:pPr>
  </w:style>
  <w:style w:type="character" w:customStyle="1" w:styleId="BodyText2Char">
    <w:name w:val="Body Text 2 Char"/>
    <w:basedOn w:val="DefaultParagraphFont"/>
    <w:link w:val="BodyText2"/>
    <w:uiPriority w:val="99"/>
    <w:semiHidden/>
    <w:rsid w:val="007D58E1"/>
    <w:rPr>
      <w:rFonts w:ascii="Cera Pro" w:hAnsi="Cera Pro"/>
      <w:sz w:val="19"/>
    </w:rPr>
  </w:style>
  <w:style w:type="paragraph" w:styleId="BodyText3">
    <w:name w:val="Body Text 3"/>
    <w:basedOn w:val="Normal"/>
    <w:link w:val="BodyText3Char"/>
    <w:uiPriority w:val="99"/>
    <w:semiHidden/>
    <w:rsid w:val="005266D2"/>
    <w:rPr>
      <w:sz w:val="16"/>
      <w:szCs w:val="16"/>
    </w:rPr>
  </w:style>
  <w:style w:type="character" w:customStyle="1" w:styleId="BodyText3Char">
    <w:name w:val="Body Text 3 Char"/>
    <w:basedOn w:val="DefaultParagraphFont"/>
    <w:link w:val="BodyText3"/>
    <w:uiPriority w:val="99"/>
    <w:semiHidden/>
    <w:rsid w:val="007D58E1"/>
    <w:rPr>
      <w:rFonts w:ascii="Cera Pro" w:hAnsi="Cera Pro"/>
      <w:sz w:val="16"/>
      <w:szCs w:val="16"/>
    </w:rPr>
  </w:style>
  <w:style w:type="paragraph" w:styleId="BodyTextFirstIndent">
    <w:name w:val="Body Text First Indent"/>
    <w:basedOn w:val="BodyText"/>
    <w:link w:val="BodyTextFirstIndentChar"/>
    <w:uiPriority w:val="99"/>
    <w:semiHidden/>
    <w:rsid w:val="005266D2"/>
    <w:pPr>
      <w:spacing w:after="113"/>
      <w:ind w:firstLine="360"/>
    </w:pPr>
  </w:style>
  <w:style w:type="character" w:customStyle="1" w:styleId="BodyTextFirstIndentChar">
    <w:name w:val="Body Text First Indent Char"/>
    <w:basedOn w:val="BodyTextChar"/>
    <w:link w:val="BodyTextFirstIndent"/>
    <w:uiPriority w:val="99"/>
    <w:semiHidden/>
    <w:rsid w:val="007D58E1"/>
    <w:rPr>
      <w:rFonts w:ascii="Cera Pro" w:hAnsi="Cera Pro"/>
      <w:sz w:val="19"/>
    </w:rPr>
  </w:style>
  <w:style w:type="paragraph" w:styleId="BodyTextIndent">
    <w:name w:val="Body Text Indent"/>
    <w:basedOn w:val="Normal"/>
    <w:link w:val="BodyTextIndentChar"/>
    <w:uiPriority w:val="99"/>
    <w:semiHidden/>
    <w:rsid w:val="005266D2"/>
    <w:pPr>
      <w:ind w:left="283"/>
    </w:pPr>
  </w:style>
  <w:style w:type="character" w:customStyle="1" w:styleId="BodyTextIndentChar">
    <w:name w:val="Body Text Indent Char"/>
    <w:basedOn w:val="DefaultParagraphFont"/>
    <w:link w:val="BodyTextIndent"/>
    <w:uiPriority w:val="99"/>
    <w:semiHidden/>
    <w:rsid w:val="007D58E1"/>
    <w:rPr>
      <w:rFonts w:ascii="Cera Pro" w:hAnsi="Cera Pro"/>
      <w:sz w:val="19"/>
    </w:rPr>
  </w:style>
  <w:style w:type="paragraph" w:styleId="BodyTextFirstIndent2">
    <w:name w:val="Body Text First Indent 2"/>
    <w:basedOn w:val="BodyTextIndent"/>
    <w:link w:val="BodyTextFirstIndent2Char"/>
    <w:uiPriority w:val="99"/>
    <w:semiHidden/>
    <w:rsid w:val="005266D2"/>
    <w:pPr>
      <w:spacing w:after="113"/>
      <w:ind w:left="360" w:firstLine="360"/>
    </w:pPr>
  </w:style>
  <w:style w:type="character" w:customStyle="1" w:styleId="BodyTextFirstIndent2Char">
    <w:name w:val="Body Text First Indent 2 Char"/>
    <w:basedOn w:val="BodyTextIndentChar"/>
    <w:link w:val="BodyTextFirstIndent2"/>
    <w:uiPriority w:val="99"/>
    <w:semiHidden/>
    <w:rsid w:val="007D58E1"/>
    <w:rPr>
      <w:rFonts w:ascii="Cera Pro" w:hAnsi="Cera Pro"/>
      <w:sz w:val="19"/>
    </w:rPr>
  </w:style>
  <w:style w:type="paragraph" w:styleId="BodyTextIndent2">
    <w:name w:val="Body Text Indent 2"/>
    <w:basedOn w:val="Normal"/>
    <w:link w:val="BodyTextIndent2Char"/>
    <w:uiPriority w:val="99"/>
    <w:semiHidden/>
    <w:rsid w:val="005266D2"/>
    <w:pPr>
      <w:spacing w:line="480" w:lineRule="auto"/>
      <w:ind w:left="283"/>
    </w:pPr>
  </w:style>
  <w:style w:type="character" w:customStyle="1" w:styleId="BodyTextIndent2Char">
    <w:name w:val="Body Text Indent 2 Char"/>
    <w:basedOn w:val="DefaultParagraphFont"/>
    <w:link w:val="BodyTextIndent2"/>
    <w:uiPriority w:val="99"/>
    <w:semiHidden/>
    <w:rsid w:val="007D58E1"/>
    <w:rPr>
      <w:rFonts w:ascii="Cera Pro" w:hAnsi="Cera Pro"/>
      <w:sz w:val="19"/>
    </w:rPr>
  </w:style>
  <w:style w:type="paragraph" w:styleId="BodyTextIndent3">
    <w:name w:val="Body Text Indent 3"/>
    <w:basedOn w:val="Normal"/>
    <w:link w:val="BodyTextIndent3Char"/>
    <w:uiPriority w:val="99"/>
    <w:semiHidden/>
    <w:rsid w:val="005266D2"/>
    <w:pPr>
      <w:ind w:left="283"/>
    </w:pPr>
    <w:rPr>
      <w:sz w:val="16"/>
      <w:szCs w:val="16"/>
    </w:rPr>
  </w:style>
  <w:style w:type="character" w:customStyle="1" w:styleId="BodyTextIndent3Char">
    <w:name w:val="Body Text Indent 3 Char"/>
    <w:basedOn w:val="DefaultParagraphFont"/>
    <w:link w:val="BodyTextIndent3"/>
    <w:uiPriority w:val="99"/>
    <w:semiHidden/>
    <w:rsid w:val="007D58E1"/>
    <w:rPr>
      <w:rFonts w:ascii="Cera Pro" w:hAnsi="Cera Pro"/>
      <w:sz w:val="16"/>
      <w:szCs w:val="16"/>
    </w:rPr>
  </w:style>
  <w:style w:type="paragraph" w:styleId="Closing">
    <w:name w:val="Closing"/>
    <w:basedOn w:val="Normal"/>
    <w:link w:val="ClosingChar"/>
    <w:uiPriority w:val="99"/>
    <w:semiHidden/>
    <w:rsid w:val="005266D2"/>
    <w:pPr>
      <w:spacing w:after="0" w:line="240" w:lineRule="auto"/>
      <w:ind w:left="4252"/>
    </w:pPr>
  </w:style>
  <w:style w:type="character" w:customStyle="1" w:styleId="ClosingChar">
    <w:name w:val="Closing Char"/>
    <w:basedOn w:val="DefaultParagraphFont"/>
    <w:link w:val="Closing"/>
    <w:uiPriority w:val="99"/>
    <w:semiHidden/>
    <w:rsid w:val="007D58E1"/>
    <w:rPr>
      <w:rFonts w:ascii="Cera Pro" w:hAnsi="Cera Pro"/>
      <w:sz w:val="19"/>
    </w:rPr>
  </w:style>
  <w:style w:type="paragraph" w:styleId="CommentText">
    <w:name w:val="annotation text"/>
    <w:basedOn w:val="Normal"/>
    <w:link w:val="CommentTextChar"/>
    <w:uiPriority w:val="99"/>
    <w:semiHidden/>
    <w:rsid w:val="005266D2"/>
    <w:pPr>
      <w:spacing w:line="240" w:lineRule="auto"/>
    </w:pPr>
    <w:rPr>
      <w:szCs w:val="20"/>
    </w:rPr>
  </w:style>
  <w:style w:type="character" w:customStyle="1" w:styleId="CommentTextChar">
    <w:name w:val="Comment Text Char"/>
    <w:basedOn w:val="DefaultParagraphFont"/>
    <w:link w:val="CommentText"/>
    <w:uiPriority w:val="99"/>
    <w:semiHidden/>
    <w:rsid w:val="007D58E1"/>
    <w:rPr>
      <w:rFonts w:ascii="Cera Pro" w:hAnsi="Cera Pro"/>
      <w:sz w:val="19"/>
      <w:szCs w:val="20"/>
    </w:rPr>
  </w:style>
  <w:style w:type="paragraph" w:styleId="CommentSubject">
    <w:name w:val="annotation subject"/>
    <w:basedOn w:val="CommentText"/>
    <w:next w:val="CommentText"/>
    <w:link w:val="CommentSubjectChar"/>
    <w:uiPriority w:val="99"/>
    <w:semiHidden/>
    <w:rsid w:val="005266D2"/>
    <w:rPr>
      <w:b/>
      <w:bCs/>
    </w:rPr>
  </w:style>
  <w:style w:type="character" w:customStyle="1" w:styleId="CommentSubjectChar">
    <w:name w:val="Comment Subject Char"/>
    <w:basedOn w:val="CommentTextChar"/>
    <w:link w:val="CommentSubject"/>
    <w:uiPriority w:val="99"/>
    <w:semiHidden/>
    <w:rsid w:val="007D58E1"/>
    <w:rPr>
      <w:rFonts w:ascii="Cera Pro" w:hAnsi="Cera Pro"/>
      <w:b/>
      <w:bCs/>
      <w:sz w:val="19"/>
      <w:szCs w:val="20"/>
    </w:rPr>
  </w:style>
  <w:style w:type="paragraph" w:styleId="Date">
    <w:name w:val="Date"/>
    <w:basedOn w:val="Normal"/>
    <w:next w:val="Normal"/>
    <w:link w:val="DateChar"/>
    <w:uiPriority w:val="99"/>
    <w:semiHidden/>
    <w:rsid w:val="005266D2"/>
  </w:style>
  <w:style w:type="character" w:customStyle="1" w:styleId="DateChar">
    <w:name w:val="Date Char"/>
    <w:basedOn w:val="DefaultParagraphFont"/>
    <w:link w:val="Date"/>
    <w:uiPriority w:val="99"/>
    <w:semiHidden/>
    <w:rsid w:val="007D58E1"/>
    <w:rPr>
      <w:rFonts w:ascii="Cera Pro" w:hAnsi="Cera Pro"/>
      <w:sz w:val="19"/>
    </w:rPr>
  </w:style>
  <w:style w:type="paragraph" w:styleId="DocumentMap">
    <w:name w:val="Document Map"/>
    <w:basedOn w:val="Normal"/>
    <w:link w:val="DocumentMapChar"/>
    <w:uiPriority w:val="99"/>
    <w:semiHidden/>
    <w:rsid w:val="005266D2"/>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D58E1"/>
    <w:rPr>
      <w:rFonts w:ascii="Segoe UI" w:hAnsi="Segoe UI" w:cs="Segoe UI"/>
      <w:sz w:val="16"/>
      <w:szCs w:val="16"/>
    </w:rPr>
  </w:style>
  <w:style w:type="paragraph" w:styleId="EmailSignature">
    <w:name w:val="E-mail Signature"/>
    <w:basedOn w:val="Normal"/>
    <w:link w:val="EmailSignatureChar"/>
    <w:uiPriority w:val="99"/>
    <w:semiHidden/>
    <w:rsid w:val="005266D2"/>
    <w:pPr>
      <w:spacing w:after="0" w:line="240" w:lineRule="auto"/>
    </w:pPr>
  </w:style>
  <w:style w:type="character" w:customStyle="1" w:styleId="EmailSignatureChar">
    <w:name w:val="Email Signature Char"/>
    <w:basedOn w:val="DefaultParagraphFont"/>
    <w:link w:val="EmailSignature"/>
    <w:uiPriority w:val="99"/>
    <w:semiHidden/>
    <w:rsid w:val="007D58E1"/>
    <w:rPr>
      <w:rFonts w:ascii="Cera Pro" w:hAnsi="Cera Pro"/>
      <w:sz w:val="19"/>
    </w:rPr>
  </w:style>
  <w:style w:type="paragraph" w:styleId="EndnoteText">
    <w:name w:val="endnote text"/>
    <w:basedOn w:val="Normal"/>
    <w:link w:val="EndnoteTextChar"/>
    <w:uiPriority w:val="99"/>
    <w:semiHidden/>
    <w:rsid w:val="005266D2"/>
    <w:pPr>
      <w:spacing w:after="0" w:line="240" w:lineRule="auto"/>
    </w:pPr>
    <w:rPr>
      <w:szCs w:val="20"/>
    </w:rPr>
  </w:style>
  <w:style w:type="character" w:customStyle="1" w:styleId="EndnoteTextChar">
    <w:name w:val="Endnote Text Char"/>
    <w:basedOn w:val="DefaultParagraphFont"/>
    <w:link w:val="EndnoteText"/>
    <w:uiPriority w:val="99"/>
    <w:semiHidden/>
    <w:rsid w:val="007D58E1"/>
    <w:rPr>
      <w:rFonts w:ascii="Cera Pro" w:hAnsi="Cera Pro"/>
      <w:sz w:val="19"/>
      <w:szCs w:val="20"/>
    </w:rPr>
  </w:style>
  <w:style w:type="paragraph" w:styleId="EnvelopeAddress">
    <w:name w:val="envelope address"/>
    <w:basedOn w:val="Normal"/>
    <w:uiPriority w:val="99"/>
    <w:semiHidden/>
    <w:rsid w:val="005266D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5266D2"/>
    <w:pPr>
      <w:spacing w:after="0" w:line="240" w:lineRule="auto"/>
    </w:pPr>
    <w:rPr>
      <w:rFonts w:asciiTheme="majorHAnsi" w:eastAsiaTheme="majorEastAsia" w:hAnsiTheme="majorHAnsi" w:cstheme="majorBidi"/>
      <w:szCs w:val="20"/>
    </w:rPr>
  </w:style>
  <w:style w:type="paragraph" w:styleId="HTMLAddress">
    <w:name w:val="HTML Address"/>
    <w:basedOn w:val="Normal"/>
    <w:link w:val="HTMLAddressChar"/>
    <w:uiPriority w:val="99"/>
    <w:semiHidden/>
    <w:rsid w:val="005266D2"/>
    <w:pPr>
      <w:spacing w:after="0" w:line="240" w:lineRule="auto"/>
    </w:pPr>
    <w:rPr>
      <w:i/>
      <w:iCs/>
    </w:rPr>
  </w:style>
  <w:style w:type="character" w:customStyle="1" w:styleId="HTMLAddressChar">
    <w:name w:val="HTML Address Char"/>
    <w:basedOn w:val="DefaultParagraphFont"/>
    <w:link w:val="HTMLAddress"/>
    <w:uiPriority w:val="99"/>
    <w:semiHidden/>
    <w:rsid w:val="007D58E1"/>
    <w:rPr>
      <w:rFonts w:ascii="Cera Pro" w:hAnsi="Cera Pro"/>
      <w:i/>
      <w:iCs/>
      <w:sz w:val="19"/>
    </w:rPr>
  </w:style>
  <w:style w:type="paragraph" w:styleId="HTMLPreformatted">
    <w:name w:val="HTML Preformatted"/>
    <w:basedOn w:val="Normal"/>
    <w:link w:val="HTMLPreformattedChar"/>
    <w:uiPriority w:val="99"/>
    <w:semiHidden/>
    <w:rsid w:val="005266D2"/>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7D58E1"/>
    <w:rPr>
      <w:rFonts w:ascii="Consolas" w:hAnsi="Consolas"/>
      <w:sz w:val="19"/>
      <w:szCs w:val="20"/>
    </w:rPr>
  </w:style>
  <w:style w:type="paragraph" w:styleId="Index1">
    <w:name w:val="index 1"/>
    <w:basedOn w:val="Normal"/>
    <w:next w:val="Normal"/>
    <w:autoRedefine/>
    <w:uiPriority w:val="99"/>
    <w:semiHidden/>
    <w:rsid w:val="005266D2"/>
    <w:pPr>
      <w:spacing w:after="0" w:line="240" w:lineRule="auto"/>
      <w:ind w:left="200" w:hanging="200"/>
    </w:pPr>
  </w:style>
  <w:style w:type="paragraph" w:styleId="Index2">
    <w:name w:val="index 2"/>
    <w:basedOn w:val="Normal"/>
    <w:next w:val="Normal"/>
    <w:autoRedefine/>
    <w:uiPriority w:val="99"/>
    <w:semiHidden/>
    <w:rsid w:val="005266D2"/>
    <w:pPr>
      <w:spacing w:after="0" w:line="240" w:lineRule="auto"/>
      <w:ind w:left="400" w:hanging="200"/>
    </w:pPr>
  </w:style>
  <w:style w:type="paragraph" w:styleId="Index3">
    <w:name w:val="index 3"/>
    <w:basedOn w:val="Normal"/>
    <w:next w:val="Normal"/>
    <w:autoRedefine/>
    <w:uiPriority w:val="99"/>
    <w:semiHidden/>
    <w:rsid w:val="005266D2"/>
    <w:pPr>
      <w:spacing w:after="0" w:line="240" w:lineRule="auto"/>
      <w:ind w:left="600" w:hanging="200"/>
    </w:pPr>
  </w:style>
  <w:style w:type="paragraph" w:styleId="Index4">
    <w:name w:val="index 4"/>
    <w:basedOn w:val="Normal"/>
    <w:next w:val="Normal"/>
    <w:autoRedefine/>
    <w:uiPriority w:val="99"/>
    <w:semiHidden/>
    <w:rsid w:val="005266D2"/>
    <w:pPr>
      <w:spacing w:after="0" w:line="240" w:lineRule="auto"/>
      <w:ind w:left="800" w:hanging="200"/>
    </w:pPr>
  </w:style>
  <w:style w:type="paragraph" w:styleId="Index5">
    <w:name w:val="index 5"/>
    <w:basedOn w:val="Normal"/>
    <w:next w:val="Normal"/>
    <w:autoRedefine/>
    <w:uiPriority w:val="99"/>
    <w:semiHidden/>
    <w:rsid w:val="005266D2"/>
    <w:pPr>
      <w:spacing w:after="0" w:line="240" w:lineRule="auto"/>
      <w:ind w:left="1000" w:hanging="200"/>
    </w:pPr>
  </w:style>
  <w:style w:type="paragraph" w:styleId="Index6">
    <w:name w:val="index 6"/>
    <w:basedOn w:val="Normal"/>
    <w:next w:val="Normal"/>
    <w:autoRedefine/>
    <w:uiPriority w:val="99"/>
    <w:semiHidden/>
    <w:rsid w:val="005266D2"/>
    <w:pPr>
      <w:spacing w:after="0" w:line="240" w:lineRule="auto"/>
      <w:ind w:left="1200" w:hanging="200"/>
    </w:pPr>
  </w:style>
  <w:style w:type="paragraph" w:styleId="Index7">
    <w:name w:val="index 7"/>
    <w:basedOn w:val="Normal"/>
    <w:next w:val="Normal"/>
    <w:autoRedefine/>
    <w:uiPriority w:val="99"/>
    <w:semiHidden/>
    <w:rsid w:val="005266D2"/>
    <w:pPr>
      <w:spacing w:after="0" w:line="240" w:lineRule="auto"/>
      <w:ind w:left="1400" w:hanging="200"/>
    </w:pPr>
  </w:style>
  <w:style w:type="paragraph" w:styleId="Index8">
    <w:name w:val="index 8"/>
    <w:basedOn w:val="Normal"/>
    <w:next w:val="Normal"/>
    <w:autoRedefine/>
    <w:uiPriority w:val="99"/>
    <w:semiHidden/>
    <w:rsid w:val="005266D2"/>
    <w:pPr>
      <w:spacing w:after="0" w:line="240" w:lineRule="auto"/>
      <w:ind w:left="1600" w:hanging="200"/>
    </w:pPr>
  </w:style>
  <w:style w:type="paragraph" w:styleId="Index9">
    <w:name w:val="index 9"/>
    <w:basedOn w:val="Normal"/>
    <w:next w:val="Normal"/>
    <w:autoRedefine/>
    <w:uiPriority w:val="99"/>
    <w:semiHidden/>
    <w:rsid w:val="005266D2"/>
    <w:pPr>
      <w:spacing w:after="0" w:line="240" w:lineRule="auto"/>
      <w:ind w:left="1800" w:hanging="200"/>
    </w:pPr>
  </w:style>
  <w:style w:type="paragraph" w:styleId="IndexHeading">
    <w:name w:val="index heading"/>
    <w:basedOn w:val="Normal"/>
    <w:next w:val="Index1"/>
    <w:uiPriority w:val="99"/>
    <w:semiHidden/>
    <w:rsid w:val="005266D2"/>
    <w:rPr>
      <w:rFonts w:asciiTheme="majorHAnsi" w:eastAsiaTheme="majorEastAsia" w:hAnsiTheme="majorHAnsi" w:cstheme="majorBidi"/>
      <w:b/>
      <w:bCs/>
    </w:rPr>
  </w:style>
  <w:style w:type="paragraph" w:styleId="IntenseQuote">
    <w:name w:val="Intense Quote"/>
    <w:basedOn w:val="Normal"/>
    <w:next w:val="Normal"/>
    <w:link w:val="IntenseQuoteChar"/>
    <w:uiPriority w:val="99"/>
    <w:semiHidden/>
    <w:qFormat/>
    <w:rsid w:val="005266D2"/>
    <w:pPr>
      <w:pBdr>
        <w:top w:val="single" w:sz="4" w:space="10" w:color="436E73" w:themeColor="accent1"/>
        <w:bottom w:val="single" w:sz="4" w:space="10" w:color="436E73" w:themeColor="accent1"/>
      </w:pBdr>
      <w:spacing w:before="360" w:after="360"/>
      <w:ind w:left="864" w:right="864"/>
      <w:jc w:val="center"/>
    </w:pPr>
    <w:rPr>
      <w:i/>
      <w:iCs/>
      <w:color w:val="436E73" w:themeColor="accent1"/>
    </w:rPr>
  </w:style>
  <w:style w:type="character" w:customStyle="1" w:styleId="IntenseQuoteChar">
    <w:name w:val="Intense Quote Char"/>
    <w:basedOn w:val="DefaultParagraphFont"/>
    <w:link w:val="IntenseQuote"/>
    <w:uiPriority w:val="99"/>
    <w:semiHidden/>
    <w:rsid w:val="007D58E1"/>
    <w:rPr>
      <w:rFonts w:ascii="Cera Pro" w:hAnsi="Cera Pro"/>
      <w:i/>
      <w:iCs/>
      <w:color w:val="436E73" w:themeColor="accent1"/>
      <w:sz w:val="19"/>
    </w:rPr>
  </w:style>
  <w:style w:type="paragraph" w:styleId="List">
    <w:name w:val="List"/>
    <w:basedOn w:val="Normal"/>
    <w:uiPriority w:val="99"/>
    <w:semiHidden/>
    <w:rsid w:val="005266D2"/>
    <w:pPr>
      <w:ind w:left="283" w:hanging="283"/>
      <w:contextualSpacing/>
    </w:pPr>
  </w:style>
  <w:style w:type="paragraph" w:styleId="List2">
    <w:name w:val="List 2"/>
    <w:basedOn w:val="Normal"/>
    <w:uiPriority w:val="99"/>
    <w:semiHidden/>
    <w:rsid w:val="005266D2"/>
    <w:pPr>
      <w:ind w:left="566" w:hanging="283"/>
      <w:contextualSpacing/>
    </w:pPr>
  </w:style>
  <w:style w:type="paragraph" w:styleId="List3">
    <w:name w:val="List 3"/>
    <w:basedOn w:val="Normal"/>
    <w:uiPriority w:val="99"/>
    <w:semiHidden/>
    <w:rsid w:val="005266D2"/>
    <w:pPr>
      <w:ind w:left="849" w:hanging="283"/>
      <w:contextualSpacing/>
    </w:pPr>
  </w:style>
  <w:style w:type="paragraph" w:styleId="List4">
    <w:name w:val="List 4"/>
    <w:basedOn w:val="Normal"/>
    <w:uiPriority w:val="99"/>
    <w:semiHidden/>
    <w:rsid w:val="005266D2"/>
    <w:pPr>
      <w:ind w:left="1132" w:hanging="283"/>
      <w:contextualSpacing/>
    </w:pPr>
  </w:style>
  <w:style w:type="paragraph" w:styleId="List5">
    <w:name w:val="List 5"/>
    <w:basedOn w:val="Normal"/>
    <w:uiPriority w:val="99"/>
    <w:semiHidden/>
    <w:rsid w:val="005266D2"/>
    <w:pPr>
      <w:ind w:left="1415" w:hanging="283"/>
      <w:contextualSpacing/>
    </w:pPr>
  </w:style>
  <w:style w:type="paragraph" w:styleId="ListBullet">
    <w:name w:val="List Bullet"/>
    <w:basedOn w:val="Normal"/>
    <w:uiPriority w:val="99"/>
    <w:semiHidden/>
    <w:rsid w:val="005266D2"/>
    <w:pPr>
      <w:numPr>
        <w:numId w:val="16"/>
      </w:numPr>
      <w:tabs>
        <w:tab w:val="clear" w:pos="360"/>
        <w:tab w:val="num" w:pos="1276"/>
      </w:tabs>
      <w:ind w:left="1276" w:hanging="425"/>
      <w:contextualSpacing/>
    </w:pPr>
  </w:style>
  <w:style w:type="paragraph" w:styleId="ListBullet2">
    <w:name w:val="List Bullet 2"/>
    <w:basedOn w:val="Normal"/>
    <w:uiPriority w:val="99"/>
    <w:semiHidden/>
    <w:rsid w:val="005266D2"/>
    <w:pPr>
      <w:numPr>
        <w:numId w:val="17"/>
      </w:numPr>
      <w:tabs>
        <w:tab w:val="clear" w:pos="643"/>
        <w:tab w:val="num" w:pos="360"/>
      </w:tabs>
      <w:ind w:left="360"/>
      <w:contextualSpacing/>
    </w:pPr>
  </w:style>
  <w:style w:type="paragraph" w:styleId="ListBullet3">
    <w:name w:val="List Bullet 3"/>
    <w:basedOn w:val="Normal"/>
    <w:uiPriority w:val="99"/>
    <w:semiHidden/>
    <w:rsid w:val="005266D2"/>
    <w:pPr>
      <w:numPr>
        <w:numId w:val="18"/>
      </w:numPr>
      <w:tabs>
        <w:tab w:val="clear" w:pos="926"/>
        <w:tab w:val="num" w:pos="643"/>
      </w:tabs>
      <w:ind w:left="643"/>
      <w:contextualSpacing/>
    </w:pPr>
  </w:style>
  <w:style w:type="paragraph" w:styleId="ListBullet4">
    <w:name w:val="List Bullet 4"/>
    <w:basedOn w:val="Normal"/>
    <w:uiPriority w:val="99"/>
    <w:semiHidden/>
    <w:rsid w:val="005266D2"/>
    <w:pPr>
      <w:numPr>
        <w:numId w:val="19"/>
      </w:numPr>
      <w:tabs>
        <w:tab w:val="clear" w:pos="1209"/>
        <w:tab w:val="num" w:pos="926"/>
      </w:tabs>
      <w:ind w:left="926"/>
      <w:contextualSpacing/>
    </w:pPr>
  </w:style>
  <w:style w:type="paragraph" w:styleId="ListBullet5">
    <w:name w:val="List Bullet 5"/>
    <w:basedOn w:val="Normal"/>
    <w:uiPriority w:val="99"/>
    <w:semiHidden/>
    <w:rsid w:val="005266D2"/>
    <w:pPr>
      <w:numPr>
        <w:numId w:val="20"/>
      </w:numPr>
      <w:tabs>
        <w:tab w:val="clear" w:pos="1492"/>
        <w:tab w:val="num" w:pos="1209"/>
      </w:tabs>
      <w:ind w:left="1209"/>
      <w:contextualSpacing/>
    </w:pPr>
  </w:style>
  <w:style w:type="paragraph" w:styleId="ListContinue">
    <w:name w:val="List Continue"/>
    <w:basedOn w:val="Normal"/>
    <w:uiPriority w:val="99"/>
    <w:semiHidden/>
    <w:rsid w:val="005266D2"/>
    <w:pPr>
      <w:ind w:left="283"/>
      <w:contextualSpacing/>
    </w:pPr>
  </w:style>
  <w:style w:type="paragraph" w:styleId="ListContinue2">
    <w:name w:val="List Continue 2"/>
    <w:basedOn w:val="Normal"/>
    <w:uiPriority w:val="99"/>
    <w:semiHidden/>
    <w:rsid w:val="005266D2"/>
    <w:pPr>
      <w:ind w:left="566"/>
      <w:contextualSpacing/>
    </w:pPr>
  </w:style>
  <w:style w:type="paragraph" w:styleId="ListContinue3">
    <w:name w:val="List Continue 3"/>
    <w:basedOn w:val="Normal"/>
    <w:uiPriority w:val="99"/>
    <w:semiHidden/>
    <w:rsid w:val="005266D2"/>
    <w:pPr>
      <w:ind w:left="849"/>
      <w:contextualSpacing/>
    </w:pPr>
  </w:style>
  <w:style w:type="paragraph" w:styleId="ListContinue4">
    <w:name w:val="List Continue 4"/>
    <w:basedOn w:val="Normal"/>
    <w:uiPriority w:val="99"/>
    <w:semiHidden/>
    <w:rsid w:val="005266D2"/>
    <w:pPr>
      <w:ind w:left="1132"/>
      <w:contextualSpacing/>
    </w:pPr>
  </w:style>
  <w:style w:type="paragraph" w:styleId="ListContinue5">
    <w:name w:val="List Continue 5"/>
    <w:basedOn w:val="Normal"/>
    <w:uiPriority w:val="99"/>
    <w:semiHidden/>
    <w:rsid w:val="005266D2"/>
    <w:pPr>
      <w:ind w:left="1415"/>
      <w:contextualSpacing/>
    </w:pPr>
  </w:style>
  <w:style w:type="paragraph" w:styleId="ListNumber">
    <w:name w:val="List Number"/>
    <w:basedOn w:val="Normal"/>
    <w:uiPriority w:val="99"/>
    <w:semiHidden/>
    <w:rsid w:val="005266D2"/>
    <w:pPr>
      <w:numPr>
        <w:numId w:val="21"/>
      </w:numPr>
      <w:tabs>
        <w:tab w:val="clear" w:pos="360"/>
        <w:tab w:val="num" w:pos="1492"/>
      </w:tabs>
      <w:ind w:left="1492"/>
      <w:contextualSpacing/>
    </w:pPr>
  </w:style>
  <w:style w:type="paragraph" w:styleId="ListNumber2">
    <w:name w:val="List Number 2"/>
    <w:basedOn w:val="Normal"/>
    <w:uiPriority w:val="99"/>
    <w:semiHidden/>
    <w:rsid w:val="005266D2"/>
    <w:pPr>
      <w:numPr>
        <w:numId w:val="22"/>
      </w:numPr>
      <w:tabs>
        <w:tab w:val="clear" w:pos="643"/>
        <w:tab w:val="num" w:pos="360"/>
      </w:tabs>
      <w:ind w:left="360"/>
      <w:contextualSpacing/>
    </w:pPr>
  </w:style>
  <w:style w:type="paragraph" w:styleId="ListNumber3">
    <w:name w:val="List Number 3"/>
    <w:basedOn w:val="Normal"/>
    <w:uiPriority w:val="99"/>
    <w:semiHidden/>
    <w:rsid w:val="005266D2"/>
    <w:pPr>
      <w:numPr>
        <w:numId w:val="23"/>
      </w:numPr>
      <w:tabs>
        <w:tab w:val="clear" w:pos="926"/>
        <w:tab w:val="num" w:pos="643"/>
      </w:tabs>
      <w:ind w:left="643"/>
      <w:contextualSpacing/>
    </w:pPr>
  </w:style>
  <w:style w:type="paragraph" w:styleId="ListNumber4">
    <w:name w:val="List Number 4"/>
    <w:basedOn w:val="Normal"/>
    <w:uiPriority w:val="99"/>
    <w:semiHidden/>
    <w:rsid w:val="005266D2"/>
    <w:pPr>
      <w:numPr>
        <w:numId w:val="24"/>
      </w:numPr>
      <w:tabs>
        <w:tab w:val="clear" w:pos="1209"/>
        <w:tab w:val="num" w:pos="926"/>
      </w:tabs>
      <w:ind w:left="926"/>
      <w:contextualSpacing/>
    </w:pPr>
  </w:style>
  <w:style w:type="paragraph" w:styleId="ListNumber5">
    <w:name w:val="List Number 5"/>
    <w:basedOn w:val="Normal"/>
    <w:uiPriority w:val="99"/>
    <w:semiHidden/>
    <w:rsid w:val="005266D2"/>
    <w:pPr>
      <w:numPr>
        <w:numId w:val="25"/>
      </w:numPr>
      <w:tabs>
        <w:tab w:val="clear" w:pos="1492"/>
        <w:tab w:val="num" w:pos="1209"/>
      </w:tabs>
      <w:ind w:left="1209"/>
      <w:contextualSpacing/>
    </w:pPr>
  </w:style>
  <w:style w:type="paragraph" w:styleId="MacroText">
    <w:name w:val="macro"/>
    <w:link w:val="MacroTextChar"/>
    <w:uiPriority w:val="99"/>
    <w:semiHidden/>
    <w:rsid w:val="005266D2"/>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7D58E1"/>
    <w:rPr>
      <w:rFonts w:ascii="Consolas" w:hAnsi="Consolas"/>
      <w:sz w:val="20"/>
      <w:szCs w:val="20"/>
    </w:rPr>
  </w:style>
  <w:style w:type="paragraph" w:styleId="MessageHeader">
    <w:name w:val="Message Header"/>
    <w:basedOn w:val="Normal"/>
    <w:link w:val="MessageHeaderChar"/>
    <w:uiPriority w:val="99"/>
    <w:semiHidden/>
    <w:rsid w:val="005266D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D58E1"/>
    <w:rPr>
      <w:rFonts w:asciiTheme="majorHAnsi" w:eastAsiaTheme="majorEastAsia" w:hAnsiTheme="majorHAnsi" w:cstheme="majorBidi"/>
      <w:sz w:val="24"/>
      <w:szCs w:val="24"/>
      <w:shd w:val="pct20" w:color="auto" w:fill="auto"/>
    </w:rPr>
  </w:style>
  <w:style w:type="paragraph" w:styleId="NoSpacing">
    <w:name w:val="No Spacing"/>
    <w:uiPriority w:val="1"/>
    <w:qFormat/>
    <w:rsid w:val="005266D2"/>
    <w:pPr>
      <w:spacing w:after="0" w:line="240" w:lineRule="auto"/>
    </w:pPr>
    <w:rPr>
      <w:rFonts w:ascii="Cera Pro" w:hAnsi="Cera Pro"/>
      <w:sz w:val="20"/>
    </w:rPr>
  </w:style>
  <w:style w:type="paragraph" w:styleId="NormalWeb">
    <w:name w:val="Normal (Web)"/>
    <w:basedOn w:val="Normal"/>
    <w:uiPriority w:val="99"/>
    <w:semiHidden/>
    <w:rsid w:val="005266D2"/>
    <w:rPr>
      <w:rFonts w:ascii="Times New Roman" w:hAnsi="Times New Roman" w:cs="Times New Roman"/>
      <w:sz w:val="24"/>
      <w:szCs w:val="24"/>
    </w:rPr>
  </w:style>
  <w:style w:type="paragraph" w:styleId="NormalIndent">
    <w:name w:val="Normal Indent"/>
    <w:basedOn w:val="Normal"/>
    <w:uiPriority w:val="99"/>
    <w:semiHidden/>
    <w:rsid w:val="005266D2"/>
    <w:pPr>
      <w:ind w:left="720"/>
    </w:pPr>
  </w:style>
  <w:style w:type="paragraph" w:styleId="NoteHeading">
    <w:name w:val="Note Heading"/>
    <w:basedOn w:val="Normal"/>
    <w:next w:val="Normal"/>
    <w:link w:val="NoteHeadingChar"/>
    <w:uiPriority w:val="99"/>
    <w:semiHidden/>
    <w:rsid w:val="005266D2"/>
    <w:pPr>
      <w:spacing w:after="0" w:line="240" w:lineRule="auto"/>
    </w:pPr>
  </w:style>
  <w:style w:type="character" w:customStyle="1" w:styleId="NoteHeadingChar">
    <w:name w:val="Note Heading Char"/>
    <w:basedOn w:val="DefaultParagraphFont"/>
    <w:link w:val="NoteHeading"/>
    <w:uiPriority w:val="99"/>
    <w:semiHidden/>
    <w:rsid w:val="007D58E1"/>
    <w:rPr>
      <w:rFonts w:ascii="Cera Pro" w:hAnsi="Cera Pro"/>
      <w:sz w:val="19"/>
    </w:rPr>
  </w:style>
  <w:style w:type="paragraph" w:styleId="PlainText">
    <w:name w:val="Plain Text"/>
    <w:basedOn w:val="Normal"/>
    <w:link w:val="PlainTextChar"/>
    <w:uiPriority w:val="99"/>
    <w:semiHidden/>
    <w:rsid w:val="005266D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D58E1"/>
    <w:rPr>
      <w:rFonts w:ascii="Consolas" w:hAnsi="Consolas"/>
      <w:sz w:val="21"/>
      <w:szCs w:val="21"/>
    </w:rPr>
  </w:style>
  <w:style w:type="paragraph" w:styleId="Quote">
    <w:name w:val="Quote"/>
    <w:basedOn w:val="Normal"/>
    <w:next w:val="Normal"/>
    <w:link w:val="QuoteChar"/>
    <w:uiPriority w:val="99"/>
    <w:semiHidden/>
    <w:qFormat/>
    <w:rsid w:val="005266D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99"/>
    <w:semiHidden/>
    <w:rsid w:val="007D58E1"/>
    <w:rPr>
      <w:rFonts w:ascii="Cera Pro" w:hAnsi="Cera Pro"/>
      <w:i/>
      <w:iCs/>
      <w:color w:val="404040" w:themeColor="text1" w:themeTint="BF"/>
      <w:sz w:val="19"/>
    </w:rPr>
  </w:style>
  <w:style w:type="paragraph" w:styleId="Salutation">
    <w:name w:val="Salutation"/>
    <w:basedOn w:val="Normal"/>
    <w:next w:val="Normal"/>
    <w:link w:val="SalutationChar"/>
    <w:uiPriority w:val="99"/>
    <w:semiHidden/>
    <w:rsid w:val="005266D2"/>
  </w:style>
  <w:style w:type="character" w:customStyle="1" w:styleId="SalutationChar">
    <w:name w:val="Salutation Char"/>
    <w:basedOn w:val="DefaultParagraphFont"/>
    <w:link w:val="Salutation"/>
    <w:uiPriority w:val="99"/>
    <w:semiHidden/>
    <w:rsid w:val="007D58E1"/>
    <w:rPr>
      <w:rFonts w:ascii="Cera Pro" w:hAnsi="Cera Pro"/>
      <w:sz w:val="19"/>
    </w:rPr>
  </w:style>
  <w:style w:type="paragraph" w:styleId="Signature">
    <w:name w:val="Signature"/>
    <w:basedOn w:val="Normal"/>
    <w:link w:val="SignatureChar"/>
    <w:uiPriority w:val="99"/>
    <w:semiHidden/>
    <w:rsid w:val="005266D2"/>
    <w:pPr>
      <w:spacing w:after="0" w:line="240" w:lineRule="auto"/>
      <w:ind w:left="4252"/>
    </w:pPr>
  </w:style>
  <w:style w:type="character" w:customStyle="1" w:styleId="SignatureChar">
    <w:name w:val="Signature Char"/>
    <w:basedOn w:val="DefaultParagraphFont"/>
    <w:link w:val="Signature"/>
    <w:uiPriority w:val="99"/>
    <w:semiHidden/>
    <w:rsid w:val="007D58E1"/>
    <w:rPr>
      <w:rFonts w:ascii="Cera Pro" w:hAnsi="Cera Pro"/>
      <w:sz w:val="19"/>
    </w:rPr>
  </w:style>
  <w:style w:type="paragraph" w:styleId="Subtitle">
    <w:name w:val="Subtitle"/>
    <w:basedOn w:val="Normal"/>
    <w:next w:val="Normal"/>
    <w:link w:val="SubtitleChar"/>
    <w:uiPriority w:val="99"/>
    <w:semiHidden/>
    <w:qFormat/>
    <w:rsid w:val="005266D2"/>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99"/>
    <w:semiHidden/>
    <w:rsid w:val="007D58E1"/>
    <w:rPr>
      <w:rFonts w:eastAsiaTheme="minorEastAsia"/>
      <w:color w:val="5A5A5A" w:themeColor="text1" w:themeTint="A5"/>
      <w:spacing w:val="15"/>
    </w:rPr>
  </w:style>
  <w:style w:type="paragraph" w:styleId="TableofAuthorities">
    <w:name w:val="table of authorities"/>
    <w:basedOn w:val="Normal"/>
    <w:next w:val="Normal"/>
    <w:uiPriority w:val="99"/>
    <w:semiHidden/>
    <w:rsid w:val="005266D2"/>
    <w:pPr>
      <w:spacing w:after="0"/>
      <w:ind w:left="200" w:hanging="200"/>
    </w:pPr>
  </w:style>
  <w:style w:type="paragraph" w:styleId="Title">
    <w:name w:val="Title"/>
    <w:basedOn w:val="Normal"/>
    <w:next w:val="Normal"/>
    <w:link w:val="TitleChar"/>
    <w:uiPriority w:val="99"/>
    <w:semiHidden/>
    <w:qFormat/>
    <w:rsid w:val="005266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semiHidden/>
    <w:rsid w:val="007D58E1"/>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rsid w:val="005266D2"/>
    <w:pPr>
      <w:spacing w:before="120"/>
    </w:pPr>
    <w:rPr>
      <w:rFonts w:asciiTheme="majorHAnsi" w:eastAsiaTheme="majorEastAsia" w:hAnsiTheme="majorHAnsi" w:cstheme="majorBidi"/>
      <w:b/>
      <w:bCs/>
      <w:sz w:val="24"/>
      <w:szCs w:val="24"/>
    </w:rPr>
  </w:style>
  <w:style w:type="table" w:customStyle="1" w:styleId="TableDefault">
    <w:name w:val="Table Default"/>
    <w:basedOn w:val="TableNormal"/>
    <w:uiPriority w:val="99"/>
    <w:rsid w:val="00007DD5"/>
    <w:pPr>
      <w:spacing w:after="0" w:line="240" w:lineRule="auto"/>
    </w:pPr>
    <w:tblPr>
      <w:tblBorders>
        <w:bottom w:val="single" w:sz="4" w:space="0" w:color="auto"/>
        <w:insideH w:val="single" w:sz="4" w:space="0" w:color="000000" w:themeColor="text1"/>
        <w:insideV w:val="single" w:sz="4" w:space="0" w:color="000000" w:themeColor="text1"/>
      </w:tblBorders>
      <w:tblCellMar>
        <w:top w:w="85" w:type="dxa"/>
        <w:bottom w:w="85" w:type="dxa"/>
      </w:tblCellMar>
    </w:tblPr>
    <w:tblStylePr w:type="firstRow">
      <w:pPr>
        <w:wordWrap/>
      </w:pPr>
      <w:rPr>
        <w:b w:val="0"/>
        <w:color w:val="FFFFFF" w:themeColor="background1"/>
      </w:rPr>
      <w:tblPr/>
      <w:tcPr>
        <w:tcBorders>
          <w:insideH w:val="nil"/>
          <w:insideV w:val="nil"/>
        </w:tcBorders>
        <w:shd w:val="clear" w:color="auto" w:fill="436E73"/>
      </w:tcPr>
    </w:tblStylePr>
  </w:style>
  <w:style w:type="table" w:customStyle="1" w:styleId="TablewithShading">
    <w:name w:val="Table with Shading"/>
    <w:basedOn w:val="TableNormal"/>
    <w:uiPriority w:val="99"/>
    <w:rsid w:val="00857EE1"/>
    <w:pPr>
      <w:spacing w:after="0" w:line="240" w:lineRule="auto"/>
    </w:pPr>
    <w:tblPr>
      <w:tblBorders>
        <w:insideH w:val="single" w:sz="24" w:space="0" w:color="FFFFFF" w:themeColor="background1"/>
      </w:tblBorders>
      <w:tblCellMar>
        <w:top w:w="57" w:type="dxa"/>
        <w:left w:w="85" w:type="dxa"/>
        <w:bottom w:w="57" w:type="dxa"/>
        <w:right w:w="57" w:type="dxa"/>
      </w:tblCellMar>
    </w:tblPr>
    <w:tcPr>
      <w:shd w:val="clear" w:color="auto" w:fill="DAE8EA"/>
    </w:tcPr>
    <w:tblStylePr w:type="firstRow">
      <w:rPr>
        <w:b w:val="0"/>
        <w:color w:val="436E73"/>
      </w:rPr>
      <w:tblPr/>
      <w:tcPr>
        <w:tcBorders>
          <w:top w:val="nil"/>
          <w:left w:val="nil"/>
          <w:bottom w:val="single" w:sz="2" w:space="0" w:color="DAE8EA"/>
          <w:right w:val="nil"/>
          <w:insideH w:val="single" w:sz="2" w:space="0" w:color="auto"/>
          <w:insideV w:val="nil"/>
        </w:tcBorders>
        <w:shd w:val="clear" w:color="auto" w:fill="FFFFFF" w:themeFill="background1"/>
      </w:tcPr>
    </w:tblStylePr>
  </w:style>
  <w:style w:type="table" w:customStyle="1" w:styleId="TableDefaultShaded">
    <w:name w:val="Table Default Shaded"/>
    <w:basedOn w:val="TableNormal"/>
    <w:uiPriority w:val="99"/>
    <w:rsid w:val="003932C9"/>
    <w:pPr>
      <w:spacing w:before="58" w:after="0" w:line="240" w:lineRule="auto"/>
    </w:pPr>
    <w:tblPr>
      <w:tblStyleRowBandSize w:val="1"/>
      <w:tblStyleColBandSize w:val="1"/>
      <w:tblBorders>
        <w:bottom w:val="single" w:sz="4" w:space="0" w:color="000000" w:themeColor="text1"/>
        <w:insideH w:val="single" w:sz="4" w:space="0" w:color="000000" w:themeColor="text1"/>
        <w:insideV w:val="single" w:sz="4" w:space="0" w:color="000000" w:themeColor="text1"/>
      </w:tblBorders>
      <w:tblCellMar>
        <w:top w:w="85" w:type="dxa"/>
        <w:bottom w:w="85" w:type="dxa"/>
      </w:tblCellMar>
    </w:tblPr>
    <w:tblStylePr w:type="firstRow">
      <w:rPr>
        <w:color w:val="FFFFFF" w:themeColor="background1"/>
      </w:rPr>
      <w:tblPr/>
      <w:tcPr>
        <w:tcBorders>
          <w:top w:val="nil"/>
          <w:left w:val="nil"/>
          <w:bottom w:val="nil"/>
          <w:right w:val="nil"/>
          <w:insideH w:val="nil"/>
          <w:insideV w:val="nil"/>
          <w:tl2br w:val="nil"/>
          <w:tr2bl w:val="nil"/>
        </w:tcBorders>
        <w:shd w:val="clear" w:color="auto" w:fill="436E73"/>
      </w:tcPr>
    </w:tblStylePr>
    <w:tblStylePr w:type="band1Vert">
      <w:tblPr/>
      <w:tcPr>
        <w:tcBorders>
          <w:top w:val="single" w:sz="4" w:space="0" w:color="FFFFFF" w:themeColor="background1"/>
          <w:left w:val="nil"/>
          <w:bottom w:val="nil"/>
          <w:right w:val="nil"/>
          <w:insideH w:val="nil"/>
          <w:insideV w:val="nil"/>
          <w:tl2br w:val="nil"/>
          <w:tr2bl w:val="nil"/>
        </w:tcBorders>
      </w:tcPr>
    </w:tblStylePr>
    <w:tblStylePr w:type="band1Horz">
      <w:tblPr/>
      <w:tcPr>
        <w:tcBorders>
          <w:top w:val="nil"/>
          <w:left w:val="nil"/>
          <w:bottom w:val="nil"/>
          <w:right w:val="nil"/>
          <w:insideH w:val="nil"/>
          <w:insideV w:val="single" w:sz="4" w:space="0" w:color="auto"/>
          <w:tl2br w:val="nil"/>
          <w:tr2bl w:val="nil"/>
        </w:tcBorders>
      </w:tcPr>
    </w:tblStylePr>
    <w:tblStylePr w:type="band2Horz">
      <w:tblPr/>
      <w:tcPr>
        <w:tcBorders>
          <w:top w:val="nil"/>
          <w:left w:val="nil"/>
          <w:bottom w:val="nil"/>
          <w:right w:val="nil"/>
          <w:insideH w:val="nil"/>
          <w:insideV w:val="single" w:sz="4" w:space="0" w:color="auto"/>
          <w:tl2br w:val="nil"/>
          <w:tr2bl w:val="nil"/>
        </w:tcBorders>
        <w:shd w:val="clear" w:color="auto" w:fill="DAE8EA"/>
      </w:tcPr>
    </w:tblStylePr>
  </w:style>
  <w:style w:type="table" w:customStyle="1" w:styleId="TableDefault2">
    <w:name w:val="Table Default 2"/>
    <w:basedOn w:val="TableDefault"/>
    <w:uiPriority w:val="99"/>
    <w:rsid w:val="00A37DD9"/>
    <w:tblPr/>
    <w:tblStylePr w:type="firstRow">
      <w:pPr>
        <w:wordWrap/>
      </w:pPr>
      <w:rPr>
        <w:b w:val="0"/>
        <w:color w:val="FFFFFF" w:themeColor="background1"/>
      </w:rPr>
      <w:tblPr/>
      <w:tcPr>
        <w:tcBorders>
          <w:insideH w:val="nil"/>
          <w:insideV w:val="nil"/>
        </w:tcBorders>
        <w:shd w:val="clear" w:color="auto" w:fill="A6154B"/>
      </w:tcPr>
    </w:tblStylePr>
  </w:style>
  <w:style w:type="table" w:customStyle="1" w:styleId="TableDefaultShaded2">
    <w:name w:val="Table Default Shaded 2"/>
    <w:basedOn w:val="TableDefaultShaded"/>
    <w:uiPriority w:val="99"/>
    <w:rsid w:val="00A37DD9"/>
    <w:tblPr/>
    <w:tblStylePr w:type="firstRow">
      <w:rPr>
        <w:color w:val="FFFFFF" w:themeColor="background1"/>
      </w:rPr>
      <w:tblPr/>
      <w:tcPr>
        <w:tcBorders>
          <w:top w:val="nil"/>
          <w:left w:val="nil"/>
          <w:bottom w:val="nil"/>
          <w:right w:val="nil"/>
          <w:insideH w:val="nil"/>
          <w:insideV w:val="nil"/>
          <w:tl2br w:val="nil"/>
          <w:tr2bl w:val="nil"/>
        </w:tcBorders>
        <w:shd w:val="clear" w:color="auto" w:fill="A6154B"/>
      </w:tcPr>
    </w:tblStylePr>
    <w:tblStylePr w:type="band1Vert">
      <w:tblPr/>
      <w:tcPr>
        <w:tcBorders>
          <w:top w:val="single" w:sz="4" w:space="0" w:color="FFFFFF" w:themeColor="background1"/>
          <w:left w:val="nil"/>
          <w:bottom w:val="nil"/>
          <w:right w:val="nil"/>
          <w:insideH w:val="nil"/>
          <w:insideV w:val="nil"/>
          <w:tl2br w:val="nil"/>
          <w:tr2bl w:val="nil"/>
        </w:tcBorders>
      </w:tcPr>
    </w:tblStylePr>
    <w:tblStylePr w:type="band1Horz">
      <w:tblPr/>
      <w:tcPr>
        <w:tcBorders>
          <w:top w:val="nil"/>
          <w:left w:val="nil"/>
          <w:bottom w:val="nil"/>
          <w:right w:val="nil"/>
          <w:insideH w:val="nil"/>
          <w:insideV w:val="single" w:sz="4" w:space="0" w:color="auto"/>
          <w:tl2br w:val="nil"/>
          <w:tr2bl w:val="nil"/>
        </w:tcBorders>
      </w:tcPr>
    </w:tblStylePr>
    <w:tblStylePr w:type="band2Horz">
      <w:tblPr/>
      <w:tcPr>
        <w:tcBorders>
          <w:top w:val="nil"/>
          <w:left w:val="nil"/>
          <w:bottom w:val="nil"/>
          <w:right w:val="nil"/>
          <w:insideH w:val="nil"/>
          <w:insideV w:val="single" w:sz="4" w:space="0" w:color="auto"/>
          <w:tl2br w:val="nil"/>
          <w:tr2bl w:val="nil"/>
        </w:tcBorders>
        <w:shd w:val="clear" w:color="auto" w:fill="F4E2E3"/>
      </w:tcPr>
    </w:tblStylePr>
  </w:style>
  <w:style w:type="table" w:customStyle="1" w:styleId="TablewithNumbers2">
    <w:name w:val="Table with Numbers 2"/>
    <w:basedOn w:val="TablewithNumbers"/>
    <w:uiPriority w:val="99"/>
    <w:rsid w:val="00A37DD9"/>
    <w:tblPr/>
    <w:tblStylePr w:type="firstRow">
      <w:pPr>
        <w:wordWrap/>
      </w:pPr>
      <w:rPr>
        <w:b w:val="0"/>
        <w:color w:val="FFFFFF" w:themeColor="background1"/>
      </w:rPr>
      <w:tblPr/>
      <w:tcPr>
        <w:tcBorders>
          <w:top w:val="nil"/>
          <w:left w:val="nil"/>
          <w:bottom w:val="nil"/>
          <w:right w:val="nil"/>
          <w:insideH w:val="nil"/>
          <w:insideV w:val="nil"/>
          <w:tl2br w:val="nil"/>
          <w:tr2bl w:val="nil"/>
        </w:tcBorders>
        <w:shd w:val="clear" w:color="auto" w:fill="A6154B"/>
      </w:tcPr>
    </w:tblStylePr>
    <w:tblStylePr w:type="firstCol">
      <w:pPr>
        <w:jc w:val="left"/>
      </w:pPr>
    </w:tblStylePr>
  </w:style>
  <w:style w:type="table" w:customStyle="1" w:styleId="TablewithShading2">
    <w:name w:val="Table with Shading 2"/>
    <w:basedOn w:val="TablewithShading"/>
    <w:uiPriority w:val="99"/>
    <w:rsid w:val="00A37DD9"/>
    <w:tblPr/>
    <w:tcPr>
      <w:shd w:val="clear" w:color="auto" w:fill="F4E2E3"/>
    </w:tcPr>
    <w:tblStylePr w:type="firstRow">
      <w:rPr>
        <w:b w:val="0"/>
        <w:color w:val="A6154B"/>
      </w:rPr>
      <w:tblPr/>
      <w:tcPr>
        <w:tcBorders>
          <w:top w:val="nil"/>
          <w:left w:val="nil"/>
          <w:bottom w:val="single" w:sz="2" w:space="0" w:color="DAE8EA"/>
          <w:right w:val="nil"/>
          <w:insideH w:val="single" w:sz="2" w:space="0" w:color="auto"/>
          <w:insideV w:val="nil"/>
        </w:tcBorders>
        <w:shd w:val="clear" w:color="auto" w:fill="FFFFFF" w:themeFill="background1"/>
      </w:tcPr>
    </w:tblStylePr>
  </w:style>
  <w:style w:type="paragraph" w:customStyle="1" w:styleId="paragraph">
    <w:name w:val="paragraph"/>
    <w:basedOn w:val="Normal"/>
    <w:uiPriority w:val="99"/>
    <w:rsid w:val="001C7CCA"/>
    <w:pPr>
      <w:spacing w:before="100" w:beforeAutospacing="1" w:after="100" w:afterAutospacing="1" w:line="240" w:lineRule="auto"/>
    </w:pPr>
    <w:rPr>
      <w:rFonts w:ascii="Calibri" w:hAnsi="Calibri" w:cs="Calibri"/>
      <w:sz w:val="22"/>
      <w:lang w:eastAsia="en-NZ"/>
    </w:rPr>
  </w:style>
  <w:style w:type="character" w:customStyle="1" w:styleId="normaltextrun">
    <w:name w:val="normaltextrun"/>
    <w:basedOn w:val="DefaultParagraphFont"/>
    <w:uiPriority w:val="99"/>
    <w:rsid w:val="001C7CCA"/>
  </w:style>
  <w:style w:type="character" w:customStyle="1" w:styleId="eop">
    <w:name w:val="eop"/>
    <w:basedOn w:val="DefaultParagraphFont"/>
    <w:uiPriority w:val="99"/>
    <w:rsid w:val="001C7CCA"/>
  </w:style>
  <w:style w:type="paragraph" w:customStyle="1" w:styleId="HeadingSectionSubtext">
    <w:name w:val="Heading Section Subtext"/>
    <w:basedOn w:val="HeadingSectionDivider"/>
    <w:uiPriority w:val="99"/>
    <w:semiHidden/>
    <w:rsid w:val="00441F0D"/>
    <w:pPr>
      <w:pageBreakBefore w:val="0"/>
      <w:spacing w:line="300" w:lineRule="atLeast"/>
    </w:pPr>
    <w:rPr>
      <w:b w:val="0"/>
      <w:sz w:val="36"/>
    </w:rPr>
  </w:style>
  <w:style w:type="paragraph" w:customStyle="1" w:styleId="HeadingSectionSubtext-White">
    <w:name w:val="Heading Section Subtext - White"/>
    <w:basedOn w:val="HeadingSectionSubtext"/>
    <w:uiPriority w:val="99"/>
    <w:unhideWhenUsed/>
    <w:rsid w:val="00441F0D"/>
    <w:rPr>
      <w:color w:val="FFFFFF" w:themeColor="background1"/>
    </w:rPr>
  </w:style>
  <w:style w:type="table" w:customStyle="1" w:styleId="DefaultTable">
    <w:name w:val="Default Table"/>
    <w:basedOn w:val="TableNormal"/>
    <w:uiPriority w:val="99"/>
    <w:rsid w:val="00DC363F"/>
    <w:pPr>
      <w:spacing w:before="58" w:after="58" w:line="240" w:lineRule="auto"/>
    </w:pPr>
    <w:tblPr>
      <w:tblStyleRowBandSize w:val="1"/>
      <w:tblStyleColBandSize w:val="1"/>
      <w:tblBorders>
        <w:bottom w:val="single" w:sz="4" w:space="0" w:color="auto"/>
        <w:insideH w:val="single" w:sz="4" w:space="0" w:color="auto"/>
        <w:insideV w:val="single" w:sz="4" w:space="0" w:color="auto"/>
      </w:tblBorders>
      <w:tblCellMar>
        <w:top w:w="85" w:type="dxa"/>
        <w:bottom w:w="85" w:type="dxa"/>
      </w:tblCellMar>
    </w:tblPr>
    <w:tblStylePr w:type="firstRow">
      <w:rPr>
        <w:color w:val="FFFFFF" w:themeColor="background1"/>
      </w:rPr>
      <w:tblPr/>
      <w:tcPr>
        <w:tcBorders>
          <w:top w:val="nil"/>
          <w:left w:val="nil"/>
          <w:bottom w:val="nil"/>
          <w:right w:val="nil"/>
          <w:insideH w:val="nil"/>
          <w:insideV w:val="nil"/>
          <w:tl2br w:val="nil"/>
          <w:tr2bl w:val="nil"/>
        </w:tcBorders>
        <w:shd w:val="clear" w:color="auto" w:fill="436E73"/>
      </w:tcPr>
    </w:tblStylePr>
    <w:tblStylePr w:type="band1Vert">
      <w:tblPr/>
      <w:tcPr>
        <w:tcBorders>
          <w:top w:val="single" w:sz="4" w:space="0" w:color="FFFFFF" w:themeColor="background1"/>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table" w:customStyle="1" w:styleId="DefaultTableShaded">
    <w:name w:val="Default Table Shaded"/>
    <w:basedOn w:val="DefaultTable"/>
    <w:uiPriority w:val="99"/>
    <w:rsid w:val="00DC363F"/>
    <w:pPr>
      <w:spacing w:after="0"/>
    </w:pPr>
    <w:tblPr/>
    <w:tblStylePr w:type="firstRow">
      <w:rPr>
        <w:color w:val="FFFFFF" w:themeColor="background1"/>
      </w:rPr>
      <w:tblPr/>
      <w:tcPr>
        <w:tcBorders>
          <w:top w:val="nil"/>
          <w:left w:val="nil"/>
          <w:bottom w:val="nil"/>
          <w:right w:val="nil"/>
          <w:insideH w:val="nil"/>
          <w:insideV w:val="nil"/>
          <w:tl2br w:val="nil"/>
          <w:tr2bl w:val="nil"/>
        </w:tcBorders>
        <w:shd w:val="clear" w:color="auto" w:fill="436E73"/>
      </w:tcPr>
    </w:tblStylePr>
    <w:tblStylePr w:type="band1Vert">
      <w:tblPr/>
      <w:tcPr>
        <w:tcBorders>
          <w:top w:val="single" w:sz="4" w:space="0" w:color="FFFFFF" w:themeColor="background1"/>
          <w:left w:val="nil"/>
          <w:bottom w:val="nil"/>
          <w:right w:val="nil"/>
          <w:insideH w:val="nil"/>
          <w:insideV w:val="nil"/>
          <w:tl2br w:val="nil"/>
          <w:tr2bl w:val="nil"/>
        </w:tcBorders>
      </w:tcPr>
    </w:tblStylePr>
    <w:tblStylePr w:type="band1Horz">
      <w:tblPr/>
      <w:tcPr>
        <w:tcBorders>
          <w:top w:val="nil"/>
          <w:left w:val="nil"/>
          <w:bottom w:val="nil"/>
          <w:right w:val="nil"/>
          <w:insideH w:val="nil"/>
          <w:insideV w:val="single" w:sz="4" w:space="0" w:color="auto"/>
          <w:tl2br w:val="nil"/>
          <w:tr2bl w:val="nil"/>
        </w:tcBorders>
      </w:tcPr>
    </w:tblStylePr>
    <w:tblStylePr w:type="band2Horz">
      <w:tblPr/>
      <w:tcPr>
        <w:tcBorders>
          <w:top w:val="nil"/>
          <w:left w:val="nil"/>
          <w:bottom w:val="nil"/>
          <w:right w:val="nil"/>
          <w:insideH w:val="nil"/>
          <w:insideV w:val="single" w:sz="4" w:space="0" w:color="auto"/>
          <w:tl2br w:val="nil"/>
          <w:tr2bl w:val="nil"/>
        </w:tcBorders>
        <w:shd w:val="clear" w:color="auto" w:fill="DAE8EA"/>
      </w:tcPr>
    </w:tblStylePr>
  </w:style>
  <w:style w:type="numbering" w:customStyle="1" w:styleId="CurrentList1">
    <w:name w:val="Current List1"/>
    <w:uiPriority w:val="99"/>
    <w:rsid w:val="00DD368D"/>
    <w:pPr>
      <w:numPr>
        <w:numId w:val="27"/>
      </w:numPr>
    </w:pPr>
  </w:style>
  <w:style w:type="character" w:styleId="CommentReference">
    <w:name w:val="annotation reference"/>
    <w:basedOn w:val="DefaultParagraphFont"/>
    <w:uiPriority w:val="99"/>
    <w:semiHidden/>
    <w:rsid w:val="003235C8"/>
    <w:rPr>
      <w:sz w:val="16"/>
      <w:szCs w:val="16"/>
    </w:rPr>
  </w:style>
  <w:style w:type="paragraph" w:styleId="Revision">
    <w:name w:val="Revision"/>
    <w:hidden/>
    <w:uiPriority w:val="99"/>
    <w:semiHidden/>
    <w:rsid w:val="0063007B"/>
    <w:pPr>
      <w:spacing w:after="0" w:line="240" w:lineRule="auto"/>
    </w:pPr>
    <w:rPr>
      <w:rFonts w:ascii="Cera Pro" w:hAnsi="Cera Pro"/>
      <w:sz w:val="19"/>
    </w:rPr>
  </w:style>
  <w:style w:type="character" w:styleId="UnresolvedMention">
    <w:name w:val="Unresolved Mention"/>
    <w:basedOn w:val="DefaultParagraphFont"/>
    <w:uiPriority w:val="99"/>
    <w:semiHidden/>
    <w:rsid w:val="00895AC9"/>
    <w:rPr>
      <w:color w:val="605E5C"/>
      <w:shd w:val="clear" w:color="auto" w:fill="E1DFDD"/>
    </w:rPr>
  </w:style>
  <w:style w:type="character" w:styleId="Mention">
    <w:name w:val="Mention"/>
    <w:basedOn w:val="DefaultParagraphFont"/>
    <w:uiPriority w:val="99"/>
    <w:semiHidden/>
    <w:rsid w:val="0038131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1534">
      <w:bodyDiv w:val="1"/>
      <w:marLeft w:val="0"/>
      <w:marRight w:val="0"/>
      <w:marTop w:val="0"/>
      <w:marBottom w:val="0"/>
      <w:divBdr>
        <w:top w:val="none" w:sz="0" w:space="0" w:color="auto"/>
        <w:left w:val="none" w:sz="0" w:space="0" w:color="auto"/>
        <w:bottom w:val="none" w:sz="0" w:space="0" w:color="auto"/>
        <w:right w:val="none" w:sz="0" w:space="0" w:color="auto"/>
      </w:divBdr>
    </w:div>
    <w:div w:id="255092921">
      <w:bodyDiv w:val="1"/>
      <w:marLeft w:val="0"/>
      <w:marRight w:val="0"/>
      <w:marTop w:val="0"/>
      <w:marBottom w:val="0"/>
      <w:divBdr>
        <w:top w:val="none" w:sz="0" w:space="0" w:color="auto"/>
        <w:left w:val="none" w:sz="0" w:space="0" w:color="auto"/>
        <w:bottom w:val="none" w:sz="0" w:space="0" w:color="auto"/>
        <w:right w:val="none" w:sz="0" w:space="0" w:color="auto"/>
      </w:divBdr>
    </w:div>
    <w:div w:id="350500448">
      <w:bodyDiv w:val="1"/>
      <w:marLeft w:val="0"/>
      <w:marRight w:val="0"/>
      <w:marTop w:val="0"/>
      <w:marBottom w:val="0"/>
      <w:divBdr>
        <w:top w:val="none" w:sz="0" w:space="0" w:color="auto"/>
        <w:left w:val="none" w:sz="0" w:space="0" w:color="auto"/>
        <w:bottom w:val="none" w:sz="0" w:space="0" w:color="auto"/>
        <w:right w:val="none" w:sz="0" w:space="0" w:color="auto"/>
      </w:divBdr>
      <w:divsChild>
        <w:div w:id="479465093">
          <w:marLeft w:val="0"/>
          <w:marRight w:val="0"/>
          <w:marTop w:val="0"/>
          <w:marBottom w:val="0"/>
          <w:divBdr>
            <w:top w:val="none" w:sz="0" w:space="0" w:color="auto"/>
            <w:left w:val="none" w:sz="0" w:space="0" w:color="auto"/>
            <w:bottom w:val="none" w:sz="0" w:space="0" w:color="auto"/>
            <w:right w:val="none" w:sz="0" w:space="0" w:color="auto"/>
          </w:divBdr>
        </w:div>
        <w:div w:id="1028868100">
          <w:marLeft w:val="0"/>
          <w:marRight w:val="0"/>
          <w:marTop w:val="0"/>
          <w:marBottom w:val="0"/>
          <w:divBdr>
            <w:top w:val="none" w:sz="0" w:space="0" w:color="auto"/>
            <w:left w:val="none" w:sz="0" w:space="0" w:color="auto"/>
            <w:bottom w:val="none" w:sz="0" w:space="0" w:color="auto"/>
            <w:right w:val="none" w:sz="0" w:space="0" w:color="auto"/>
          </w:divBdr>
        </w:div>
        <w:div w:id="1868518994">
          <w:marLeft w:val="0"/>
          <w:marRight w:val="0"/>
          <w:marTop w:val="0"/>
          <w:marBottom w:val="0"/>
          <w:divBdr>
            <w:top w:val="none" w:sz="0" w:space="0" w:color="auto"/>
            <w:left w:val="none" w:sz="0" w:space="0" w:color="auto"/>
            <w:bottom w:val="none" w:sz="0" w:space="0" w:color="auto"/>
            <w:right w:val="none" w:sz="0" w:space="0" w:color="auto"/>
          </w:divBdr>
        </w:div>
        <w:div w:id="1882937462">
          <w:marLeft w:val="0"/>
          <w:marRight w:val="0"/>
          <w:marTop w:val="0"/>
          <w:marBottom w:val="0"/>
          <w:divBdr>
            <w:top w:val="none" w:sz="0" w:space="0" w:color="auto"/>
            <w:left w:val="none" w:sz="0" w:space="0" w:color="auto"/>
            <w:bottom w:val="none" w:sz="0" w:space="0" w:color="auto"/>
            <w:right w:val="none" w:sz="0" w:space="0" w:color="auto"/>
          </w:divBdr>
        </w:div>
      </w:divsChild>
    </w:div>
    <w:div w:id="6139416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eader" Target="header3.xml"/><Relationship Id="rId34" Type="http://schemas.openxmlformats.org/officeDocument/2006/relationships/footer" Target="footer9.xml"/><Relationship Id="rId42" Type="http://schemas.openxmlformats.org/officeDocument/2006/relationships/image" Target="media/image7.png"/><Relationship Id="rId47" Type="http://schemas.openxmlformats.org/officeDocument/2006/relationships/hyperlink" Target="https://apc01.safelinks.protection.outlook.com/?url=https%3A%2F%2Fwww.education.govt.nz%2Fhave-your-say%2Fhave-your-say-review-initial-teacher-education-programme-requirements%2Fdetails&amp;data=05%7C02%7CNatasha.Kuka%40martinjenkins.co.nz%7C25a829214fc6442adba808df1eca5660%7Ced6fb0f7ec6846f1b035fe5de3a02568%7C0%7C0%7C639263526735851364%7CUnknown%7CTWFpbGZsb3d8eyJFbXB0eU1hcGkiOnRydWUsIlYiOiIwLjAuMDAwMCIsIlAiOiJXaW4zMiIsIkFOIjoiTWFpbCIsIldUIjoyfQ%3D%3D%7C0%7C%7C%7C&amp;sdata=Rv7nlMfudv%2BCPrU3BJOvbMqA68M94eoI42%2Bwn94Zpvs%3D&amp;reserved=0" TargetMode="External"/><Relationship Id="rId50" Type="http://schemas.openxmlformats.org/officeDocument/2006/relationships/header" Target="header14.xml"/><Relationship Id="rId55" Type="http://schemas.openxmlformats.org/officeDocument/2006/relationships/image" Target="media/image8.png"/><Relationship Id="rId63" Type="http://schemas.openxmlformats.org/officeDocument/2006/relationships/glossaryDocument" Target="glossary/document.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eader" Target="header7.xml"/><Relationship Id="rId11" Type="http://schemas.openxmlformats.org/officeDocument/2006/relationships/webSettings" Target="webSettings.xml"/><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footer" Target="footer12.xml"/><Relationship Id="rId45" Type="http://schemas.openxmlformats.org/officeDocument/2006/relationships/hyperlink" Target="mailto:TeachingStandards@education.govt.nz" TargetMode="External"/><Relationship Id="rId53" Type="http://schemas.openxmlformats.org/officeDocument/2006/relationships/header" Target="header15.xml"/><Relationship Id="rId58" Type="http://schemas.openxmlformats.org/officeDocument/2006/relationships/footer" Target="footer16.xml"/><Relationship Id="rId5" Type="http://schemas.openxmlformats.org/officeDocument/2006/relationships/customXml" Target="../customXml/item5.xml"/><Relationship Id="rId61" Type="http://schemas.openxmlformats.org/officeDocument/2006/relationships/footer" Target="footer18.xml"/><Relationship Id="rId1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0.xml"/><Relationship Id="rId43" Type="http://schemas.openxmlformats.org/officeDocument/2006/relationships/hyperlink" Target="https://www.education.govt.nz/have-your-say/have-your-say-review-initial-teacher-education-programme-requirements/details" TargetMode="External"/><Relationship Id="rId48" Type="http://schemas.openxmlformats.org/officeDocument/2006/relationships/hyperlink" Target="https://apc01.safelinks.protection.outlook.com/?url=https%3A%2F%2Fwww.education.govt.nz%2Fite-review&amp;data=05%7C02%7CNatasha.Kuka%40martinjenkins.co.nz%7C25a829214fc6442adba808df1eca5660%7Ced6fb0f7ec6846f1b035fe5de3a02568%7C0%7C0%7C639263526735878299%7CUnknown%7CTWFpbGZsb3d8eyJFbXB0eU1hcGkiOnRydWUsIlYiOiIwLjAuMDAwMCIsIlAiOiJXaW4zMiIsIkFOIjoiTWFpbCIsIldUIjoyfQ%3D%3D%7C0%7C%7C%7C&amp;sdata=C9VhN5zuqutzs3H9REGFtxs5RvyvDB1%2BTN%2FlU859g3c%3D&amp;reserved=0" TargetMode="External"/><Relationship Id="rId56" Type="http://schemas.openxmlformats.org/officeDocument/2006/relationships/header" Target="header16.xml"/><Relationship Id="rId64" Type="http://schemas.openxmlformats.org/officeDocument/2006/relationships/theme" Target="theme/theme1.xml"/><Relationship Id="rId8" Type="http://schemas.openxmlformats.org/officeDocument/2006/relationships/numbering" Target="numbering.xml"/><Relationship Id="rId51" Type="http://schemas.openxmlformats.org/officeDocument/2006/relationships/footer" Target="footer13.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footer" Target="footer4.xml"/><Relationship Id="rId33" Type="http://schemas.openxmlformats.org/officeDocument/2006/relationships/header" Target="header9.xml"/><Relationship Id="rId38" Type="http://schemas.openxmlformats.org/officeDocument/2006/relationships/footer" Target="footer11.xml"/><Relationship Id="rId46" Type="http://schemas.openxmlformats.org/officeDocument/2006/relationships/hyperlink" Target="mailto:TeachingStandards@education.govt.nz" TargetMode="External"/><Relationship Id="rId59" Type="http://schemas.openxmlformats.org/officeDocument/2006/relationships/footer" Target="footer17.xml"/><Relationship Id="rId20" Type="http://schemas.openxmlformats.org/officeDocument/2006/relationships/footer" Target="footer2.xml"/><Relationship Id="rId41" Type="http://schemas.openxmlformats.org/officeDocument/2006/relationships/image" Target="media/image6.png"/><Relationship Id="rId54" Type="http://schemas.openxmlformats.org/officeDocument/2006/relationships/footer" Target="footer15.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jpg"/><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header" Target="header11.xml"/><Relationship Id="rId49" Type="http://schemas.openxmlformats.org/officeDocument/2006/relationships/header" Target="header13.xml"/><Relationship Id="rId57" Type="http://schemas.openxmlformats.org/officeDocument/2006/relationships/header" Target="header17.xml"/><Relationship Id="rId10" Type="http://schemas.openxmlformats.org/officeDocument/2006/relationships/settings" Target="settings.xml"/><Relationship Id="rId31" Type="http://schemas.openxmlformats.org/officeDocument/2006/relationships/footer" Target="footer7.xml"/><Relationship Id="rId44" Type="http://schemas.openxmlformats.org/officeDocument/2006/relationships/hyperlink" Target="https://www.education.govt.nz/ite-review" TargetMode="External"/><Relationship Id="rId52" Type="http://schemas.openxmlformats.org/officeDocument/2006/relationships/footer" Target="footer14.xml"/><Relationship Id="rId60" Type="http://schemas.openxmlformats.org/officeDocument/2006/relationships/header" Target="header18.xml"/><Relationship Id="rId65"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2.xml"/><Relationship Id="rId39" Type="http://schemas.openxmlformats.org/officeDocument/2006/relationships/header" Target="header12.xml"/></Relationships>
</file>

<file path=word/_rels/footer1.xml.rels><?xml version="1.0" encoding="UTF-8" standalone="yes"?>
<Relationships xmlns="http://schemas.openxmlformats.org/package/2006/relationships"><Relationship Id="rId1" Type="http://schemas.openxmlformats.org/officeDocument/2006/relationships/image" Target="media/image4.bin"/></Relationships>
</file>

<file path=word/_rels/footer4.xml.rels><?xml version="1.0" encoding="UTF-8" standalone="yes"?>
<Relationships xmlns="http://schemas.openxmlformats.org/package/2006/relationships"><Relationship Id="rId1" Type="http://schemas.openxmlformats.org/officeDocument/2006/relationships/image" Target="media/image4.bin"/></Relationships>
</file>

<file path=word/_rels/footer7.xml.rels><?xml version="1.0" encoding="UTF-8" standalone="yes"?>
<Relationships xmlns="http://schemas.openxmlformats.org/package/2006/relationships"><Relationship Id="rId1" Type="http://schemas.openxmlformats.org/officeDocument/2006/relationships/image" Target="media/image4.bin"/></Relationships>
</file>

<file path=word/_rels/footer8.xml.rels><?xml version="1.0" encoding="UTF-8" standalone="yes"?>
<Relationships xmlns="http://schemas.openxmlformats.org/package/2006/relationships"><Relationship Id="rId1" Type="http://schemas.openxmlformats.org/officeDocument/2006/relationships/image" Target="media/image5.png"/></Relationships>
</file>

<file path=word/_rels/footer9.xml.rels><?xml version="1.0" encoding="UTF-8" standalone="yes"?>
<Relationships xmlns="http://schemas.openxmlformats.org/package/2006/relationships"><Relationship Id="rId1" Type="http://schemas.openxmlformats.org/officeDocument/2006/relationships/image" Target="media/image5.png"/></Relationships>
</file>

<file path=word/_rels/footer11.xml.rels><?xml version="1.0" encoding="UTF-8" standalone="yes"?>
<Relationships xmlns="http://schemas.openxmlformats.org/package/2006/relationships"><Relationship Id="rId1" Type="http://schemas.openxmlformats.org/officeDocument/2006/relationships/image" Target="media/image5.png"/></Relationships>
</file>

<file path=word/_rels/footer14.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3" Type="http://schemas.openxmlformats.org/officeDocument/2006/relationships/hyperlink" Target="https://teachingcouncil.nz/en/for-teacher-education-providers/setting-up-an-ite-programme/ite-programme-requirements" TargetMode="External"/><Relationship Id="rId18" Type="http://schemas.openxmlformats.org/officeDocument/2006/relationships/hyperlink" Target="https://ao.parliament.nz/2024/educational-outcomes" TargetMode="External"/><Relationship Id="rId26" Type="http://schemas.openxmlformats.org/officeDocument/2006/relationships/hyperlink" Target="https://education.nsw.gov.au/content/dam/main-education/early-childhood-education/whats-happening-in-the-early-childhood-education-sector/media/documents/5854-Feel-Study-VFA4-Accessible.pdf" TargetMode="External"/><Relationship Id="rId39" Type="http://schemas.openxmlformats.org/officeDocument/2006/relationships/hyperlink" Target="https://www.gov.uk/government/publications/initial-teacher-training-criteria" TargetMode="External"/><Relationship Id="rId21" Type="http://schemas.openxmlformats.org/officeDocument/2006/relationships/hyperlink" Target="https://www.aeaweb.org/articles?id=10.1257/aer.100.2.267" TargetMode="External"/><Relationship Id="rId34" Type="http://schemas.openxmlformats.org/officeDocument/2006/relationships/hyperlink" Target="https://res.cloudinary.com/dwavcpl93/image/upload/s--L27rWv7t--/v1/extracted_pdfs_from_sspak/Tataiako-cultural-competencies-for-teachers-of-Maori-learners?_a=BAMAAAiu0" TargetMode="External"/><Relationship Id="rId42" Type="http://schemas.openxmlformats.org/officeDocument/2006/relationships/hyperlink" Target="https://research.acer.edu.au/teacher_education/1" TargetMode="External"/><Relationship Id="rId47" Type="http://schemas.openxmlformats.org/officeDocument/2006/relationships/hyperlink" Target="https://research.acer.edu.au/teacher_education/1" TargetMode="External"/><Relationship Id="rId50" Type="http://schemas.openxmlformats.org/officeDocument/2006/relationships/hyperlink" Target="https://doi.org/10.1037/0033-2909.134.1.31" TargetMode="External"/><Relationship Id="rId55" Type="http://schemas.openxmlformats.org/officeDocument/2006/relationships/hyperlink" Target="https://assets.publishing.service.gov.uk/media/661d24ac08c3be25cfbd3e61/Initial_Teacher_Training_and_Early_Career_Framework.pdf" TargetMode="External"/><Relationship Id="rId7" Type="http://schemas.openxmlformats.org/officeDocument/2006/relationships/hyperlink" Target="https://tewhariki.tahurangi.education.govt.nz/" TargetMode="External"/><Relationship Id="rId2" Type="http://schemas.openxmlformats.org/officeDocument/2006/relationships/hyperlink" Target="https://research.acer.edu.au/cgi/viewcontent.cgi?article=1003&amp;context=research_conference_2003" TargetMode="External"/><Relationship Id="rId16" Type="http://schemas.openxmlformats.org/officeDocument/2006/relationships/hyperlink" Target="https://www.education.gov.au/quality-initial-teacher-education-review/resources/strong-beginnings-report-teacher-education-expert-panel" TargetMode="External"/><Relationship Id="rId29" Type="http://schemas.openxmlformats.org/officeDocument/2006/relationships/hyperlink" Target="https://www.legislation.govt.nz/act/public/2020/38/en/latest/" TargetMode="External"/><Relationship Id="rId11" Type="http://schemas.openxmlformats.org/officeDocument/2006/relationships/hyperlink" Target="https://teachingcouncil.nz/en/for-teacher-education-providers/setting-up-an-ite-programme/ite-programme-review" TargetMode="External"/><Relationship Id="rId24" Type="http://schemas.openxmlformats.org/officeDocument/2006/relationships/hyperlink" Target="https://www.evidence.ero.govt.nz/media/s4hh1mg0/ready-set-teach-how-well-prepared-and-supported-are-new-teachers-report.pdf" TargetMode="External"/><Relationship Id="rId32" Type="http://schemas.openxmlformats.org/officeDocument/2006/relationships/hyperlink" Target="https://doi.org/10.18296/set.1545" TargetMode="External"/><Relationship Id="rId37" Type="http://schemas.openxmlformats.org/officeDocument/2006/relationships/hyperlink" Target="https://www.educationcounts.govt.nz/__data/assets/pdf_file/0006/250791/TALIS-2024-Findings-for-New-Zealand-1.pdf" TargetMode="External"/><Relationship Id="rId40" Type="http://schemas.openxmlformats.org/officeDocument/2006/relationships/hyperlink" Target="https://www.gov.wales/sites/default/files/publications/2023-05/for-ite-programmes-accredited-to-commence-from-1st-september-2024.pdf" TargetMode="External"/><Relationship Id="rId45" Type="http://schemas.openxmlformats.org/officeDocument/2006/relationships/hyperlink" Target="https://doi.org/10.1080/13540600802037777" TargetMode="External"/><Relationship Id="rId53" Type="http://schemas.openxmlformats.org/officeDocument/2006/relationships/hyperlink" Target="https://www.education.gov.au/quality-initial-teacher-education-review/resources/strong-beginnings-report-teacher-education-expert-panel" TargetMode="External"/><Relationship Id="rId58" Type="http://schemas.openxmlformats.org/officeDocument/2006/relationships/hyperlink" Target="https://teachingcouncil.nz/en/for-principals-and-leaders/employer-obligations/creating-an-induction-and-mentoring-programme" TargetMode="External"/><Relationship Id="rId5" Type="http://schemas.openxmlformats.org/officeDocument/2006/relationships/hyperlink" Target="https://teachingcouncil.nz/en/for-teacher-education-providers" TargetMode="External"/><Relationship Id="rId61" Type="http://schemas.openxmlformats.org/officeDocument/2006/relationships/hyperlink" Target="https://doi.org/10.1787/cf74e549-en" TargetMode="External"/><Relationship Id="rId19" Type="http://schemas.openxmlformats.org/officeDocument/2006/relationships/hyperlink" Target="https://web-assets.education.govt.nz/s3fs-public/2024-05/BN-1321550-Maori-education-overview.pdf" TargetMode="External"/><Relationship Id="rId14" Type="http://schemas.openxmlformats.org/officeDocument/2006/relationships/hyperlink" Target="https://www.openpolytechnic.ac.nz/about-us/news-publications-and-research/news/open-polytechnic-launches-new-initial-teacher-education-programmes/" TargetMode="External"/><Relationship Id="rId22" Type="http://schemas.openxmlformats.org/officeDocument/2006/relationships/hyperlink" Target="https://www.educationcounts.govt.nz/publications/series/2515/5959" TargetMode="External"/><Relationship Id="rId27" Type="http://schemas.openxmlformats.org/officeDocument/2006/relationships/hyperlink" Target="https://doi.org/10.1787/f5b82176-en" TargetMode="External"/><Relationship Id="rId30" Type="http://schemas.openxmlformats.org/officeDocument/2006/relationships/hyperlink" Target="https://www.education.govt.nz/our-work/overall-strategies-and-policies/ka-hikitia-ka-hapaitia" TargetMode="External"/><Relationship Id="rId35" Type="http://schemas.openxmlformats.org/officeDocument/2006/relationships/hyperlink" Target="https://www.whaikaha.govt.nz/assets/NZDS-26-30-Documents/NZDS-2026-2030.pdf" TargetMode="External"/><Relationship Id="rId43" Type="http://schemas.openxmlformats.org/officeDocument/2006/relationships/hyperlink" Target="https://doi.org/10.1111/j.1467-9620.2006.00692.x" TargetMode="External"/><Relationship Id="rId48" Type="http://schemas.openxmlformats.org/officeDocument/2006/relationships/hyperlink" Target="https://www.oecd.org/en/publications/what-difference-do-standards-make-to-educating-teachers_f1cb24d5-en.html" TargetMode="External"/><Relationship Id="rId56" Type="http://schemas.openxmlformats.org/officeDocument/2006/relationships/hyperlink" Target="https://www.aitsl.edu.au/docs/default-source/initial-teacher-education-resources/professional-experience-guidelines/australian-professional-experience-guidelines-2024_10_18.pdf" TargetMode="External"/><Relationship Id="rId8" Type="http://schemas.openxmlformats.org/officeDocument/2006/relationships/hyperlink" Target="https://newzealandcurriculum.tahurangi.education.govt.nz/new-zealand-curriculum/5637175326.p" TargetMode="External"/><Relationship Id="rId51" Type="http://schemas.openxmlformats.org/officeDocument/2006/relationships/hyperlink" Target="https://doi.org/10.1007/s10648-019-09465-5" TargetMode="External"/><Relationship Id="rId3" Type="http://schemas.openxmlformats.org/officeDocument/2006/relationships/hyperlink" Target="https://www.aeaweb.org/articles?id=10.1257/aer.100.2.267" TargetMode="External"/><Relationship Id="rId12" Type="http://schemas.openxmlformats.org/officeDocument/2006/relationships/hyperlink" Target="https://teachingcouncil.nz/en/for-teacher-education-providers/setting-up-an-ite-programme/your-role-as-an-ite-provider" TargetMode="External"/><Relationship Id="rId17" Type="http://schemas.openxmlformats.org/officeDocument/2006/relationships/hyperlink" Target="https://doi.org/10.1080/19404158.2020.1743730" TargetMode="External"/><Relationship Id="rId25" Type="http://schemas.openxmlformats.org/officeDocument/2006/relationships/hyperlink" Target="https://www.oecd.org/content/dam/oecd/en/publications/reports/2021/05/process-quality-curriculum-and-pedagogy-in-early-childhood-education-and-care_19220855/eba0711e-en.pdf" TargetMode="External"/><Relationship Id="rId33" Type="http://schemas.openxmlformats.org/officeDocument/2006/relationships/hyperlink" Target="https://ako.ac.nz/assets/Knowledge-centre/43792-Activating-Aotearoa-Histories/FULL-REPORT-Activating-Aotearoa-Histories.pdf" TargetMode="External"/><Relationship Id="rId38" Type="http://schemas.openxmlformats.org/officeDocument/2006/relationships/hyperlink" Target="https://www.edresearch.edu.au/research/research-reports/incorporating-evidence-based-teaching-practices-ite-commissioned-report" TargetMode="External"/><Relationship Id="rId46" Type="http://schemas.openxmlformats.org/officeDocument/2006/relationships/hyperlink" Target="https://acuityinsights.app/casper/" TargetMode="External"/><Relationship Id="rId59" Type="http://schemas.openxmlformats.org/officeDocument/2006/relationships/hyperlink" Target="https://www.nzcer.org.nz/sites/default/files/downloads/Supporting%20early%20career%20teachers%20and%20kaiako%20-%20Full%20Report.pdf" TargetMode="External"/><Relationship Id="rId20" Type="http://schemas.openxmlformats.org/officeDocument/2006/relationships/hyperlink" Target="https://research.acer.edu.au/cgi/viewcontent.cgi?article=1003&amp;context=research_conference_2003" TargetMode="External"/><Relationship Id="rId41" Type="http://schemas.openxmlformats.org/officeDocument/2006/relationships/hyperlink" Target="https://www.legislation.govt.nz/act/public/2020/38/en/latest/" TargetMode="External"/><Relationship Id="rId54" Type="http://schemas.openxmlformats.org/officeDocument/2006/relationships/hyperlink" Target="https://doi.org/10.1177/00224871221105814" TargetMode="External"/><Relationship Id="rId1" Type="http://schemas.openxmlformats.org/officeDocument/2006/relationships/hyperlink" Target="https://teachingcouncil.nz/en/for-teacher-education-providers" TargetMode="External"/><Relationship Id="rId6" Type="http://schemas.openxmlformats.org/officeDocument/2006/relationships/hyperlink" Target="https://teachingcouncil.nz/en/become-a-teacher/based-in-aotearoa-new-zealand/study-to-become-a-teacher" TargetMode="External"/><Relationship Id="rId15" Type="http://schemas.openxmlformats.org/officeDocument/2006/relationships/hyperlink" Target="https://workforce.education.govt.nz/becoming-teacher-new-zealand/pathways-becoming-teacher/work-school-while-you-study" TargetMode="External"/><Relationship Id="rId23" Type="http://schemas.openxmlformats.org/officeDocument/2006/relationships/hyperlink" Target="https://www.educationcounts.govt.nz/__data/assets/pdf_file/0006/250791/TALIS-2024-Findings-for-New-Zealand-1.pdf" TargetMode="External"/><Relationship Id="rId28" Type="http://schemas.openxmlformats.org/officeDocument/2006/relationships/hyperlink" Target="https://gazette.govt.nz/notice/id/2024-go6031" TargetMode="External"/><Relationship Id="rId36" Type="http://schemas.openxmlformats.org/officeDocument/2006/relationships/hyperlink" Target="https://res.cloudinary.com/dwavcpl93/image/upload/v1754005965/extracted_pdfs_from_sspak/Tapasa-Cultural-Competencies-Framework-for-Teachers-of-Pacific-Learners-2019.pdf" TargetMode="External"/><Relationship Id="rId49" Type="http://schemas.openxmlformats.org/officeDocument/2006/relationships/hyperlink" Target="https://www.evidence.ero.govt.nz/media/zzljbock/guide-for-ece-leaders-oral-language-development-in-the-early-years.pdf" TargetMode="External"/><Relationship Id="rId57" Type="http://schemas.openxmlformats.org/officeDocument/2006/relationships/hyperlink" Target="https://doi.org/10.4324/9780429318504" TargetMode="External"/><Relationship Id="rId10" Type="http://schemas.openxmlformats.org/officeDocument/2006/relationships/hyperlink" Target="https://teachingcouncil.nz/en/for-teacher-education-providers/setting-up-an-ite-programme/ite-programme-requirements" TargetMode="External"/><Relationship Id="rId31" Type="http://schemas.openxmlformats.org/officeDocument/2006/relationships/hyperlink" Target="https://doi.org/10.18296/set.0461" TargetMode="External"/><Relationship Id="rId44" Type="http://schemas.openxmlformats.org/officeDocument/2006/relationships/hyperlink" Target="https://doi.org/10.4324/9781032693798" TargetMode="External"/><Relationship Id="rId52" Type="http://schemas.openxmlformats.org/officeDocument/2006/relationships/hyperlink" Target="https://doi.org/10.1007/s10648-021-09595-9" TargetMode="External"/><Relationship Id="rId60" Type="http://schemas.openxmlformats.org/officeDocument/2006/relationships/hyperlink" Target="https://doi.org/10.3102/00028312041003681" TargetMode="External"/><Relationship Id="rId4" Type="http://schemas.openxmlformats.org/officeDocument/2006/relationships/hyperlink" Target="https://www.educationcounts.govt.nz/publications/series/2515/5959" TargetMode="External"/><Relationship Id="rId9" Type="http://schemas.openxmlformats.org/officeDocument/2006/relationships/hyperlink" Target="https://kauwhatareo.tahurangi.education.govt.nz/mi/kauwhata-reo/whata-marau/ng-marau/te-t-rewa-marautanga-o-aotearoa/5637154333.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Newth\AppData\Local\Temp\Templafy\WordVsto\Report%20(portrai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A3A97163934989B6037909F78EBE39"/>
        <w:category>
          <w:name w:val="General"/>
          <w:gallery w:val="placeholder"/>
        </w:category>
        <w:types>
          <w:type w:val="bbPlcHdr"/>
        </w:types>
        <w:behaviors>
          <w:behavior w:val="content"/>
        </w:behaviors>
        <w:guid w:val="{9142DF1B-26B6-4CD9-AD45-A58807FC0512}"/>
      </w:docPartPr>
      <w:docPartBody>
        <w:p w:rsidR="00BF4DA6" w:rsidRDefault="00A7770D">
          <w:pPr>
            <w:pStyle w:val="A2A3A97163934989B6037909F78EBE39"/>
          </w:pPr>
          <w:r w:rsidRPr="000173A1">
            <w:rPr>
              <w:rStyle w:val="PlaceholderText"/>
            </w:rPr>
            <w:t>Click or tap here to enter text.</w:t>
          </w:r>
        </w:p>
      </w:docPartBody>
    </w:docPart>
    <w:docPart>
      <w:docPartPr>
        <w:name w:val="CCD0A04523B641D0AACABDA6B50FDA8A"/>
        <w:category>
          <w:name w:val="General"/>
          <w:gallery w:val="placeholder"/>
        </w:category>
        <w:types>
          <w:type w:val="bbPlcHdr"/>
        </w:types>
        <w:behaviors>
          <w:behavior w:val="content"/>
        </w:behaviors>
        <w:guid w:val="{A737B338-208E-4DFE-9FB7-0EFC9A70E8AD}"/>
      </w:docPartPr>
      <w:docPartBody>
        <w:p w:rsidR="00BF4DA6" w:rsidRDefault="00A7770D">
          <w:pPr>
            <w:pStyle w:val="CCD0A04523B641D0AACABDA6B50FDA8A"/>
          </w:pPr>
          <w:r w:rsidRPr="00BB70C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ra Pro">
    <w:altName w:val="Calibri"/>
    <w:panose1 w:val="00000500000000000000"/>
    <w:charset w:val="00"/>
    <w:family w:val="modern"/>
    <w:notTrueType/>
    <w:pitch w:val="variable"/>
    <w:sig w:usb0="00000287" w:usb1="00000001" w:usb2="00000000" w:usb3="00000000" w:csb0="0000009F" w:csb1="00000000"/>
  </w:font>
  <w:font w:name="Arial">
    <w:panose1 w:val="020B0604020202020204"/>
    <w:charset w:val="00"/>
    <w:family w:val="swiss"/>
    <w:pitch w:val="variable"/>
    <w:sig w:usb0="E0002EFF" w:usb1="C000785B" w:usb2="00000009" w:usb3="00000000" w:csb0="000001FF" w:csb1="00000000"/>
  </w:font>
  <w:font w:name="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F65"/>
    <w:rsid w:val="00003EB2"/>
    <w:rsid w:val="000070F0"/>
    <w:rsid w:val="0000776B"/>
    <w:rsid w:val="00024F65"/>
    <w:rsid w:val="00025CF2"/>
    <w:rsid w:val="000416D2"/>
    <w:rsid w:val="00063B61"/>
    <w:rsid w:val="00086D0B"/>
    <w:rsid w:val="0009126D"/>
    <w:rsid w:val="000B05A3"/>
    <w:rsid w:val="000B5F18"/>
    <w:rsid w:val="000D46FA"/>
    <w:rsid w:val="00161047"/>
    <w:rsid w:val="00176ACA"/>
    <w:rsid w:val="001A38A0"/>
    <w:rsid w:val="001B3520"/>
    <w:rsid w:val="00227526"/>
    <w:rsid w:val="00232A9E"/>
    <w:rsid w:val="00243073"/>
    <w:rsid w:val="00264D10"/>
    <w:rsid w:val="00280D9B"/>
    <w:rsid w:val="002A42B6"/>
    <w:rsid w:val="002A5F8B"/>
    <w:rsid w:val="002D7C09"/>
    <w:rsid w:val="002F023D"/>
    <w:rsid w:val="00302083"/>
    <w:rsid w:val="00335198"/>
    <w:rsid w:val="00377B56"/>
    <w:rsid w:val="00377B6B"/>
    <w:rsid w:val="0039410A"/>
    <w:rsid w:val="003962D1"/>
    <w:rsid w:val="003A0567"/>
    <w:rsid w:val="003B235C"/>
    <w:rsid w:val="003D1F09"/>
    <w:rsid w:val="003F5424"/>
    <w:rsid w:val="0040262F"/>
    <w:rsid w:val="00422582"/>
    <w:rsid w:val="00490A38"/>
    <w:rsid w:val="00496319"/>
    <w:rsid w:val="004B403A"/>
    <w:rsid w:val="004C3DBE"/>
    <w:rsid w:val="004D2A9E"/>
    <w:rsid w:val="00520463"/>
    <w:rsid w:val="005271AA"/>
    <w:rsid w:val="0052759B"/>
    <w:rsid w:val="005361D6"/>
    <w:rsid w:val="0053740C"/>
    <w:rsid w:val="00547BE6"/>
    <w:rsid w:val="0055546E"/>
    <w:rsid w:val="0056388D"/>
    <w:rsid w:val="0058099E"/>
    <w:rsid w:val="005A76D3"/>
    <w:rsid w:val="005B6C6E"/>
    <w:rsid w:val="005D125D"/>
    <w:rsid w:val="005D7E83"/>
    <w:rsid w:val="006312BD"/>
    <w:rsid w:val="006379CF"/>
    <w:rsid w:val="00667764"/>
    <w:rsid w:val="006679A6"/>
    <w:rsid w:val="0067529A"/>
    <w:rsid w:val="006828E2"/>
    <w:rsid w:val="00685233"/>
    <w:rsid w:val="00685DF2"/>
    <w:rsid w:val="0069219B"/>
    <w:rsid w:val="006A7182"/>
    <w:rsid w:val="006B2772"/>
    <w:rsid w:val="006B7C02"/>
    <w:rsid w:val="006C5EEC"/>
    <w:rsid w:val="006E0544"/>
    <w:rsid w:val="00724837"/>
    <w:rsid w:val="00725457"/>
    <w:rsid w:val="0075340E"/>
    <w:rsid w:val="00781FAA"/>
    <w:rsid w:val="007A1793"/>
    <w:rsid w:val="007B5F2F"/>
    <w:rsid w:val="007C28C8"/>
    <w:rsid w:val="007D7D0D"/>
    <w:rsid w:val="007F0D70"/>
    <w:rsid w:val="00800C2F"/>
    <w:rsid w:val="00806336"/>
    <w:rsid w:val="00816E61"/>
    <w:rsid w:val="00822B6F"/>
    <w:rsid w:val="00823B38"/>
    <w:rsid w:val="00840C7F"/>
    <w:rsid w:val="0085471A"/>
    <w:rsid w:val="008A426C"/>
    <w:rsid w:val="008C4C21"/>
    <w:rsid w:val="00927516"/>
    <w:rsid w:val="00976DB4"/>
    <w:rsid w:val="009821C2"/>
    <w:rsid w:val="009B2C88"/>
    <w:rsid w:val="009D17D9"/>
    <w:rsid w:val="009D729B"/>
    <w:rsid w:val="009E1411"/>
    <w:rsid w:val="009E415D"/>
    <w:rsid w:val="009F28EC"/>
    <w:rsid w:val="00A33832"/>
    <w:rsid w:val="00A669E6"/>
    <w:rsid w:val="00A7770D"/>
    <w:rsid w:val="00A94C77"/>
    <w:rsid w:val="00AA2FD7"/>
    <w:rsid w:val="00AC1171"/>
    <w:rsid w:val="00AC3E44"/>
    <w:rsid w:val="00AC5248"/>
    <w:rsid w:val="00AD0B42"/>
    <w:rsid w:val="00B254F2"/>
    <w:rsid w:val="00B32BDD"/>
    <w:rsid w:val="00B32E53"/>
    <w:rsid w:val="00B3463D"/>
    <w:rsid w:val="00B77552"/>
    <w:rsid w:val="00B91E2F"/>
    <w:rsid w:val="00B9493F"/>
    <w:rsid w:val="00BF4DA6"/>
    <w:rsid w:val="00C07A6B"/>
    <w:rsid w:val="00C133AD"/>
    <w:rsid w:val="00C420F1"/>
    <w:rsid w:val="00C51A8F"/>
    <w:rsid w:val="00C55FB1"/>
    <w:rsid w:val="00C73DB9"/>
    <w:rsid w:val="00C96CBB"/>
    <w:rsid w:val="00CB06B1"/>
    <w:rsid w:val="00CB14CF"/>
    <w:rsid w:val="00CC4205"/>
    <w:rsid w:val="00CF6442"/>
    <w:rsid w:val="00D439C2"/>
    <w:rsid w:val="00D72394"/>
    <w:rsid w:val="00D76493"/>
    <w:rsid w:val="00D94363"/>
    <w:rsid w:val="00DA5778"/>
    <w:rsid w:val="00DB08FA"/>
    <w:rsid w:val="00DB687A"/>
    <w:rsid w:val="00DC15F8"/>
    <w:rsid w:val="00DD1D76"/>
    <w:rsid w:val="00E55E5E"/>
    <w:rsid w:val="00E65089"/>
    <w:rsid w:val="00E740FE"/>
    <w:rsid w:val="00EA3384"/>
    <w:rsid w:val="00EA343B"/>
    <w:rsid w:val="00EC1713"/>
    <w:rsid w:val="00EE45A1"/>
    <w:rsid w:val="00EF2D1B"/>
    <w:rsid w:val="00EF786C"/>
    <w:rsid w:val="00F225D4"/>
    <w:rsid w:val="00F40F6E"/>
    <w:rsid w:val="00F4657D"/>
    <w:rsid w:val="00F52DFA"/>
    <w:rsid w:val="00F57478"/>
    <w:rsid w:val="00F80849"/>
    <w:rsid w:val="00F96483"/>
    <w:rsid w:val="00FA2947"/>
    <w:rsid w:val="00FA2D44"/>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pPr>
      <w:keepNext/>
      <w:keepLines/>
      <w:pageBreakBefore/>
      <w:spacing w:after="340" w:line="300" w:lineRule="atLeast"/>
      <w:ind w:right="851"/>
      <w:outlineLvl w:val="0"/>
    </w:pPr>
    <w:rPr>
      <w:rFonts w:ascii="Cera Pro" w:eastAsiaTheme="majorEastAsia" w:hAnsi="Cera Pro" w:cstheme="majorBidi"/>
      <w:b/>
      <w:kern w:val="0"/>
      <w:sz w:val="48"/>
      <w:szCs w:val="32"/>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2A3A97163934989B6037909F78EBE39">
    <w:name w:val="A2A3A97163934989B6037909F78EBE39"/>
  </w:style>
  <w:style w:type="character" w:customStyle="1" w:styleId="Heading1Char">
    <w:name w:val="Heading 1 Char"/>
    <w:basedOn w:val="DefaultParagraphFont"/>
    <w:link w:val="Heading1"/>
    <w:uiPriority w:val="1"/>
    <w:rPr>
      <w:rFonts w:ascii="Cera Pro" w:eastAsiaTheme="majorEastAsia" w:hAnsi="Cera Pro" w:cstheme="majorBidi"/>
      <w:b/>
      <w:kern w:val="0"/>
      <w:sz w:val="48"/>
      <w:szCs w:val="32"/>
      <w:lang w:eastAsia="en-US"/>
      <w14:ligatures w14:val="none"/>
    </w:rPr>
  </w:style>
  <w:style w:type="paragraph" w:customStyle="1" w:styleId="CCD0A04523B641D0AACABDA6B50FDA8A">
    <w:name w:val="CCD0A04523B641D0AACABDA6B50FDA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J 2013 Theme">
  <a:themeElements>
    <a:clrScheme name="Mj New">
      <a:dk1>
        <a:sysClr val="windowText" lastClr="000000"/>
      </a:dk1>
      <a:lt1>
        <a:sysClr val="window" lastClr="FFFFFF"/>
      </a:lt1>
      <a:dk2>
        <a:srgbClr val="333F48"/>
      </a:dk2>
      <a:lt2>
        <a:srgbClr val="E7E6E6"/>
      </a:lt2>
      <a:accent1>
        <a:srgbClr val="436E73"/>
      </a:accent1>
      <a:accent2>
        <a:srgbClr val="549D9E"/>
      </a:accent2>
      <a:accent3>
        <a:srgbClr val="A49E9B"/>
      </a:accent3>
      <a:accent4>
        <a:srgbClr val="C97378"/>
      </a:accent4>
      <a:accent5>
        <a:srgbClr val="A6154B"/>
      </a:accent5>
      <a:accent6>
        <a:srgbClr val="6D2A4A"/>
      </a:accent6>
      <a:hlink>
        <a:srgbClr val="64CCC9"/>
      </a:hlink>
      <a:folHlink>
        <a:srgbClr val="549D9E"/>
      </a:folHlink>
    </a:clrScheme>
    <a:fontScheme name="MJ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TemplafyFormConfiguration><![CDATA[{"formFields":[{"spacing":{"after":"medium"},"type":"instructions","name":"Instruction","label":"Optional fields will be permanently removed from the template if left blank. Please enter placeholder text (‘TBC’ will work) if you need the field left in but aren’t sure yet what to include."},{"required":true,"placeholder":"","lines":1,"shareValue":true,"type":"textBox","name":"ReportTitle","label":"Report title"},{"required":false,"placeholder":"","lines":1,"shareValue":true,"type":"textBox","name":"ReportSubtitle","label":"Report subtitle"},{"required":true,"shareValue":true,"type":"datePicker","name":"Date","label":"Report date"},{"distinct":false,"hideIfNoUserInteractionRequired":false,"required":true,"autoSelectFirstOption":false,"shareValue":true,"type":"dropDown","dataSourceName":"DocType","dataSourceFieldName":"Name","name":"DocType","label":"Document type"},{"distinct":false,"hideIfNoUserInteractionRequired":false,"required":true,"autoSelectFirstOption":false,"shareValue":true,"type":"dropDown","dataSourceName":"ReportCover","dataSourceFieldName":"Description","name":"Cover","label":"Cover image"},{"distinct":false,"hideIfNoUserInteractionRequired":false,"required":true,"autoSelectFirstOption":false,"shareValue":false,"type":"dropDown","dataSourceName":"BackCover","dataSourceFieldName":"Name","name":"BackCover","label":"Back cover"},{"required":false,"placeholder":"","lines":1,"defaultValue":"Commercial in Confidence","shareValue":true,"type":"textBox","name":"Footer","label":"Footer"},{"type":"textElementPlaceholder","name":"TextElement1","label":"Cover"},{"type":"textElementPlaceholder","name":"TextElement2","label":"Back Cover"}],"formDataEntries":[{"name":"ReportTitle","value":"aAptkRtCO5xV5g1a933/s8KO2gfFHrvrzEh3fgDLvkRhCM4bPczXZLm2oBbnsOAq/Q/b4iUsjHa51w2cBbEsJA=="},{"name":"Date","value":"BHRSc1t/WjHkD7ZdFfW7eg=="},{"name":"DocType","value":"ZyuMrApS2cfcgLgXobwAvWRd03TeSJ8dnAPY4M7qsvw="},{"name":"Cover","value":"44of2hclTRqje5LXvHp6EVHjBVhJquWUs/+FO4hyIj0="},{"name":"BackCover","value":"h9bZT0iXZuXsmLPFzUeqcD5lqnt9hIf5q0yx+5gljy4="},{"name":"Footer","value":"NmuW8WynzGMD8R2EM/wE2BFSBmpT4Te/1+zczpjcpy8="}]}]]></TemplafyFormConfiguration>
</file>

<file path=customXml/item3.xml><?xml version="1.0" encoding="utf-8"?>
<ct:contentTypeSchema xmlns:ct="http://schemas.microsoft.com/office/2006/metadata/contentType" xmlns:ma="http://schemas.microsoft.com/office/2006/metadata/properties/metaAttributes" ct:_="" ma:_="" ma:contentTypeName="Document" ma:contentTypeID="0x0101002B807146AA4D3844A415C28F3C621106" ma:contentTypeVersion="14" ma:contentTypeDescription="Create a new document." ma:contentTypeScope="" ma:versionID="4a700a37f777e19701abcd261c21a9f6">
  <xsd:schema xmlns:xsd="http://www.w3.org/2001/XMLSchema" xmlns:xs="http://www.w3.org/2001/XMLSchema" xmlns:p="http://schemas.microsoft.com/office/2006/metadata/properties" xmlns:ns2="1445024f-ac37-4d6a-b745-f714d9cec024" xmlns:ns3="ff764b8c-a764-439b-92c3-32d5a1cf5f6d" targetNamespace="http://schemas.microsoft.com/office/2006/metadata/properties" ma:root="true" ma:fieldsID="fce98e5fe711c829805aaecb9a36dd83" ns2:_="" ns3:_="">
    <xsd:import namespace="1445024f-ac37-4d6a-b745-f714d9cec024"/>
    <xsd:import namespace="ff764b8c-a764-439b-92c3-32d5a1cf5f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45024f-ac37-4d6a-b745-f714d9cec0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f09a306-d64c-4941-b091-ffdf9c9a5d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764b8c-a764-439b-92c3-32d5a1cf5f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4f8fb1-f854-408e-853b-23e67f155e03}" ma:internalName="TaxCatchAll" ma:showField="CatchAllData" ma:web="ff764b8c-a764-439b-92c3-32d5a1cf5f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ff764b8c-a764-439b-92c3-32d5a1cf5f6d">
      <Value>16</Value>
      <Value>1</Value>
    </TaxCatchAll>
    <lcf76f155ced4ddcb4097134ff3c332f xmlns="1445024f-ac37-4d6a-b745-f714d9cec024">
      <Terms xmlns="http://schemas.microsoft.com/office/infopath/2007/PartnerControls"/>
    </lcf76f155ced4ddcb4097134ff3c332f>
  </documentManagement>
</p:properties>
</file>

<file path=customXml/item6.xml><?xml version="1.0" encoding="utf-8"?>
<TemplafyTemplateConfiguration><![CDATA[{"elementsMetadata":[{"elementConfiguration":{"assetId":"{{Form.Cover.CoverPortrait}}","textElementPlaceholderName":"TextElement1","replaceOnUpdate":true,"type":"textElement"},"type":"richTextContentControl","id":"65d751f8-e13a-4a4b-9d59-87184e74ce0b"},{"elementConfiguration":{"assetId":"{{Form.BackCover.Cover}}","textElementPlaceholderName":"TextElement2","replaceOnUpdate":true,"type":"textElement"},"type":"richTextContentControl","id":"6ddd0762-bde4-4349-8dbc-82f9cac3a21a"},{"type":"pictureContentControl","id":"aa93c644-53b5-479f-9f4f-2043d18264fc","elementConfiguration":{"height":"1 cm","image":"{{DataSources.Logos[\"Footer Icon\"].Image}}","removeAndKeepContent":false,"disableUpdates":false,"type":"image"}},{"elementConfiguration":{"binding":"{{Form.Footer}}","removeAndKeepContent":false,"disableUpdates":false,"type":"text"},"type":"richTextContentControl","id":"b7340c8b-604f-4e12-8daf-ccf33730eeef"},{"type":"pictureContentControl","id":"16dfd8b3-68a8-4d76-9b9f-0c6d665375ea","elementConfiguration":{"height":"1 cm","image":"{{DataSources.Logos[\"Footer Icon\"].Image}}","removeAndKeepContent":false,"disableUpdates":false,"type":"image"}},{"elementConfiguration":{"binding":"{{Form.Footer}}","removeAndKeepContent":false,"disableUpdates":false,"type":"text"},"type":"richTextContentControl","id":"798fdb6e-2df3-4a53-ba6e-47e14520c7e9"},{"type":"pictureContentControl","id":"4fe288b1-d25f-40f6-bcaf-76fe4d9e36dc","elementConfiguration":{"height":"1 cm","image":"{{DataSources.Logos[\"Footer Icon\"].Image}}","removeAndKeepContent":false,"disableUpdates":false,"type":"image"}},{"elementConfiguration":{"binding":"{{Form.Footer}}","removeAndKeepContent":false,"disableUpdates":false,"type":"text"},"type":"richTextContentControl","id":"ad91809a-44fa-4e79-96ed-ae4ea506e4c8"}],"transformationConfigurations":[],"templateName":"Report (portrait)","templateDescription":"","enableDocumentContentUpdater":true,"version":"2.0"}]]></TemplafyTemplateConfiguration>
</file>

<file path=customXml/item7.xml><?xml version="1.0" encoding="utf-8"?>
<TemplafyTextElementConfigurations xmlns:xsd="http://www.w3.org/2001/XMLSchema" xmlns:xsi="http://www.w3.org/2001/XMLSchema-instance">
  <TextElement ElementMetadataLinkId="65d751f8-e13a-4a4b-9d59-87184e74ce0b" TemplateId="637976779347811613">
    <TemplateConfiguration>{"elementsMetadata":[{"elementConfiguration":{"binding":"{{Form.ReportTitle}}","removeAndKeepContent":false,"disableUpdates":false,"type":"text"},"type":"richTextContentControl","id":"28974119-7c28-4daf-9333-6def4d213aac"},{"elementConfiguration":{"binding":"{{Form.ReportTitle}}","removeAndKeepContent":false,"disableUpdates":false,"type":"text"},"type":"richTextContentControl","id":"d5038ee1-3d64-4b8e-9dfd-95d67abf0102"},{"elementConfiguration":{"binding":"{{Form.ReportSubtitle}}","visibility":"{{IfElse(Equals(Form.ReportSubtitle, \"\"), VisibilityType.Hidden, VisibilityType.Visible)}}","removeAndKeepContent":false,"disableUpdates":false,"type":"text"},"type":"richTextContentControl","id":"dc17c8f5-e5f5-4ffc-9d3b-131a26105ac0"},{"elementConfiguration":{"binding":"{{Form.DocType.Name}}","removeAndKeepContent":false,"disableUpdates":false,"type":"text"},"type":"richTextContentControl","id":"3f5c2785-f19b-4dab-8d04-5efbeebc394f"},{"elementConfiguration":{"binding":"{{FormatDateTime(Form.Date, \"dd MMMM yyyy\", \"en-NZ\")}}","removeAndKeepContent":false,"disableUpdates":false,"type":"text"},"type":"richTextContentControl","id":"de39c528-9c00-4439-b31d-724eb56d54ee"},{"elementConfiguration":{"binding":"{{Form.Footer}}","visibility":"{{IfElse(Equals(Form.Footer, \"\"), VisibilityType.Hidden, VisibilityType.Visible)}}","removeAndKeepContent":false,"disableUpdates":false,"type":"text"},"type":"richTextContentControl","id":"fb2fff8d-6ec5-4a9c-8e76-3466fb3b8e6e"},{"elementConfiguration":{"binding":"{{Form.ReportSubtitle}}","visibility":"{{IfElse(Equals(Form.ReportSubtitle, \"\"), VisibilityType.Hidden, VisibilityType.Visible)}}","removeAndKeepContent":false,"disableUpdates":false,"type":"text"},"type":"richTextContentControl","id":"009756c8-2343-4031-b2b5-de7debe4a9e9"},{"elementConfiguration":{"binding":"{{Form.DocType.Name}}","removeAndKeepContent":false,"disableUpdates":false,"type":"text"},"type":"richTextContentControl","id":"67bb6fec-f538-4d65-ada3-870158579379"},{"elementConfiguration":{"binding":"{{FormatDateTime(Form.Date, \"dd MMMM yyyy\", \"en-NZ\")}}","removeAndKeepContent":false,"disableUpdates":false,"type":"text"},"type":"richTextContentControl","id":"69ef8c2b-48ba-43b6-9221-7f4702c911f0"},{"elementConfiguration":{"binding":"{{Form.Footer}}","visibility":"{{IfElse(Equals(Form.Footer, \"\"), VisibilityType.Hidden, VisibilityType.Visible)}}","removeAndKeepContent":false,"disableUpdates":false,"type":"text"},"type":"richTextContentControl","id":"07fdc5e7-3fde-4aa9-ba5e-e555ee506e32"}],"transformationConfigurations":[],"enableDocumentContentUpdater":true,"version":"2.0"}</TemplateConfiguration>
    <FormConfiguration>{"formFields":[{"required":true,"placeholder":"","lines":1,"shareValue":true,"type":"textBox","name":"ReportTitle","label":"Report title"},{"required":false,"placeholder":"","lines":1,"shareValue":true,"type":"textBox","name":"ReportSubtitle","label":"Report subtitle"},{"required":true,"shareValue":true,"type":"datePicker","name":"Date","label":"Date"},{"distinct":false,"hideIfNoUserInteractionRequired":false,"required":true,"autoSelectFirstOption":false,"shareValue":true,"type":"dropDown","dataSourceName":"DocType","dataSourceFieldName":"Name","name":"DocType","label":"Document type"},{"required":false,"placeholder":"","lines":1,"defaultValue":"Commercial in Confidence","shareValue":true,"type":"textBox","name":"Footer","label":"Footer"}],"formDataEntries":[{"name":"ReportTitle","value":"aAptkRtCO5xV5g1a933/s8KO2gfFHrvrzEh3fgDLvkRhCM4bPczXZLm2oBbnsOAq/Q/b4iUsjHa51w2cBbEsJA=="},{"name":"Date","value":"BHRSc1t/WjHkD7ZdFfW7eg=="},{"name":"DocType","value":"ZyuMrApS2cfcgLgXobwAvWRd03TeSJ8dnAPY4M7qsvw="},{"name":"Footer","value":"NmuW8WynzGMD8R2EM/wE2BFSBmpT4Te/1+zczpjcpy8="}]}</FormConfiguration>
  </TextElement>
  <TextElement ElementMetadataLinkId="6ddd0762-bde4-4349-8dbc-82f9cac3a21a" TemplateId="637980978331727230">
    <TemplateConfiguration>{"elementsMetadata":[],"transformationConfigurations":[],"enableDocumentContentUpdater":true,"version":"2.0"}</TemplateConfiguration>
    <FormConfiguration>{"formFields":[],"formDataEntries":[]}</FormConfiguration>
  </TextElement>
</TemplafyTextElementConfigurations>
</file>

<file path=customXml/itemProps1.xml><?xml version="1.0" encoding="utf-8"?>
<ds:datastoreItem xmlns:ds="http://schemas.openxmlformats.org/officeDocument/2006/customXml" ds:itemID="{AA59EC91-0375-4AB5-AC9A-5F9074FE847D}">
  <ds:schemaRefs>
    <ds:schemaRef ds:uri="http://schemas.microsoft.com/sharepoint/v3/contenttype/forms"/>
  </ds:schemaRefs>
</ds:datastoreItem>
</file>

<file path=customXml/itemProps2.xml><?xml version="1.0" encoding="utf-8"?>
<ds:datastoreItem xmlns:ds="http://schemas.openxmlformats.org/officeDocument/2006/customXml" ds:itemID="{F0466585-8B80-4291-8456-72D29E433C5E}">
  <ds:schemaRefs/>
</ds:datastoreItem>
</file>

<file path=customXml/itemProps3.xml><?xml version="1.0" encoding="utf-8"?>
<ds:datastoreItem xmlns:ds="http://schemas.openxmlformats.org/officeDocument/2006/customXml" ds:itemID="{4782AF0D-8646-49DF-B113-51767545F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45024f-ac37-4d6a-b745-f714d9cec024"/>
    <ds:schemaRef ds:uri="ff764b8c-a764-439b-92c3-32d5a1cf5f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1668D4-F481-4673-9E69-CA4EED4D6D02}">
  <ds:schemaRefs>
    <ds:schemaRef ds:uri="http://schemas.openxmlformats.org/officeDocument/2006/bibliography"/>
  </ds:schemaRefs>
</ds:datastoreItem>
</file>

<file path=customXml/itemProps5.xml><?xml version="1.0" encoding="utf-8"?>
<ds:datastoreItem xmlns:ds="http://schemas.openxmlformats.org/officeDocument/2006/customXml" ds:itemID="{9294C92C-9AEC-4172-B915-3C7B0746654C}">
  <ds:schemaRefs>
    <ds:schemaRef ds:uri="http://schemas.microsoft.com/office/2006/metadata/properties"/>
    <ds:schemaRef ds:uri="http://schemas.microsoft.com/office/infopath/2007/PartnerControls"/>
    <ds:schemaRef ds:uri="ff764b8c-a764-439b-92c3-32d5a1cf5f6d"/>
    <ds:schemaRef ds:uri="1445024f-ac37-4d6a-b745-f714d9cec024"/>
  </ds:schemaRefs>
</ds:datastoreItem>
</file>

<file path=customXml/itemProps6.xml><?xml version="1.0" encoding="utf-8"?>
<ds:datastoreItem xmlns:ds="http://schemas.openxmlformats.org/officeDocument/2006/customXml" ds:itemID="{85E1F847-454B-4FDA-AC4F-C390C82CCACD}">
  <ds:schemaRefs/>
</ds:datastoreItem>
</file>

<file path=customXml/itemProps7.xml><?xml version="1.0" encoding="utf-8"?>
<ds:datastoreItem xmlns:ds="http://schemas.openxmlformats.org/officeDocument/2006/customXml" ds:itemID="{7BB91636-A9F7-48AC-9C11-1E5ADD32956E}">
  <ds:schemaRefs>
    <ds:schemaRef ds:uri="http://www.w3.org/2001/XMLSchema"/>
  </ds:schemaRefs>
</ds:datastoreItem>
</file>

<file path=docMetadata/LabelInfo.xml><?xml version="1.0" encoding="utf-8"?>
<clbl:labelList xmlns:clbl="http://schemas.microsoft.com/office/2020/mipLabelMetadata">
  <clbl:label id="{a30ee736-9350-4b29-845a-c3944302326f}" enabled="1" method="Standard" siteId="{ed6fb0f7-ec68-46f1-b035-fe5de3a02568}" removed="0"/>
</clbl:labelList>
</file>

<file path=docProps/app.xml><?xml version="1.0" encoding="utf-8"?>
<Properties xmlns="http://schemas.openxmlformats.org/officeDocument/2006/extended-properties" xmlns:vt="http://schemas.openxmlformats.org/officeDocument/2006/docPropsVTypes">
  <Template>Report (portrait)</Template>
  <TotalTime>30</TotalTime>
  <Pages>91</Pages>
  <Words>29708</Words>
  <Characters>169336</Characters>
  <Application>Microsoft Office Word</Application>
  <DocSecurity>0</DocSecurity>
  <Lines>1411</Lines>
  <Paragraphs>397</Paragraphs>
  <ScaleCrop>false</ScaleCrop>
  <Company/>
  <LinksUpToDate>false</LinksUpToDate>
  <CharactersWithSpaces>198647</CharactersWithSpaces>
  <SharedDoc>false</SharedDoc>
  <HLinks>
    <vt:vector size="642" baseType="variant">
      <vt:variant>
        <vt:i4>1245238</vt:i4>
      </vt:variant>
      <vt:variant>
        <vt:i4>278</vt:i4>
      </vt:variant>
      <vt:variant>
        <vt:i4>0</vt:i4>
      </vt:variant>
      <vt:variant>
        <vt:i4>5</vt:i4>
      </vt:variant>
      <vt:variant>
        <vt:lpwstr/>
      </vt:variant>
      <vt:variant>
        <vt:lpwstr>_Toc240542074</vt:lpwstr>
      </vt:variant>
      <vt:variant>
        <vt:i4>1245238</vt:i4>
      </vt:variant>
      <vt:variant>
        <vt:i4>272</vt:i4>
      </vt:variant>
      <vt:variant>
        <vt:i4>0</vt:i4>
      </vt:variant>
      <vt:variant>
        <vt:i4>5</vt:i4>
      </vt:variant>
      <vt:variant>
        <vt:lpwstr/>
      </vt:variant>
      <vt:variant>
        <vt:lpwstr>_Toc240542073</vt:lpwstr>
      </vt:variant>
      <vt:variant>
        <vt:i4>1179702</vt:i4>
      </vt:variant>
      <vt:variant>
        <vt:i4>263</vt:i4>
      </vt:variant>
      <vt:variant>
        <vt:i4>0</vt:i4>
      </vt:variant>
      <vt:variant>
        <vt:i4>5</vt:i4>
      </vt:variant>
      <vt:variant>
        <vt:lpwstr/>
      </vt:variant>
      <vt:variant>
        <vt:lpwstr>_Toc240542065</vt:lpwstr>
      </vt:variant>
      <vt:variant>
        <vt:i4>1179702</vt:i4>
      </vt:variant>
      <vt:variant>
        <vt:i4>257</vt:i4>
      </vt:variant>
      <vt:variant>
        <vt:i4>0</vt:i4>
      </vt:variant>
      <vt:variant>
        <vt:i4>5</vt:i4>
      </vt:variant>
      <vt:variant>
        <vt:lpwstr/>
      </vt:variant>
      <vt:variant>
        <vt:lpwstr>_Toc240542064</vt:lpwstr>
      </vt:variant>
      <vt:variant>
        <vt:i4>1179702</vt:i4>
      </vt:variant>
      <vt:variant>
        <vt:i4>251</vt:i4>
      </vt:variant>
      <vt:variant>
        <vt:i4>0</vt:i4>
      </vt:variant>
      <vt:variant>
        <vt:i4>5</vt:i4>
      </vt:variant>
      <vt:variant>
        <vt:lpwstr/>
      </vt:variant>
      <vt:variant>
        <vt:lpwstr>_Toc240542063</vt:lpwstr>
      </vt:variant>
      <vt:variant>
        <vt:i4>1179702</vt:i4>
      </vt:variant>
      <vt:variant>
        <vt:i4>245</vt:i4>
      </vt:variant>
      <vt:variant>
        <vt:i4>0</vt:i4>
      </vt:variant>
      <vt:variant>
        <vt:i4>5</vt:i4>
      </vt:variant>
      <vt:variant>
        <vt:lpwstr/>
      </vt:variant>
      <vt:variant>
        <vt:lpwstr>_Toc240542062</vt:lpwstr>
      </vt:variant>
      <vt:variant>
        <vt:i4>1179702</vt:i4>
      </vt:variant>
      <vt:variant>
        <vt:i4>236</vt:i4>
      </vt:variant>
      <vt:variant>
        <vt:i4>0</vt:i4>
      </vt:variant>
      <vt:variant>
        <vt:i4>5</vt:i4>
      </vt:variant>
      <vt:variant>
        <vt:lpwstr/>
      </vt:variant>
      <vt:variant>
        <vt:lpwstr>_Toc240542061</vt:lpwstr>
      </vt:variant>
      <vt:variant>
        <vt:i4>1179702</vt:i4>
      </vt:variant>
      <vt:variant>
        <vt:i4>230</vt:i4>
      </vt:variant>
      <vt:variant>
        <vt:i4>0</vt:i4>
      </vt:variant>
      <vt:variant>
        <vt:i4>5</vt:i4>
      </vt:variant>
      <vt:variant>
        <vt:lpwstr/>
      </vt:variant>
      <vt:variant>
        <vt:lpwstr>_Toc240542060</vt:lpwstr>
      </vt:variant>
      <vt:variant>
        <vt:i4>1114166</vt:i4>
      </vt:variant>
      <vt:variant>
        <vt:i4>224</vt:i4>
      </vt:variant>
      <vt:variant>
        <vt:i4>0</vt:i4>
      </vt:variant>
      <vt:variant>
        <vt:i4>5</vt:i4>
      </vt:variant>
      <vt:variant>
        <vt:lpwstr/>
      </vt:variant>
      <vt:variant>
        <vt:lpwstr>_Toc240542059</vt:lpwstr>
      </vt:variant>
      <vt:variant>
        <vt:i4>1114166</vt:i4>
      </vt:variant>
      <vt:variant>
        <vt:i4>218</vt:i4>
      </vt:variant>
      <vt:variant>
        <vt:i4>0</vt:i4>
      </vt:variant>
      <vt:variant>
        <vt:i4>5</vt:i4>
      </vt:variant>
      <vt:variant>
        <vt:lpwstr/>
      </vt:variant>
      <vt:variant>
        <vt:lpwstr>_Toc240542058</vt:lpwstr>
      </vt:variant>
      <vt:variant>
        <vt:i4>1114166</vt:i4>
      </vt:variant>
      <vt:variant>
        <vt:i4>212</vt:i4>
      </vt:variant>
      <vt:variant>
        <vt:i4>0</vt:i4>
      </vt:variant>
      <vt:variant>
        <vt:i4>5</vt:i4>
      </vt:variant>
      <vt:variant>
        <vt:lpwstr/>
      </vt:variant>
      <vt:variant>
        <vt:lpwstr>_Toc240542057</vt:lpwstr>
      </vt:variant>
      <vt:variant>
        <vt:i4>1114166</vt:i4>
      </vt:variant>
      <vt:variant>
        <vt:i4>206</vt:i4>
      </vt:variant>
      <vt:variant>
        <vt:i4>0</vt:i4>
      </vt:variant>
      <vt:variant>
        <vt:i4>5</vt:i4>
      </vt:variant>
      <vt:variant>
        <vt:lpwstr/>
      </vt:variant>
      <vt:variant>
        <vt:lpwstr>_Toc240542056</vt:lpwstr>
      </vt:variant>
      <vt:variant>
        <vt:i4>1114166</vt:i4>
      </vt:variant>
      <vt:variant>
        <vt:i4>200</vt:i4>
      </vt:variant>
      <vt:variant>
        <vt:i4>0</vt:i4>
      </vt:variant>
      <vt:variant>
        <vt:i4>5</vt:i4>
      </vt:variant>
      <vt:variant>
        <vt:lpwstr/>
      </vt:variant>
      <vt:variant>
        <vt:lpwstr>_Toc240542055</vt:lpwstr>
      </vt:variant>
      <vt:variant>
        <vt:i4>1114166</vt:i4>
      </vt:variant>
      <vt:variant>
        <vt:i4>194</vt:i4>
      </vt:variant>
      <vt:variant>
        <vt:i4>0</vt:i4>
      </vt:variant>
      <vt:variant>
        <vt:i4>5</vt:i4>
      </vt:variant>
      <vt:variant>
        <vt:lpwstr/>
      </vt:variant>
      <vt:variant>
        <vt:lpwstr>_Toc240542054</vt:lpwstr>
      </vt:variant>
      <vt:variant>
        <vt:i4>1114166</vt:i4>
      </vt:variant>
      <vt:variant>
        <vt:i4>188</vt:i4>
      </vt:variant>
      <vt:variant>
        <vt:i4>0</vt:i4>
      </vt:variant>
      <vt:variant>
        <vt:i4>5</vt:i4>
      </vt:variant>
      <vt:variant>
        <vt:lpwstr/>
      </vt:variant>
      <vt:variant>
        <vt:lpwstr>_Toc240542053</vt:lpwstr>
      </vt:variant>
      <vt:variant>
        <vt:i4>1114166</vt:i4>
      </vt:variant>
      <vt:variant>
        <vt:i4>182</vt:i4>
      </vt:variant>
      <vt:variant>
        <vt:i4>0</vt:i4>
      </vt:variant>
      <vt:variant>
        <vt:i4>5</vt:i4>
      </vt:variant>
      <vt:variant>
        <vt:lpwstr/>
      </vt:variant>
      <vt:variant>
        <vt:lpwstr>_Toc240542052</vt:lpwstr>
      </vt:variant>
      <vt:variant>
        <vt:i4>1114166</vt:i4>
      </vt:variant>
      <vt:variant>
        <vt:i4>176</vt:i4>
      </vt:variant>
      <vt:variant>
        <vt:i4>0</vt:i4>
      </vt:variant>
      <vt:variant>
        <vt:i4>5</vt:i4>
      </vt:variant>
      <vt:variant>
        <vt:lpwstr/>
      </vt:variant>
      <vt:variant>
        <vt:lpwstr>_Toc240542051</vt:lpwstr>
      </vt:variant>
      <vt:variant>
        <vt:i4>1114166</vt:i4>
      </vt:variant>
      <vt:variant>
        <vt:i4>170</vt:i4>
      </vt:variant>
      <vt:variant>
        <vt:i4>0</vt:i4>
      </vt:variant>
      <vt:variant>
        <vt:i4>5</vt:i4>
      </vt:variant>
      <vt:variant>
        <vt:lpwstr/>
      </vt:variant>
      <vt:variant>
        <vt:lpwstr>_Toc240542050</vt:lpwstr>
      </vt:variant>
      <vt:variant>
        <vt:i4>1048630</vt:i4>
      </vt:variant>
      <vt:variant>
        <vt:i4>164</vt:i4>
      </vt:variant>
      <vt:variant>
        <vt:i4>0</vt:i4>
      </vt:variant>
      <vt:variant>
        <vt:i4>5</vt:i4>
      </vt:variant>
      <vt:variant>
        <vt:lpwstr/>
      </vt:variant>
      <vt:variant>
        <vt:lpwstr>_Toc240542049</vt:lpwstr>
      </vt:variant>
      <vt:variant>
        <vt:i4>1048630</vt:i4>
      </vt:variant>
      <vt:variant>
        <vt:i4>158</vt:i4>
      </vt:variant>
      <vt:variant>
        <vt:i4>0</vt:i4>
      </vt:variant>
      <vt:variant>
        <vt:i4>5</vt:i4>
      </vt:variant>
      <vt:variant>
        <vt:lpwstr/>
      </vt:variant>
      <vt:variant>
        <vt:lpwstr>_Toc240542048</vt:lpwstr>
      </vt:variant>
      <vt:variant>
        <vt:i4>1048630</vt:i4>
      </vt:variant>
      <vt:variant>
        <vt:i4>152</vt:i4>
      </vt:variant>
      <vt:variant>
        <vt:i4>0</vt:i4>
      </vt:variant>
      <vt:variant>
        <vt:i4>5</vt:i4>
      </vt:variant>
      <vt:variant>
        <vt:lpwstr/>
      </vt:variant>
      <vt:variant>
        <vt:lpwstr>_Toc240542047</vt:lpwstr>
      </vt:variant>
      <vt:variant>
        <vt:i4>1048630</vt:i4>
      </vt:variant>
      <vt:variant>
        <vt:i4>146</vt:i4>
      </vt:variant>
      <vt:variant>
        <vt:i4>0</vt:i4>
      </vt:variant>
      <vt:variant>
        <vt:i4>5</vt:i4>
      </vt:variant>
      <vt:variant>
        <vt:lpwstr/>
      </vt:variant>
      <vt:variant>
        <vt:lpwstr>_Toc240542046</vt:lpwstr>
      </vt:variant>
      <vt:variant>
        <vt:i4>1048630</vt:i4>
      </vt:variant>
      <vt:variant>
        <vt:i4>140</vt:i4>
      </vt:variant>
      <vt:variant>
        <vt:i4>0</vt:i4>
      </vt:variant>
      <vt:variant>
        <vt:i4>5</vt:i4>
      </vt:variant>
      <vt:variant>
        <vt:lpwstr/>
      </vt:variant>
      <vt:variant>
        <vt:lpwstr>_Toc240542045</vt:lpwstr>
      </vt:variant>
      <vt:variant>
        <vt:i4>1048630</vt:i4>
      </vt:variant>
      <vt:variant>
        <vt:i4>134</vt:i4>
      </vt:variant>
      <vt:variant>
        <vt:i4>0</vt:i4>
      </vt:variant>
      <vt:variant>
        <vt:i4>5</vt:i4>
      </vt:variant>
      <vt:variant>
        <vt:lpwstr/>
      </vt:variant>
      <vt:variant>
        <vt:lpwstr>_Toc240542044</vt:lpwstr>
      </vt:variant>
      <vt:variant>
        <vt:i4>1048630</vt:i4>
      </vt:variant>
      <vt:variant>
        <vt:i4>128</vt:i4>
      </vt:variant>
      <vt:variant>
        <vt:i4>0</vt:i4>
      </vt:variant>
      <vt:variant>
        <vt:i4>5</vt:i4>
      </vt:variant>
      <vt:variant>
        <vt:lpwstr/>
      </vt:variant>
      <vt:variant>
        <vt:lpwstr>_Toc240542043</vt:lpwstr>
      </vt:variant>
      <vt:variant>
        <vt:i4>1048630</vt:i4>
      </vt:variant>
      <vt:variant>
        <vt:i4>122</vt:i4>
      </vt:variant>
      <vt:variant>
        <vt:i4>0</vt:i4>
      </vt:variant>
      <vt:variant>
        <vt:i4>5</vt:i4>
      </vt:variant>
      <vt:variant>
        <vt:lpwstr/>
      </vt:variant>
      <vt:variant>
        <vt:lpwstr>_Toc240542042</vt:lpwstr>
      </vt:variant>
      <vt:variant>
        <vt:i4>1048630</vt:i4>
      </vt:variant>
      <vt:variant>
        <vt:i4>116</vt:i4>
      </vt:variant>
      <vt:variant>
        <vt:i4>0</vt:i4>
      </vt:variant>
      <vt:variant>
        <vt:i4>5</vt:i4>
      </vt:variant>
      <vt:variant>
        <vt:lpwstr/>
      </vt:variant>
      <vt:variant>
        <vt:lpwstr>_Toc240542041</vt:lpwstr>
      </vt:variant>
      <vt:variant>
        <vt:i4>1048630</vt:i4>
      </vt:variant>
      <vt:variant>
        <vt:i4>110</vt:i4>
      </vt:variant>
      <vt:variant>
        <vt:i4>0</vt:i4>
      </vt:variant>
      <vt:variant>
        <vt:i4>5</vt:i4>
      </vt:variant>
      <vt:variant>
        <vt:lpwstr/>
      </vt:variant>
      <vt:variant>
        <vt:lpwstr>_Toc240542040</vt:lpwstr>
      </vt:variant>
      <vt:variant>
        <vt:i4>1507382</vt:i4>
      </vt:variant>
      <vt:variant>
        <vt:i4>104</vt:i4>
      </vt:variant>
      <vt:variant>
        <vt:i4>0</vt:i4>
      </vt:variant>
      <vt:variant>
        <vt:i4>5</vt:i4>
      </vt:variant>
      <vt:variant>
        <vt:lpwstr/>
      </vt:variant>
      <vt:variant>
        <vt:lpwstr>_Toc240542039</vt:lpwstr>
      </vt:variant>
      <vt:variant>
        <vt:i4>1507382</vt:i4>
      </vt:variant>
      <vt:variant>
        <vt:i4>98</vt:i4>
      </vt:variant>
      <vt:variant>
        <vt:i4>0</vt:i4>
      </vt:variant>
      <vt:variant>
        <vt:i4>5</vt:i4>
      </vt:variant>
      <vt:variant>
        <vt:lpwstr/>
      </vt:variant>
      <vt:variant>
        <vt:lpwstr>_Toc240542038</vt:lpwstr>
      </vt:variant>
      <vt:variant>
        <vt:i4>1507382</vt:i4>
      </vt:variant>
      <vt:variant>
        <vt:i4>92</vt:i4>
      </vt:variant>
      <vt:variant>
        <vt:i4>0</vt:i4>
      </vt:variant>
      <vt:variant>
        <vt:i4>5</vt:i4>
      </vt:variant>
      <vt:variant>
        <vt:lpwstr/>
      </vt:variant>
      <vt:variant>
        <vt:lpwstr>_Toc240542037</vt:lpwstr>
      </vt:variant>
      <vt:variant>
        <vt:i4>1507382</vt:i4>
      </vt:variant>
      <vt:variant>
        <vt:i4>86</vt:i4>
      </vt:variant>
      <vt:variant>
        <vt:i4>0</vt:i4>
      </vt:variant>
      <vt:variant>
        <vt:i4>5</vt:i4>
      </vt:variant>
      <vt:variant>
        <vt:lpwstr/>
      </vt:variant>
      <vt:variant>
        <vt:lpwstr>_Toc240542036</vt:lpwstr>
      </vt:variant>
      <vt:variant>
        <vt:i4>1507382</vt:i4>
      </vt:variant>
      <vt:variant>
        <vt:i4>80</vt:i4>
      </vt:variant>
      <vt:variant>
        <vt:i4>0</vt:i4>
      </vt:variant>
      <vt:variant>
        <vt:i4>5</vt:i4>
      </vt:variant>
      <vt:variant>
        <vt:lpwstr/>
      </vt:variant>
      <vt:variant>
        <vt:lpwstr>_Toc240542035</vt:lpwstr>
      </vt:variant>
      <vt:variant>
        <vt:i4>1507382</vt:i4>
      </vt:variant>
      <vt:variant>
        <vt:i4>74</vt:i4>
      </vt:variant>
      <vt:variant>
        <vt:i4>0</vt:i4>
      </vt:variant>
      <vt:variant>
        <vt:i4>5</vt:i4>
      </vt:variant>
      <vt:variant>
        <vt:lpwstr/>
      </vt:variant>
      <vt:variant>
        <vt:lpwstr>_Toc240542034</vt:lpwstr>
      </vt:variant>
      <vt:variant>
        <vt:i4>1507382</vt:i4>
      </vt:variant>
      <vt:variant>
        <vt:i4>68</vt:i4>
      </vt:variant>
      <vt:variant>
        <vt:i4>0</vt:i4>
      </vt:variant>
      <vt:variant>
        <vt:i4>5</vt:i4>
      </vt:variant>
      <vt:variant>
        <vt:lpwstr/>
      </vt:variant>
      <vt:variant>
        <vt:lpwstr>_Toc240542033</vt:lpwstr>
      </vt:variant>
      <vt:variant>
        <vt:i4>1507382</vt:i4>
      </vt:variant>
      <vt:variant>
        <vt:i4>62</vt:i4>
      </vt:variant>
      <vt:variant>
        <vt:i4>0</vt:i4>
      </vt:variant>
      <vt:variant>
        <vt:i4>5</vt:i4>
      </vt:variant>
      <vt:variant>
        <vt:lpwstr/>
      </vt:variant>
      <vt:variant>
        <vt:lpwstr>_Toc240542032</vt:lpwstr>
      </vt:variant>
      <vt:variant>
        <vt:i4>1507382</vt:i4>
      </vt:variant>
      <vt:variant>
        <vt:i4>56</vt:i4>
      </vt:variant>
      <vt:variant>
        <vt:i4>0</vt:i4>
      </vt:variant>
      <vt:variant>
        <vt:i4>5</vt:i4>
      </vt:variant>
      <vt:variant>
        <vt:lpwstr/>
      </vt:variant>
      <vt:variant>
        <vt:lpwstr>_Toc240542031</vt:lpwstr>
      </vt:variant>
      <vt:variant>
        <vt:i4>1507382</vt:i4>
      </vt:variant>
      <vt:variant>
        <vt:i4>50</vt:i4>
      </vt:variant>
      <vt:variant>
        <vt:i4>0</vt:i4>
      </vt:variant>
      <vt:variant>
        <vt:i4>5</vt:i4>
      </vt:variant>
      <vt:variant>
        <vt:lpwstr/>
      </vt:variant>
      <vt:variant>
        <vt:lpwstr>_Toc240542030</vt:lpwstr>
      </vt:variant>
      <vt:variant>
        <vt:i4>1441846</vt:i4>
      </vt:variant>
      <vt:variant>
        <vt:i4>44</vt:i4>
      </vt:variant>
      <vt:variant>
        <vt:i4>0</vt:i4>
      </vt:variant>
      <vt:variant>
        <vt:i4>5</vt:i4>
      </vt:variant>
      <vt:variant>
        <vt:lpwstr/>
      </vt:variant>
      <vt:variant>
        <vt:lpwstr>_Toc240542029</vt:lpwstr>
      </vt:variant>
      <vt:variant>
        <vt:i4>1441846</vt:i4>
      </vt:variant>
      <vt:variant>
        <vt:i4>38</vt:i4>
      </vt:variant>
      <vt:variant>
        <vt:i4>0</vt:i4>
      </vt:variant>
      <vt:variant>
        <vt:i4>5</vt:i4>
      </vt:variant>
      <vt:variant>
        <vt:lpwstr/>
      </vt:variant>
      <vt:variant>
        <vt:lpwstr>_Toc240542028</vt:lpwstr>
      </vt:variant>
      <vt:variant>
        <vt:i4>1441846</vt:i4>
      </vt:variant>
      <vt:variant>
        <vt:i4>32</vt:i4>
      </vt:variant>
      <vt:variant>
        <vt:i4>0</vt:i4>
      </vt:variant>
      <vt:variant>
        <vt:i4>5</vt:i4>
      </vt:variant>
      <vt:variant>
        <vt:lpwstr/>
      </vt:variant>
      <vt:variant>
        <vt:lpwstr>_Toc240542027</vt:lpwstr>
      </vt:variant>
      <vt:variant>
        <vt:i4>1441846</vt:i4>
      </vt:variant>
      <vt:variant>
        <vt:i4>26</vt:i4>
      </vt:variant>
      <vt:variant>
        <vt:i4>0</vt:i4>
      </vt:variant>
      <vt:variant>
        <vt:i4>5</vt:i4>
      </vt:variant>
      <vt:variant>
        <vt:lpwstr/>
      </vt:variant>
      <vt:variant>
        <vt:lpwstr>_Toc240542026</vt:lpwstr>
      </vt:variant>
      <vt:variant>
        <vt:i4>1441846</vt:i4>
      </vt:variant>
      <vt:variant>
        <vt:i4>20</vt:i4>
      </vt:variant>
      <vt:variant>
        <vt:i4>0</vt:i4>
      </vt:variant>
      <vt:variant>
        <vt:i4>5</vt:i4>
      </vt:variant>
      <vt:variant>
        <vt:lpwstr/>
      </vt:variant>
      <vt:variant>
        <vt:lpwstr>_Toc240542025</vt:lpwstr>
      </vt:variant>
      <vt:variant>
        <vt:i4>1441846</vt:i4>
      </vt:variant>
      <vt:variant>
        <vt:i4>14</vt:i4>
      </vt:variant>
      <vt:variant>
        <vt:i4>0</vt:i4>
      </vt:variant>
      <vt:variant>
        <vt:i4>5</vt:i4>
      </vt:variant>
      <vt:variant>
        <vt:lpwstr/>
      </vt:variant>
      <vt:variant>
        <vt:lpwstr>_Toc240542024</vt:lpwstr>
      </vt:variant>
      <vt:variant>
        <vt:i4>1441846</vt:i4>
      </vt:variant>
      <vt:variant>
        <vt:i4>8</vt:i4>
      </vt:variant>
      <vt:variant>
        <vt:i4>0</vt:i4>
      </vt:variant>
      <vt:variant>
        <vt:i4>5</vt:i4>
      </vt:variant>
      <vt:variant>
        <vt:lpwstr/>
      </vt:variant>
      <vt:variant>
        <vt:lpwstr>_Toc240542023</vt:lpwstr>
      </vt:variant>
      <vt:variant>
        <vt:i4>1441846</vt:i4>
      </vt:variant>
      <vt:variant>
        <vt:i4>2</vt:i4>
      </vt:variant>
      <vt:variant>
        <vt:i4>0</vt:i4>
      </vt:variant>
      <vt:variant>
        <vt:i4>5</vt:i4>
      </vt:variant>
      <vt:variant>
        <vt:lpwstr/>
      </vt:variant>
      <vt:variant>
        <vt:lpwstr>_Toc240542022</vt:lpwstr>
      </vt:variant>
      <vt:variant>
        <vt:i4>2097266</vt:i4>
      </vt:variant>
      <vt:variant>
        <vt:i4>180</vt:i4>
      </vt:variant>
      <vt:variant>
        <vt:i4>0</vt:i4>
      </vt:variant>
      <vt:variant>
        <vt:i4>5</vt:i4>
      </vt:variant>
      <vt:variant>
        <vt:lpwstr>https://doi.org/10.1787/cf74e549-en</vt:lpwstr>
      </vt:variant>
      <vt:variant>
        <vt:lpwstr/>
      </vt:variant>
      <vt:variant>
        <vt:i4>1900631</vt:i4>
      </vt:variant>
      <vt:variant>
        <vt:i4>177</vt:i4>
      </vt:variant>
      <vt:variant>
        <vt:i4>0</vt:i4>
      </vt:variant>
      <vt:variant>
        <vt:i4>5</vt:i4>
      </vt:variant>
      <vt:variant>
        <vt:lpwstr>https://doi.org/10.3102/00028312041003681</vt:lpwstr>
      </vt:variant>
      <vt:variant>
        <vt:lpwstr/>
      </vt:variant>
      <vt:variant>
        <vt:i4>5242888</vt:i4>
      </vt:variant>
      <vt:variant>
        <vt:i4>174</vt:i4>
      </vt:variant>
      <vt:variant>
        <vt:i4>0</vt:i4>
      </vt:variant>
      <vt:variant>
        <vt:i4>5</vt:i4>
      </vt:variant>
      <vt:variant>
        <vt:lpwstr>https://www.nzcer.org.nz/sites/default/files/downloads/Supporting early career teachers and kaiako - Full Report.pdf</vt:lpwstr>
      </vt:variant>
      <vt:variant>
        <vt:lpwstr/>
      </vt:variant>
      <vt:variant>
        <vt:i4>2228338</vt:i4>
      </vt:variant>
      <vt:variant>
        <vt:i4>171</vt:i4>
      </vt:variant>
      <vt:variant>
        <vt:i4>0</vt:i4>
      </vt:variant>
      <vt:variant>
        <vt:i4>5</vt:i4>
      </vt:variant>
      <vt:variant>
        <vt:lpwstr>https://teachingcouncil.nz/en/for-principals-and-leaders/employer-obligations/creating-an-induction-and-mentoring-programme</vt:lpwstr>
      </vt:variant>
      <vt:variant>
        <vt:lpwstr/>
      </vt:variant>
      <vt:variant>
        <vt:i4>1704021</vt:i4>
      </vt:variant>
      <vt:variant>
        <vt:i4>168</vt:i4>
      </vt:variant>
      <vt:variant>
        <vt:i4>0</vt:i4>
      </vt:variant>
      <vt:variant>
        <vt:i4>5</vt:i4>
      </vt:variant>
      <vt:variant>
        <vt:lpwstr>https://doi.org/10.4324/9780429318504</vt:lpwstr>
      </vt:variant>
      <vt:variant>
        <vt:lpwstr/>
      </vt:variant>
      <vt:variant>
        <vt:i4>7274621</vt:i4>
      </vt:variant>
      <vt:variant>
        <vt:i4>165</vt:i4>
      </vt:variant>
      <vt:variant>
        <vt:i4>0</vt:i4>
      </vt:variant>
      <vt:variant>
        <vt:i4>5</vt:i4>
      </vt:variant>
      <vt:variant>
        <vt:lpwstr>https://www.aitsl.edu.au/docs/default-source/initial-teacher-education-resources/professional-experience-guidelines/australian-professional-experience-guidelines-2024_10_18.pdf</vt:lpwstr>
      </vt:variant>
      <vt:variant>
        <vt:lpwstr/>
      </vt:variant>
      <vt:variant>
        <vt:i4>5898306</vt:i4>
      </vt:variant>
      <vt:variant>
        <vt:i4>162</vt:i4>
      </vt:variant>
      <vt:variant>
        <vt:i4>0</vt:i4>
      </vt:variant>
      <vt:variant>
        <vt:i4>5</vt:i4>
      </vt:variant>
      <vt:variant>
        <vt:lpwstr>https://assets.publishing.service.gov.uk/media/661d24ac08c3be25cfbd3e61/Initial_Teacher_Training_and_Early_Career_Framework.pdf</vt:lpwstr>
      </vt:variant>
      <vt:variant>
        <vt:lpwstr/>
      </vt:variant>
      <vt:variant>
        <vt:i4>1572950</vt:i4>
      </vt:variant>
      <vt:variant>
        <vt:i4>159</vt:i4>
      </vt:variant>
      <vt:variant>
        <vt:i4>0</vt:i4>
      </vt:variant>
      <vt:variant>
        <vt:i4>5</vt:i4>
      </vt:variant>
      <vt:variant>
        <vt:lpwstr>https://doi.org/10.1177/00224871221105814</vt:lpwstr>
      </vt:variant>
      <vt:variant>
        <vt:lpwstr/>
      </vt:variant>
      <vt:variant>
        <vt:i4>3342455</vt:i4>
      </vt:variant>
      <vt:variant>
        <vt:i4>156</vt:i4>
      </vt:variant>
      <vt:variant>
        <vt:i4>0</vt:i4>
      </vt:variant>
      <vt:variant>
        <vt:i4>5</vt:i4>
      </vt:variant>
      <vt:variant>
        <vt:lpwstr>https://www.education.gov.au/quality-initial-teacher-education-review/resources/strong-beginnings-report-teacher-education-expert-panel</vt:lpwstr>
      </vt:variant>
      <vt:variant>
        <vt:lpwstr/>
      </vt:variant>
      <vt:variant>
        <vt:i4>2359349</vt:i4>
      </vt:variant>
      <vt:variant>
        <vt:i4>153</vt:i4>
      </vt:variant>
      <vt:variant>
        <vt:i4>0</vt:i4>
      </vt:variant>
      <vt:variant>
        <vt:i4>5</vt:i4>
      </vt:variant>
      <vt:variant>
        <vt:lpwstr>https://doi.org/10.1007/s10648-021-09595-9</vt:lpwstr>
      </vt:variant>
      <vt:variant>
        <vt:lpwstr/>
      </vt:variant>
      <vt:variant>
        <vt:i4>2162745</vt:i4>
      </vt:variant>
      <vt:variant>
        <vt:i4>150</vt:i4>
      </vt:variant>
      <vt:variant>
        <vt:i4>0</vt:i4>
      </vt:variant>
      <vt:variant>
        <vt:i4>5</vt:i4>
      </vt:variant>
      <vt:variant>
        <vt:lpwstr>https://doi.org/10.1007/s10648-019-09465-5</vt:lpwstr>
      </vt:variant>
      <vt:variant>
        <vt:lpwstr/>
      </vt:variant>
      <vt:variant>
        <vt:i4>3997812</vt:i4>
      </vt:variant>
      <vt:variant>
        <vt:i4>147</vt:i4>
      </vt:variant>
      <vt:variant>
        <vt:i4>0</vt:i4>
      </vt:variant>
      <vt:variant>
        <vt:i4>5</vt:i4>
      </vt:variant>
      <vt:variant>
        <vt:lpwstr>https://doi.org/10.1037/0033-2909.134.1.31</vt:lpwstr>
      </vt:variant>
      <vt:variant>
        <vt:lpwstr/>
      </vt:variant>
      <vt:variant>
        <vt:i4>3014771</vt:i4>
      </vt:variant>
      <vt:variant>
        <vt:i4>144</vt:i4>
      </vt:variant>
      <vt:variant>
        <vt:i4>0</vt:i4>
      </vt:variant>
      <vt:variant>
        <vt:i4>5</vt:i4>
      </vt:variant>
      <vt:variant>
        <vt:lpwstr>https://www.evidence.ero.govt.nz/media/zzljbock/guide-for-ece-leaders-oral-language-development-in-the-early-years.pdf</vt:lpwstr>
      </vt:variant>
      <vt:variant>
        <vt:lpwstr/>
      </vt:variant>
      <vt:variant>
        <vt:i4>4653101</vt:i4>
      </vt:variant>
      <vt:variant>
        <vt:i4>141</vt:i4>
      </vt:variant>
      <vt:variant>
        <vt:i4>0</vt:i4>
      </vt:variant>
      <vt:variant>
        <vt:i4>5</vt:i4>
      </vt:variant>
      <vt:variant>
        <vt:lpwstr>https://www.oecd.org/en/publications/what-difference-do-standards-make-to-educating-teachers_f1cb24d5-en.html</vt:lpwstr>
      </vt:variant>
      <vt:variant>
        <vt:lpwstr/>
      </vt:variant>
      <vt:variant>
        <vt:i4>5636141</vt:i4>
      </vt:variant>
      <vt:variant>
        <vt:i4>138</vt:i4>
      </vt:variant>
      <vt:variant>
        <vt:i4>0</vt:i4>
      </vt:variant>
      <vt:variant>
        <vt:i4>5</vt:i4>
      </vt:variant>
      <vt:variant>
        <vt:lpwstr>https://research.acer.edu.au/teacher_education/1</vt:lpwstr>
      </vt:variant>
      <vt:variant>
        <vt:lpwstr/>
      </vt:variant>
      <vt:variant>
        <vt:i4>3473467</vt:i4>
      </vt:variant>
      <vt:variant>
        <vt:i4>135</vt:i4>
      </vt:variant>
      <vt:variant>
        <vt:i4>0</vt:i4>
      </vt:variant>
      <vt:variant>
        <vt:i4>5</vt:i4>
      </vt:variant>
      <vt:variant>
        <vt:lpwstr>https://acuityinsights.app/casper/</vt:lpwstr>
      </vt:variant>
      <vt:variant>
        <vt:lpwstr/>
      </vt:variant>
      <vt:variant>
        <vt:i4>1704016</vt:i4>
      </vt:variant>
      <vt:variant>
        <vt:i4>132</vt:i4>
      </vt:variant>
      <vt:variant>
        <vt:i4>0</vt:i4>
      </vt:variant>
      <vt:variant>
        <vt:i4>5</vt:i4>
      </vt:variant>
      <vt:variant>
        <vt:lpwstr>https://doi.org/10.1080/13540600802037777</vt:lpwstr>
      </vt:variant>
      <vt:variant>
        <vt:lpwstr/>
      </vt:variant>
      <vt:variant>
        <vt:i4>1900624</vt:i4>
      </vt:variant>
      <vt:variant>
        <vt:i4>129</vt:i4>
      </vt:variant>
      <vt:variant>
        <vt:i4>0</vt:i4>
      </vt:variant>
      <vt:variant>
        <vt:i4>5</vt:i4>
      </vt:variant>
      <vt:variant>
        <vt:lpwstr>https://doi.org/10.4324/9781032693798</vt:lpwstr>
      </vt:variant>
      <vt:variant>
        <vt:lpwstr/>
      </vt:variant>
      <vt:variant>
        <vt:i4>5242903</vt:i4>
      </vt:variant>
      <vt:variant>
        <vt:i4>126</vt:i4>
      </vt:variant>
      <vt:variant>
        <vt:i4>0</vt:i4>
      </vt:variant>
      <vt:variant>
        <vt:i4>5</vt:i4>
      </vt:variant>
      <vt:variant>
        <vt:lpwstr>https://doi.org/10.1111/j.1467-9620.2006.00692.x</vt:lpwstr>
      </vt:variant>
      <vt:variant>
        <vt:lpwstr/>
      </vt:variant>
      <vt:variant>
        <vt:i4>5636141</vt:i4>
      </vt:variant>
      <vt:variant>
        <vt:i4>123</vt:i4>
      </vt:variant>
      <vt:variant>
        <vt:i4>0</vt:i4>
      </vt:variant>
      <vt:variant>
        <vt:i4>5</vt:i4>
      </vt:variant>
      <vt:variant>
        <vt:lpwstr>https://research.acer.edu.au/teacher_education/1</vt:lpwstr>
      </vt:variant>
      <vt:variant>
        <vt:lpwstr/>
      </vt:variant>
      <vt:variant>
        <vt:i4>458845</vt:i4>
      </vt:variant>
      <vt:variant>
        <vt:i4>120</vt:i4>
      </vt:variant>
      <vt:variant>
        <vt:i4>0</vt:i4>
      </vt:variant>
      <vt:variant>
        <vt:i4>5</vt:i4>
      </vt:variant>
      <vt:variant>
        <vt:lpwstr>https://www.legislation.govt.nz/act/public/2020/38/en/latest/</vt:lpwstr>
      </vt:variant>
      <vt:variant>
        <vt:lpwstr>LMS170676</vt:lpwstr>
      </vt:variant>
      <vt:variant>
        <vt:i4>5636098</vt:i4>
      </vt:variant>
      <vt:variant>
        <vt:i4>117</vt:i4>
      </vt:variant>
      <vt:variant>
        <vt:i4>0</vt:i4>
      </vt:variant>
      <vt:variant>
        <vt:i4>5</vt:i4>
      </vt:variant>
      <vt:variant>
        <vt:lpwstr>https://www.gov.wales/sites/default/files/publications/2023-05/for-ite-programmes-accredited-to-commence-from-1st-september-2024.pdf</vt:lpwstr>
      </vt:variant>
      <vt:variant>
        <vt:lpwstr/>
      </vt:variant>
      <vt:variant>
        <vt:i4>1572935</vt:i4>
      </vt:variant>
      <vt:variant>
        <vt:i4>114</vt:i4>
      </vt:variant>
      <vt:variant>
        <vt:i4>0</vt:i4>
      </vt:variant>
      <vt:variant>
        <vt:i4>5</vt:i4>
      </vt:variant>
      <vt:variant>
        <vt:lpwstr>https://www.gov.uk/government/publications/initial-teacher-training-criteria</vt:lpwstr>
      </vt:variant>
      <vt:variant>
        <vt:lpwstr/>
      </vt:variant>
      <vt:variant>
        <vt:i4>6291516</vt:i4>
      </vt:variant>
      <vt:variant>
        <vt:i4>111</vt:i4>
      </vt:variant>
      <vt:variant>
        <vt:i4>0</vt:i4>
      </vt:variant>
      <vt:variant>
        <vt:i4>5</vt:i4>
      </vt:variant>
      <vt:variant>
        <vt:lpwstr>https://www.edresearch.edu.au/research/research-reports/incorporating-evidence-based-teaching-practices-ite-commissioned-report</vt:lpwstr>
      </vt:variant>
      <vt:variant>
        <vt:lpwstr/>
      </vt:variant>
      <vt:variant>
        <vt:i4>1900581</vt:i4>
      </vt:variant>
      <vt:variant>
        <vt:i4>108</vt:i4>
      </vt:variant>
      <vt:variant>
        <vt:i4>0</vt:i4>
      </vt:variant>
      <vt:variant>
        <vt:i4>5</vt:i4>
      </vt:variant>
      <vt:variant>
        <vt:lpwstr>https://www.educationcounts.govt.nz/__data/assets/pdf_file/0006/250791/TALIS-2024-Findings-for-New-Zealand-1.pdf</vt:lpwstr>
      </vt:variant>
      <vt:variant>
        <vt:lpwstr/>
      </vt:variant>
      <vt:variant>
        <vt:i4>4390966</vt:i4>
      </vt:variant>
      <vt:variant>
        <vt:i4>105</vt:i4>
      </vt:variant>
      <vt:variant>
        <vt:i4>0</vt:i4>
      </vt:variant>
      <vt:variant>
        <vt:i4>5</vt:i4>
      </vt:variant>
      <vt:variant>
        <vt:lpwstr>https://res.cloudinary.com/dwavcpl93/image/upload/v1754005965/extracted_pdfs_from_sspak/Tapasa-Cultural-Competencies-Framework-for-Teachers-of-Pacific-Learners-2019.pdf</vt:lpwstr>
      </vt:variant>
      <vt:variant>
        <vt:lpwstr/>
      </vt:variant>
      <vt:variant>
        <vt:i4>8257595</vt:i4>
      </vt:variant>
      <vt:variant>
        <vt:i4>102</vt:i4>
      </vt:variant>
      <vt:variant>
        <vt:i4>0</vt:i4>
      </vt:variant>
      <vt:variant>
        <vt:i4>5</vt:i4>
      </vt:variant>
      <vt:variant>
        <vt:lpwstr>https://www.whaikaha.govt.nz/assets/NZDS-26-30-Documents/NZDS-2026-2030.pdf</vt:lpwstr>
      </vt:variant>
      <vt:variant>
        <vt:lpwstr/>
      </vt:variant>
      <vt:variant>
        <vt:i4>2621553</vt:i4>
      </vt:variant>
      <vt:variant>
        <vt:i4>99</vt:i4>
      </vt:variant>
      <vt:variant>
        <vt:i4>0</vt:i4>
      </vt:variant>
      <vt:variant>
        <vt:i4>5</vt:i4>
      </vt:variant>
      <vt:variant>
        <vt:lpwstr>https://res.cloudinary.com/dwavcpl93/image/upload/s--L27rWv7t--/v1/extracted_pdfs_from_sspak/Tataiako-cultural-competencies-for-teachers-of-Maori-learners?_a=BAMAAAiu0</vt:lpwstr>
      </vt:variant>
      <vt:variant>
        <vt:lpwstr/>
      </vt:variant>
      <vt:variant>
        <vt:i4>2883688</vt:i4>
      </vt:variant>
      <vt:variant>
        <vt:i4>96</vt:i4>
      </vt:variant>
      <vt:variant>
        <vt:i4>0</vt:i4>
      </vt:variant>
      <vt:variant>
        <vt:i4>5</vt:i4>
      </vt:variant>
      <vt:variant>
        <vt:lpwstr>https://ako.ac.nz/assets/Knowledge-centre/43792-Activating-Aotearoa-Histories/FULL-REPORT-Activating-Aotearoa-Histories.pdf</vt:lpwstr>
      </vt:variant>
      <vt:variant>
        <vt:lpwstr/>
      </vt:variant>
      <vt:variant>
        <vt:i4>655370</vt:i4>
      </vt:variant>
      <vt:variant>
        <vt:i4>93</vt:i4>
      </vt:variant>
      <vt:variant>
        <vt:i4>0</vt:i4>
      </vt:variant>
      <vt:variant>
        <vt:i4>5</vt:i4>
      </vt:variant>
      <vt:variant>
        <vt:lpwstr>https://doi.org/10.18296/set.1545</vt:lpwstr>
      </vt:variant>
      <vt:variant>
        <vt:lpwstr/>
      </vt:variant>
      <vt:variant>
        <vt:i4>589835</vt:i4>
      </vt:variant>
      <vt:variant>
        <vt:i4>90</vt:i4>
      </vt:variant>
      <vt:variant>
        <vt:i4>0</vt:i4>
      </vt:variant>
      <vt:variant>
        <vt:i4>5</vt:i4>
      </vt:variant>
      <vt:variant>
        <vt:lpwstr>https://doi.org/10.18296/set.0461</vt:lpwstr>
      </vt:variant>
      <vt:variant>
        <vt:lpwstr/>
      </vt:variant>
      <vt:variant>
        <vt:i4>327710</vt:i4>
      </vt:variant>
      <vt:variant>
        <vt:i4>87</vt:i4>
      </vt:variant>
      <vt:variant>
        <vt:i4>0</vt:i4>
      </vt:variant>
      <vt:variant>
        <vt:i4>5</vt:i4>
      </vt:variant>
      <vt:variant>
        <vt:lpwstr>https://www.education.govt.nz/our-work/overall-strategies-and-policies/ka-hikitia-ka-hapaitia</vt:lpwstr>
      </vt:variant>
      <vt:variant>
        <vt:lpwstr/>
      </vt:variant>
      <vt:variant>
        <vt:i4>458845</vt:i4>
      </vt:variant>
      <vt:variant>
        <vt:i4>84</vt:i4>
      </vt:variant>
      <vt:variant>
        <vt:i4>0</vt:i4>
      </vt:variant>
      <vt:variant>
        <vt:i4>5</vt:i4>
      </vt:variant>
      <vt:variant>
        <vt:lpwstr>https://www.legislation.govt.nz/act/public/2020/38/en/latest/</vt:lpwstr>
      </vt:variant>
      <vt:variant>
        <vt:lpwstr>LMS170676</vt:lpwstr>
      </vt:variant>
      <vt:variant>
        <vt:i4>5636169</vt:i4>
      </vt:variant>
      <vt:variant>
        <vt:i4>81</vt:i4>
      </vt:variant>
      <vt:variant>
        <vt:i4>0</vt:i4>
      </vt:variant>
      <vt:variant>
        <vt:i4>5</vt:i4>
      </vt:variant>
      <vt:variant>
        <vt:lpwstr>https://gazette.govt.nz/notice/id/2024-go6031</vt:lpwstr>
      </vt:variant>
      <vt:variant>
        <vt:lpwstr/>
      </vt:variant>
      <vt:variant>
        <vt:i4>7602294</vt:i4>
      </vt:variant>
      <vt:variant>
        <vt:i4>78</vt:i4>
      </vt:variant>
      <vt:variant>
        <vt:i4>0</vt:i4>
      </vt:variant>
      <vt:variant>
        <vt:i4>5</vt:i4>
      </vt:variant>
      <vt:variant>
        <vt:lpwstr>https://doi.org/10.1787/f5b82176-en</vt:lpwstr>
      </vt:variant>
      <vt:variant>
        <vt:lpwstr/>
      </vt:variant>
      <vt:variant>
        <vt:i4>5439575</vt:i4>
      </vt:variant>
      <vt:variant>
        <vt:i4>75</vt:i4>
      </vt:variant>
      <vt:variant>
        <vt:i4>0</vt:i4>
      </vt:variant>
      <vt:variant>
        <vt:i4>5</vt:i4>
      </vt:variant>
      <vt:variant>
        <vt:lpwstr>https://education.nsw.gov.au/content/dam/main-education/early-childhood-education/whats-happening-in-the-early-childhood-education-sector/media/documents/5854-Feel-Study-VFA4-Accessible.pdf</vt:lpwstr>
      </vt:variant>
      <vt:variant>
        <vt:lpwstr/>
      </vt:variant>
      <vt:variant>
        <vt:i4>3866714</vt:i4>
      </vt:variant>
      <vt:variant>
        <vt:i4>72</vt:i4>
      </vt:variant>
      <vt:variant>
        <vt:i4>0</vt:i4>
      </vt:variant>
      <vt:variant>
        <vt:i4>5</vt:i4>
      </vt:variant>
      <vt:variant>
        <vt:lpwstr>https://www.oecd.org/content/dam/oecd/en/publications/reports/2021/05/process-quality-curriculum-and-pedagogy-in-early-childhood-education-and-care_19220855/eba0711e-en.pdf</vt:lpwstr>
      </vt:variant>
      <vt:variant>
        <vt:lpwstr/>
      </vt:variant>
      <vt:variant>
        <vt:i4>7143461</vt:i4>
      </vt:variant>
      <vt:variant>
        <vt:i4>69</vt:i4>
      </vt:variant>
      <vt:variant>
        <vt:i4>0</vt:i4>
      </vt:variant>
      <vt:variant>
        <vt:i4>5</vt:i4>
      </vt:variant>
      <vt:variant>
        <vt:lpwstr>https://www.evidence.ero.govt.nz/media/s4hh1mg0/ready-set-teach-how-well-prepared-and-supported-are-new-teachers-report.pdf</vt:lpwstr>
      </vt:variant>
      <vt:variant>
        <vt:lpwstr/>
      </vt:variant>
      <vt:variant>
        <vt:i4>1900581</vt:i4>
      </vt:variant>
      <vt:variant>
        <vt:i4>66</vt:i4>
      </vt:variant>
      <vt:variant>
        <vt:i4>0</vt:i4>
      </vt:variant>
      <vt:variant>
        <vt:i4>5</vt:i4>
      </vt:variant>
      <vt:variant>
        <vt:lpwstr>https://www.educationcounts.govt.nz/__data/assets/pdf_file/0006/250791/TALIS-2024-Findings-for-New-Zealand-1.pdf</vt:lpwstr>
      </vt:variant>
      <vt:variant>
        <vt:lpwstr/>
      </vt:variant>
      <vt:variant>
        <vt:i4>1769561</vt:i4>
      </vt:variant>
      <vt:variant>
        <vt:i4>63</vt:i4>
      </vt:variant>
      <vt:variant>
        <vt:i4>0</vt:i4>
      </vt:variant>
      <vt:variant>
        <vt:i4>5</vt:i4>
      </vt:variant>
      <vt:variant>
        <vt:lpwstr>https://www.educationcounts.govt.nz/publications/series/2515/5959</vt:lpwstr>
      </vt:variant>
      <vt:variant>
        <vt:lpwstr/>
      </vt:variant>
      <vt:variant>
        <vt:i4>4653136</vt:i4>
      </vt:variant>
      <vt:variant>
        <vt:i4>60</vt:i4>
      </vt:variant>
      <vt:variant>
        <vt:i4>0</vt:i4>
      </vt:variant>
      <vt:variant>
        <vt:i4>5</vt:i4>
      </vt:variant>
      <vt:variant>
        <vt:lpwstr>https://www.aeaweb.org/articles?id=10.1257/aer.100.2.267</vt:lpwstr>
      </vt:variant>
      <vt:variant>
        <vt:lpwstr/>
      </vt:variant>
      <vt:variant>
        <vt:i4>5439500</vt:i4>
      </vt:variant>
      <vt:variant>
        <vt:i4>57</vt:i4>
      </vt:variant>
      <vt:variant>
        <vt:i4>0</vt:i4>
      </vt:variant>
      <vt:variant>
        <vt:i4>5</vt:i4>
      </vt:variant>
      <vt:variant>
        <vt:lpwstr>https://research.acer.edu.au/cgi/viewcontent.cgi?article=1003&amp;context=research_conference_2003</vt:lpwstr>
      </vt:variant>
      <vt:variant>
        <vt:lpwstr/>
      </vt:variant>
      <vt:variant>
        <vt:i4>196700</vt:i4>
      </vt:variant>
      <vt:variant>
        <vt:i4>54</vt:i4>
      </vt:variant>
      <vt:variant>
        <vt:i4>0</vt:i4>
      </vt:variant>
      <vt:variant>
        <vt:i4>5</vt:i4>
      </vt:variant>
      <vt:variant>
        <vt:lpwstr>https://web-assets.education.govt.nz/s3fs-public/2024-05/BN-1321550-Maori-education-overview.pdf</vt:lpwstr>
      </vt:variant>
      <vt:variant>
        <vt:lpwstr/>
      </vt:variant>
      <vt:variant>
        <vt:i4>3473468</vt:i4>
      </vt:variant>
      <vt:variant>
        <vt:i4>51</vt:i4>
      </vt:variant>
      <vt:variant>
        <vt:i4>0</vt:i4>
      </vt:variant>
      <vt:variant>
        <vt:i4>5</vt:i4>
      </vt:variant>
      <vt:variant>
        <vt:lpwstr>https://ao.parliament.nz/2024/educational-outcomes</vt:lpwstr>
      </vt:variant>
      <vt:variant>
        <vt:lpwstr/>
      </vt:variant>
      <vt:variant>
        <vt:i4>131138</vt:i4>
      </vt:variant>
      <vt:variant>
        <vt:i4>48</vt:i4>
      </vt:variant>
      <vt:variant>
        <vt:i4>0</vt:i4>
      </vt:variant>
      <vt:variant>
        <vt:i4>5</vt:i4>
      </vt:variant>
      <vt:variant>
        <vt:lpwstr>https://doi.org/10.1080/19404158.2020.1743730</vt:lpwstr>
      </vt:variant>
      <vt:variant>
        <vt:lpwstr/>
      </vt:variant>
      <vt:variant>
        <vt:i4>3342455</vt:i4>
      </vt:variant>
      <vt:variant>
        <vt:i4>45</vt:i4>
      </vt:variant>
      <vt:variant>
        <vt:i4>0</vt:i4>
      </vt:variant>
      <vt:variant>
        <vt:i4>5</vt:i4>
      </vt:variant>
      <vt:variant>
        <vt:lpwstr>https://www.education.gov.au/quality-initial-teacher-education-review/resources/strong-beginnings-report-teacher-education-expert-panel</vt:lpwstr>
      </vt:variant>
      <vt:variant>
        <vt:lpwstr/>
      </vt:variant>
      <vt:variant>
        <vt:i4>4128824</vt:i4>
      </vt:variant>
      <vt:variant>
        <vt:i4>42</vt:i4>
      </vt:variant>
      <vt:variant>
        <vt:i4>0</vt:i4>
      </vt:variant>
      <vt:variant>
        <vt:i4>5</vt:i4>
      </vt:variant>
      <vt:variant>
        <vt:lpwstr>https://workforce.education.govt.nz/becoming-teacher-new-zealand/pathways-becoming-teacher/work-school-while-you-study</vt:lpwstr>
      </vt:variant>
      <vt:variant>
        <vt:lpwstr/>
      </vt:variant>
      <vt:variant>
        <vt:i4>3866673</vt:i4>
      </vt:variant>
      <vt:variant>
        <vt:i4>39</vt:i4>
      </vt:variant>
      <vt:variant>
        <vt:i4>0</vt:i4>
      </vt:variant>
      <vt:variant>
        <vt:i4>5</vt:i4>
      </vt:variant>
      <vt:variant>
        <vt:lpwstr>https://www.openpolytechnic.ac.nz/about-us/news-publications-and-research/news/open-polytechnic-launches-new-initial-teacher-education-programmes/</vt:lpwstr>
      </vt:variant>
      <vt:variant>
        <vt:lpwstr/>
      </vt:variant>
      <vt:variant>
        <vt:i4>1114185</vt:i4>
      </vt:variant>
      <vt:variant>
        <vt:i4>36</vt:i4>
      </vt:variant>
      <vt:variant>
        <vt:i4>0</vt:i4>
      </vt:variant>
      <vt:variant>
        <vt:i4>5</vt:i4>
      </vt:variant>
      <vt:variant>
        <vt:lpwstr>https://teachingcouncil.nz/en/for-teacher-education-providers/setting-up-an-ite-programme/ite-programme-requirements</vt:lpwstr>
      </vt:variant>
      <vt:variant>
        <vt:lpwstr/>
      </vt:variant>
      <vt:variant>
        <vt:i4>3407912</vt:i4>
      </vt:variant>
      <vt:variant>
        <vt:i4>33</vt:i4>
      </vt:variant>
      <vt:variant>
        <vt:i4>0</vt:i4>
      </vt:variant>
      <vt:variant>
        <vt:i4>5</vt:i4>
      </vt:variant>
      <vt:variant>
        <vt:lpwstr>https://teachingcouncil.nz/en/for-teacher-education-providers/setting-up-an-ite-programme/your-role-as-an-ite-provider</vt:lpwstr>
      </vt:variant>
      <vt:variant>
        <vt:lpwstr/>
      </vt:variant>
      <vt:variant>
        <vt:i4>7864374</vt:i4>
      </vt:variant>
      <vt:variant>
        <vt:i4>30</vt:i4>
      </vt:variant>
      <vt:variant>
        <vt:i4>0</vt:i4>
      </vt:variant>
      <vt:variant>
        <vt:i4>5</vt:i4>
      </vt:variant>
      <vt:variant>
        <vt:lpwstr>https://teachingcouncil.nz/en/for-teacher-education-providers/setting-up-an-ite-programme/ite-programme-review</vt:lpwstr>
      </vt:variant>
      <vt:variant>
        <vt:lpwstr/>
      </vt:variant>
      <vt:variant>
        <vt:i4>1114185</vt:i4>
      </vt:variant>
      <vt:variant>
        <vt:i4>27</vt:i4>
      </vt:variant>
      <vt:variant>
        <vt:i4>0</vt:i4>
      </vt:variant>
      <vt:variant>
        <vt:i4>5</vt:i4>
      </vt:variant>
      <vt:variant>
        <vt:lpwstr>https://teachingcouncil.nz/en/for-teacher-education-providers/setting-up-an-ite-programme/ite-programme-requirements</vt:lpwstr>
      </vt:variant>
      <vt:variant>
        <vt:lpwstr/>
      </vt:variant>
      <vt:variant>
        <vt:i4>1835024</vt:i4>
      </vt:variant>
      <vt:variant>
        <vt:i4>24</vt:i4>
      </vt:variant>
      <vt:variant>
        <vt:i4>0</vt:i4>
      </vt:variant>
      <vt:variant>
        <vt:i4>5</vt:i4>
      </vt:variant>
      <vt:variant>
        <vt:lpwstr>https://kauwhatareo.tahurangi.education.govt.nz/mi/kauwhata-reo/whata-marau/ng-marau/te-t-rewa-marautanga-o-aotearoa/5637154333.c</vt:lpwstr>
      </vt:variant>
      <vt:variant>
        <vt:lpwstr/>
      </vt:variant>
      <vt:variant>
        <vt:i4>4587589</vt:i4>
      </vt:variant>
      <vt:variant>
        <vt:i4>21</vt:i4>
      </vt:variant>
      <vt:variant>
        <vt:i4>0</vt:i4>
      </vt:variant>
      <vt:variant>
        <vt:i4>5</vt:i4>
      </vt:variant>
      <vt:variant>
        <vt:lpwstr>https://newzealandcurriculum.tahurangi.education.govt.nz/new-zealand-curriculum/5637175326.p</vt:lpwstr>
      </vt:variant>
      <vt:variant>
        <vt:lpwstr/>
      </vt:variant>
      <vt:variant>
        <vt:i4>8323192</vt:i4>
      </vt:variant>
      <vt:variant>
        <vt:i4>18</vt:i4>
      </vt:variant>
      <vt:variant>
        <vt:i4>0</vt:i4>
      </vt:variant>
      <vt:variant>
        <vt:i4>5</vt:i4>
      </vt:variant>
      <vt:variant>
        <vt:lpwstr>https://tewhariki.tahurangi.education.govt.nz/</vt:lpwstr>
      </vt:variant>
      <vt:variant>
        <vt:lpwstr/>
      </vt:variant>
      <vt:variant>
        <vt:i4>6684777</vt:i4>
      </vt:variant>
      <vt:variant>
        <vt:i4>15</vt:i4>
      </vt:variant>
      <vt:variant>
        <vt:i4>0</vt:i4>
      </vt:variant>
      <vt:variant>
        <vt:i4>5</vt:i4>
      </vt:variant>
      <vt:variant>
        <vt:lpwstr>https://teachingcouncil.nz/en/become-a-teacher/based-in-aotearoa-new-zealand/study-to-become-a-teacher</vt:lpwstr>
      </vt:variant>
      <vt:variant>
        <vt:lpwstr/>
      </vt:variant>
      <vt:variant>
        <vt:i4>4194331</vt:i4>
      </vt:variant>
      <vt:variant>
        <vt:i4>12</vt:i4>
      </vt:variant>
      <vt:variant>
        <vt:i4>0</vt:i4>
      </vt:variant>
      <vt:variant>
        <vt:i4>5</vt:i4>
      </vt:variant>
      <vt:variant>
        <vt:lpwstr>https://teachingcouncil.nz/en/for-teacher-education-providers</vt:lpwstr>
      </vt:variant>
      <vt:variant>
        <vt:lpwstr/>
      </vt:variant>
      <vt:variant>
        <vt:i4>1769561</vt:i4>
      </vt:variant>
      <vt:variant>
        <vt:i4>9</vt:i4>
      </vt:variant>
      <vt:variant>
        <vt:i4>0</vt:i4>
      </vt:variant>
      <vt:variant>
        <vt:i4>5</vt:i4>
      </vt:variant>
      <vt:variant>
        <vt:lpwstr>https://www.educationcounts.govt.nz/publications/series/2515/5959</vt:lpwstr>
      </vt:variant>
      <vt:variant>
        <vt:lpwstr/>
      </vt:variant>
      <vt:variant>
        <vt:i4>4653136</vt:i4>
      </vt:variant>
      <vt:variant>
        <vt:i4>6</vt:i4>
      </vt:variant>
      <vt:variant>
        <vt:i4>0</vt:i4>
      </vt:variant>
      <vt:variant>
        <vt:i4>5</vt:i4>
      </vt:variant>
      <vt:variant>
        <vt:lpwstr>https://www.aeaweb.org/articles?id=10.1257/aer.100.2.267</vt:lpwstr>
      </vt:variant>
      <vt:variant>
        <vt:lpwstr/>
      </vt:variant>
      <vt:variant>
        <vt:i4>5439500</vt:i4>
      </vt:variant>
      <vt:variant>
        <vt:i4>3</vt:i4>
      </vt:variant>
      <vt:variant>
        <vt:i4>0</vt:i4>
      </vt:variant>
      <vt:variant>
        <vt:i4>5</vt:i4>
      </vt:variant>
      <vt:variant>
        <vt:lpwstr>https://research.acer.edu.au/cgi/viewcontent.cgi?article=1003&amp;context=research_conference_2003</vt:lpwstr>
      </vt:variant>
      <vt:variant>
        <vt:lpwstr/>
      </vt:variant>
      <vt:variant>
        <vt:i4>4194331</vt:i4>
      </vt:variant>
      <vt:variant>
        <vt:i4>0</vt:i4>
      </vt:variant>
      <vt:variant>
        <vt:i4>0</vt:i4>
      </vt:variant>
      <vt:variant>
        <vt:i4>5</vt:i4>
      </vt:variant>
      <vt:variant>
        <vt:lpwstr>https://teachingcouncil.nz/en/for-teacher-education-providers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Newth</dc:creator>
  <cp:keywords/>
  <dc:description/>
  <cp:lastModifiedBy>Natasha Kuka</cp:lastModifiedBy>
  <cp:revision>21</cp:revision>
  <cp:lastPrinted>2026-09-03T08:55:00Z</cp:lastPrinted>
  <dcterms:created xsi:type="dcterms:W3CDTF">2026-09-30T00:27:00Z</dcterms:created>
  <dcterms:modified xsi:type="dcterms:W3CDTF">2026-09-30T18:59:00Z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0x0101002B807146AA4D3844A415C28F3C621106</vt:lpwstr>
  </property>
  <property fmtid="{D5CDD505-2E9C-101B-9397-08002B2CF9AE}" pid="4" name="MSIP_Label_a30ee736-9350-4b29-845a-c3944302326f_Enabled">
    <vt:lpwstr>true</vt:lpwstr>
  </property>
  <property fmtid="{D5CDD505-2E9C-101B-9397-08002B2CF9AE}" pid="5" name="MSIP_Label_a30ee736-9350-4b29-845a-c3944302326f_SetDate">
    <vt:lpwstr>2024-08-29T04:52:10Z</vt:lpwstr>
  </property>
  <property fmtid="{D5CDD505-2E9C-101B-9397-08002B2CF9AE}" pid="6" name="MSIP_Label_a30ee736-9350-4b29-845a-c3944302326f_Method">
    <vt:lpwstr>Standard</vt:lpwstr>
  </property>
  <property fmtid="{D5CDD505-2E9C-101B-9397-08002B2CF9AE}" pid="7" name="MSIP_Label_a30ee736-9350-4b29-845a-c3944302326f_Name">
    <vt:lpwstr>General</vt:lpwstr>
  </property>
  <property fmtid="{D5CDD505-2E9C-101B-9397-08002B2CF9AE}" pid="8" name="MSIP_Label_a30ee736-9350-4b29-845a-c3944302326f_SiteId">
    <vt:lpwstr>ed6fb0f7-ec68-46f1-b035-fe5de3a02568</vt:lpwstr>
  </property>
  <property fmtid="{D5CDD505-2E9C-101B-9397-08002B2CF9AE}" pid="9" name="MSIP_Label_a30ee736-9350-4b29-845a-c3944302326f_ActionId">
    <vt:lpwstr>4d839066-9e71-453c-b025-3219fded5dea</vt:lpwstr>
  </property>
  <property fmtid="{D5CDD505-2E9C-101B-9397-08002B2CF9AE}" pid="10" name="MSIP_Label_a30ee736-9350-4b29-845a-c3944302326f_ContentBits">
    <vt:lpwstr>0</vt:lpwstr>
  </property>
  <property fmtid="{D5CDD505-2E9C-101B-9397-08002B2CF9AE}" pid="11" name="TemplafyTenantId">
    <vt:lpwstr>martinjenkins</vt:lpwstr>
  </property>
  <property fmtid="{D5CDD505-2E9C-101B-9397-08002B2CF9AE}" pid="12" name="TemplafyTemplateId">
    <vt:lpwstr>637979303920153713</vt:lpwstr>
  </property>
  <property fmtid="{D5CDD505-2E9C-101B-9397-08002B2CF9AE}" pid="13" name="TemplafyUserProfileId">
    <vt:lpwstr>719194713942392833</vt:lpwstr>
  </property>
  <property fmtid="{D5CDD505-2E9C-101B-9397-08002B2CF9AE}" pid="14" name="TemplafyFromBlank">
    <vt:bool>false</vt:bool>
  </property>
  <property fmtid="{D5CDD505-2E9C-101B-9397-08002B2CF9AE}" pid="15" name="docLang">
    <vt:lpwstr>en</vt:lpwstr>
  </property>
  <property fmtid="{D5CDD505-2E9C-101B-9397-08002B2CF9AE}" pid="16" name="ClassificationContentMarkingHeaderShapeIds">
    <vt:lpwstr>11dd646b,1552c41f,14bfec61,6b333141,6942e276,393f2b17,9cc6ec4,76107b68,39ba69f9,69973cc,9203c55,21d9f018,528c9a1c,4760ee4e,171f7b97,1612dce1,7fcd30a1,22481578</vt:lpwstr>
  </property>
  <property fmtid="{D5CDD505-2E9C-101B-9397-08002B2CF9AE}" pid="17" name="ClassificationContentMarkingHeaderFontProps">
    <vt:lpwstr>#000000,10,Aptos</vt:lpwstr>
  </property>
  <property fmtid="{D5CDD505-2E9C-101B-9397-08002B2CF9AE}" pid="18" name="ClassificationContentMarkingHeaderText">
    <vt:lpwstr>[IN-CONFIDENCE - RELEASE EXTERNAL]</vt:lpwstr>
  </property>
  <property fmtid="{D5CDD505-2E9C-101B-9397-08002B2CF9AE}" pid="19" name="ClassificationContentMarkingFooterShapeIds">
    <vt:lpwstr>390d9573,46870866,487e371a,51152a63,4ac8bd3e,1b5bbece,692d31a,926a51b,474ac7f1,514b54c7,57d6d3ca,2e0a8a5f,1f24a369,7955a04c,1c121806,5a9f94e2,1a51f4bf,23ca2b84</vt:lpwstr>
  </property>
  <property fmtid="{D5CDD505-2E9C-101B-9397-08002B2CF9AE}" pid="20" name="ClassificationContentMarkingFooterFontProps">
    <vt:lpwstr>#000000,10,Aptos</vt:lpwstr>
  </property>
  <property fmtid="{D5CDD505-2E9C-101B-9397-08002B2CF9AE}" pid="21" name="ClassificationContentMarkingFooterText">
    <vt:lpwstr>[IN-CONFIDENCE - RELEASE EXTERNAL]</vt:lpwstr>
  </property>
  <property fmtid="{D5CDD505-2E9C-101B-9397-08002B2CF9AE}" pid="22" name="MSIP_Label_1b4b38d8-92e6-456a-b12b-352d777e74dd_Enabled">
    <vt:lpwstr>true</vt:lpwstr>
  </property>
  <property fmtid="{D5CDD505-2E9C-101B-9397-08002B2CF9AE}" pid="23" name="MSIP_Label_1b4b38d8-92e6-456a-b12b-352d777e74dd_SetDate">
    <vt:lpwstr>2026-09-07T05:07:22Z</vt:lpwstr>
  </property>
  <property fmtid="{D5CDD505-2E9C-101B-9397-08002B2CF9AE}" pid="24" name="MSIP_Label_1b4b38d8-92e6-456a-b12b-352d777e74dd_Method">
    <vt:lpwstr>Privileged</vt:lpwstr>
  </property>
  <property fmtid="{D5CDD505-2E9C-101B-9397-08002B2CF9AE}" pid="25" name="MSIP_Label_1b4b38d8-92e6-456a-b12b-352d777e74dd_Name">
    <vt:lpwstr>IN CONFIDENCE - RELEASE EXTERNAL</vt:lpwstr>
  </property>
  <property fmtid="{D5CDD505-2E9C-101B-9397-08002B2CF9AE}" pid="26" name="MSIP_Label_1b4b38d8-92e6-456a-b12b-352d777e74dd_SiteId">
    <vt:lpwstr>e6d2d4cc-b762-486e-8894-4f5f440d5f31</vt:lpwstr>
  </property>
  <property fmtid="{D5CDD505-2E9C-101B-9397-08002B2CF9AE}" pid="27" name="MSIP_Label_1b4b38d8-92e6-456a-b12b-352d777e74dd_ActionId">
    <vt:lpwstr>4e4589da-2bb6-4cc7-b75b-7b428a74238c</vt:lpwstr>
  </property>
  <property fmtid="{D5CDD505-2E9C-101B-9397-08002B2CF9AE}" pid="28" name="MSIP_Label_1b4b38d8-92e6-456a-b12b-352d777e74dd_ContentBits">
    <vt:lpwstr>3</vt:lpwstr>
  </property>
  <property fmtid="{D5CDD505-2E9C-101B-9397-08002B2CF9AE}" pid="29" name="MSIP_Label_1b4b38d8-92e6-456a-b12b-352d777e74dd_Tag">
    <vt:lpwstr>10, 0, 1, 1</vt:lpwstr>
  </property>
  <property fmtid="{D5CDD505-2E9C-101B-9397-08002B2CF9AE}" pid="30" name="lcf76f155ced4ddcb4097134ff3c332f">
    <vt:lpwstr/>
  </property>
  <property fmtid="{D5CDD505-2E9C-101B-9397-08002B2CF9AE}" pid="31" name="Doc_x0020_Type">
    <vt:lpwstr>1;#Working Docs|0bb43b32-7ab0-45b3-a871-71680d39500b</vt:lpwstr>
  </property>
  <property fmtid="{D5CDD505-2E9C-101B-9397-08002B2CF9AE}" pid="32" name="Business_x0020_Unit">
    <vt:lpwstr>16;#PP|c12a143f-b595-4d38-83ea-f6eaed295469</vt:lpwstr>
  </property>
  <property fmtid="{D5CDD505-2E9C-101B-9397-08002B2CF9AE}" pid="33" name="Business Unit">
    <vt:lpwstr>16;#PP|c12a143f-b595-4d38-83ea-f6eaed295469</vt:lpwstr>
  </property>
  <property fmtid="{D5CDD505-2E9C-101B-9397-08002B2CF9AE}" pid="34" name="Doc Type">
    <vt:lpwstr>1;#Working Docs|0bb43b32-7ab0-45b3-a871-71680d39500b</vt:lpwstr>
  </property>
  <property fmtid="{D5CDD505-2E9C-101B-9397-08002B2CF9AE}" pid="35" name="_dlc_DocIdItemGuid">
    <vt:lpwstr>fc3a19b7-b34d-499e-a03f-2f27de83daed</vt:lpwstr>
  </property>
</Properties>
</file>