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xmlns:a16="http://schemas.microsoft.com/office/drawing/2014/main" xmlns:c="http://schemas.openxmlformats.org/drawingml/2006/chart" mc:Ignorable="w14 w15 w16se w16cid w16 w16cex w16sdtdh w16sdtfl w16du wp14">
  <w:body>
    <w:p w:rsidRPr="00DA547D" w:rsidR="003F39BC" w:rsidP="00DA547D" w:rsidRDefault="006D0653" w14:paraId="7A28D6FA" w14:textId="77777777">
      <w:pPr>
        <w:pStyle w:val="Notforcontentsheading1"/>
      </w:pPr>
      <w:bookmarkStart w:name="_Hlk211342868" w:id="0"/>
      <w:bookmarkEnd w:id="0"/>
      <w:r>
        <w:rPr>
          <w:noProof/>
        </w:rPr>
        <w:drawing>
          <wp:anchor distT="0" distB="0" distL="114300" distR="114300" simplePos="0" relativeHeight="251658240" behindDoc="1" locked="0" layoutInCell="1" allowOverlap="1" wp14:anchorId="397B65A0" wp14:editId="661DC36B">
            <wp:simplePos x="0" y="0"/>
            <wp:positionH relativeFrom="column">
              <wp:posOffset>-800100</wp:posOffset>
            </wp:positionH>
            <wp:positionV relativeFrom="paragraph">
              <wp:posOffset>-847725</wp:posOffset>
            </wp:positionV>
            <wp:extent cx="7553496" cy="10692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7553496" cy="10692000"/>
                    </a:xfrm>
                    <a:prstGeom prst="rect">
                      <a:avLst/>
                    </a:prstGeom>
                  </pic:spPr>
                </pic:pic>
              </a:graphicData>
            </a:graphic>
            <wp14:sizeRelH relativeFrom="margin">
              <wp14:pctWidth>0</wp14:pctWidth>
            </wp14:sizeRelH>
            <wp14:sizeRelV relativeFrom="margin">
              <wp14:pctHeight>0</wp14:pctHeight>
            </wp14:sizeRelV>
          </wp:anchor>
        </w:drawing>
      </w:r>
    </w:p>
    <w:p w:rsidR="003F39BC" w:rsidP="00EB6383" w:rsidRDefault="003F39BC" w14:paraId="0BCC1DCC" w14:textId="77777777">
      <w:pPr>
        <w:pStyle w:val="Title"/>
      </w:pPr>
    </w:p>
    <w:p w:rsidRPr="0082040D" w:rsidR="0082040D" w:rsidP="0082040D" w:rsidRDefault="0082040D" w14:paraId="414DF1FA" w14:textId="77777777">
      <w:pPr>
        <w:pStyle w:val="Title"/>
      </w:pPr>
      <w:r w:rsidRPr="0082040D">
        <w:t>Draft Tertiary Education Strategy</w:t>
      </w:r>
    </w:p>
    <w:p w:rsidRPr="00386FFF" w:rsidR="00386FFF" w:rsidP="00386FFF" w:rsidRDefault="00386FFF" w14:paraId="73353219" w14:textId="77777777">
      <w:pPr>
        <w:rPr>
          <w:rFonts w:eastAsiaTheme="minorEastAsia" w:cstheme="minorBidi"/>
          <w:b/>
          <w:color w:val="4D1F40"/>
          <w:kern w:val="28"/>
          <w:sz w:val="48"/>
          <w:szCs w:val="22"/>
        </w:rPr>
      </w:pPr>
      <w:r w:rsidRPr="00386FFF">
        <w:rPr>
          <w:rFonts w:eastAsiaTheme="minorEastAsia" w:cstheme="minorBidi"/>
          <w:b/>
          <w:color w:val="4D1F40"/>
          <w:kern w:val="28"/>
          <w:sz w:val="48"/>
          <w:szCs w:val="22"/>
        </w:rPr>
        <w:t>Summary of submissions</w:t>
      </w:r>
    </w:p>
    <w:p w:rsidRPr="00EB6383" w:rsidR="00EB6383" w:rsidP="00EB6383" w:rsidRDefault="00EB6383" w14:paraId="06663FC1" w14:textId="77777777"/>
    <w:p w:rsidR="001219C9" w:rsidP="00035BA7" w:rsidRDefault="001219C9" w14:paraId="1BA8866A" w14:textId="77777777"/>
    <w:p w:rsidRPr="00035BA7" w:rsidR="00327FC3" w:rsidP="00035BA7" w:rsidRDefault="00327FC3" w14:paraId="35A78764" w14:textId="77777777"/>
    <w:p w:rsidR="00212175" w:rsidRDefault="00212175" w14:paraId="7701D720" w14:textId="77777777">
      <w:r>
        <w:br w:type="page"/>
      </w:r>
    </w:p>
    <w:p w:rsidR="00E90038" w:rsidP="00E90038" w:rsidRDefault="00E90038" w14:paraId="1CA6D1A0" w14:textId="77777777"/>
    <w:p w:rsidRPr="00741205" w:rsidR="00E90038" w:rsidP="00E90038" w:rsidRDefault="00E90038" w14:paraId="46C4A949" w14:textId="018DAAD4">
      <w:pPr>
        <w:spacing w:before="0"/>
        <w:rPr>
          <w:rFonts w:cs="Arial"/>
          <w:sz w:val="22"/>
          <w:szCs w:val="22"/>
        </w:rPr>
      </w:pPr>
      <w:r w:rsidRPr="35937218">
        <w:rPr>
          <w:rFonts w:eastAsia="Calibri" w:cs="Arial"/>
          <w:sz w:val="22"/>
          <w:szCs w:val="22"/>
        </w:rPr>
        <w:t xml:space="preserve">Published by the Ministry of Education, New Zealand, </w:t>
      </w:r>
      <w:proofErr w:type="spellStart"/>
      <w:r w:rsidRPr="35937218" w:rsidR="7A6AA68C">
        <w:rPr>
          <w:rFonts w:eastAsia="Calibri" w:cs="Arial"/>
          <w:sz w:val="22"/>
          <w:szCs w:val="22"/>
        </w:rPr>
        <w:t>xxxxxxxx</w:t>
      </w:r>
      <w:proofErr w:type="spellEnd"/>
      <w:r w:rsidRPr="35937218" w:rsidR="7A6AA68C">
        <w:rPr>
          <w:rFonts w:eastAsia="Calibri" w:cs="Arial"/>
          <w:sz w:val="22"/>
          <w:szCs w:val="22"/>
        </w:rPr>
        <w:t xml:space="preserve"> </w:t>
      </w:r>
      <w:r w:rsidRPr="35937218">
        <w:rPr>
          <w:rFonts w:eastAsia="Calibri" w:cs="Arial"/>
          <w:sz w:val="22"/>
          <w:szCs w:val="22"/>
        </w:rPr>
        <w:t>202</w:t>
      </w:r>
      <w:r w:rsidRPr="35937218" w:rsidR="3BE8683D">
        <w:rPr>
          <w:rFonts w:eastAsia="Calibri" w:cs="Arial"/>
          <w:sz w:val="22"/>
          <w:szCs w:val="22"/>
        </w:rPr>
        <w:t>5</w:t>
      </w:r>
      <w:r w:rsidRPr="35937218">
        <w:rPr>
          <w:rFonts w:eastAsia="Calibri" w:cs="Arial"/>
          <w:sz w:val="22"/>
          <w:szCs w:val="22"/>
        </w:rPr>
        <w:t>.</w:t>
      </w:r>
    </w:p>
    <w:p w:rsidRPr="00741205" w:rsidR="00E90038" w:rsidP="00E90038" w:rsidRDefault="00E90038" w14:paraId="019F3E46" w14:textId="115C1F72">
      <w:pPr>
        <w:spacing w:before="0"/>
        <w:rPr>
          <w:rFonts w:cs="Arial"/>
          <w:sz w:val="22"/>
          <w:szCs w:val="22"/>
        </w:rPr>
      </w:pPr>
      <w:proofErr w:type="spellStart"/>
      <w:r w:rsidRPr="00741205">
        <w:rPr>
          <w:rFonts w:eastAsia="Calibri" w:cs="Arial"/>
          <w:sz w:val="22"/>
          <w:szCs w:val="22"/>
        </w:rPr>
        <w:t>Mātauranga</w:t>
      </w:r>
      <w:proofErr w:type="spellEnd"/>
      <w:r w:rsidRPr="00741205">
        <w:rPr>
          <w:rFonts w:eastAsia="Calibri" w:cs="Arial"/>
          <w:sz w:val="22"/>
          <w:szCs w:val="22"/>
        </w:rPr>
        <w:t xml:space="preserve"> House, 33 Bowen Street </w:t>
      </w:r>
      <w:r w:rsidRPr="00741205">
        <w:rPr>
          <w:rFonts w:cs="Arial"/>
          <w:sz w:val="22"/>
          <w:szCs w:val="22"/>
        </w:rPr>
        <w:br/>
      </w:r>
      <w:r w:rsidRPr="00741205">
        <w:rPr>
          <w:rFonts w:eastAsia="Calibri" w:cs="Arial"/>
          <w:sz w:val="22"/>
          <w:szCs w:val="22"/>
        </w:rPr>
        <w:t>PO Box 1666, Thorndon</w:t>
      </w:r>
      <w:r w:rsidRPr="00741205">
        <w:rPr>
          <w:rFonts w:cs="Arial"/>
          <w:sz w:val="22"/>
          <w:szCs w:val="22"/>
        </w:rPr>
        <w:br/>
      </w:r>
      <w:r w:rsidRPr="00741205">
        <w:rPr>
          <w:rFonts w:eastAsia="Calibri" w:cs="Arial"/>
          <w:sz w:val="22"/>
          <w:szCs w:val="22"/>
        </w:rPr>
        <w:t>Wellington 6140, New Zealand.</w:t>
      </w:r>
    </w:p>
    <w:p w:rsidRPr="00741205" w:rsidR="00E90038" w:rsidP="00E90038" w:rsidRDefault="00E90038" w14:paraId="5524B45B" w14:textId="77777777">
      <w:pPr>
        <w:spacing w:before="0"/>
        <w:rPr>
          <w:rFonts w:cs="Arial"/>
          <w:sz w:val="22"/>
          <w:szCs w:val="22"/>
        </w:rPr>
      </w:pPr>
      <w:hyperlink r:id="rId15">
        <w:r w:rsidRPr="00741205">
          <w:rPr>
            <w:rStyle w:val="Hyperlink"/>
            <w:rFonts w:eastAsia="Calibri" w:cs="Arial"/>
            <w:color w:val="0072DA" w:themeColor="accent3"/>
            <w:sz w:val="22"/>
            <w:szCs w:val="22"/>
          </w:rPr>
          <w:t>www.education.govt.nz</w:t>
        </w:r>
      </w:hyperlink>
    </w:p>
    <w:p w:rsidRPr="00741205" w:rsidR="00E90038" w:rsidP="00E90038" w:rsidRDefault="00E90038" w14:paraId="7C27F859" w14:textId="77777777">
      <w:pPr>
        <w:spacing w:before="0"/>
        <w:rPr>
          <w:rFonts w:cs="Arial"/>
          <w:sz w:val="22"/>
          <w:szCs w:val="22"/>
        </w:rPr>
      </w:pPr>
      <w:r w:rsidRPr="00741205">
        <w:rPr>
          <w:rFonts w:cs="Arial"/>
          <w:noProof/>
          <w:sz w:val="22"/>
          <w:szCs w:val="22"/>
        </w:rPr>
        <w:drawing>
          <wp:inline distT="0" distB="0" distL="0" distR="0" wp14:anchorId="05468A2F" wp14:editId="7E2FD276">
            <wp:extent cx="1231499" cy="432854"/>
            <wp:effectExtent l="0" t="0" r="0" b="0"/>
            <wp:docPr id="3" name="Picture 3"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y and black sign with a person in a circ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231499" cy="432854"/>
                    </a:xfrm>
                    <a:prstGeom prst="rect">
                      <a:avLst/>
                    </a:prstGeom>
                  </pic:spPr>
                </pic:pic>
              </a:graphicData>
            </a:graphic>
          </wp:inline>
        </w:drawing>
      </w:r>
    </w:p>
    <w:p w:rsidRPr="00741205" w:rsidR="00E90038" w:rsidP="00E90038" w:rsidRDefault="00E90038" w14:paraId="246F6C37" w14:textId="648D3072">
      <w:pPr>
        <w:spacing w:before="0" w:after="0"/>
        <w:rPr>
          <w:rFonts w:eastAsia="Arial" w:cs="Arial"/>
          <w:sz w:val="22"/>
          <w:szCs w:val="22"/>
        </w:rPr>
      </w:pPr>
      <w:r w:rsidRPr="35937218">
        <w:rPr>
          <w:rFonts w:eastAsia="Arial" w:cs="Arial"/>
          <w:sz w:val="22"/>
          <w:szCs w:val="22"/>
        </w:rPr>
        <w:t>Crown copyright © 202</w:t>
      </w:r>
      <w:r w:rsidRPr="35937218" w:rsidR="2B32FDA4">
        <w:rPr>
          <w:rFonts w:eastAsia="Arial" w:cs="Arial"/>
          <w:sz w:val="22"/>
          <w:szCs w:val="22"/>
        </w:rPr>
        <w:t>5</w:t>
      </w:r>
    </w:p>
    <w:p w:rsidRPr="00741205" w:rsidR="00E90038" w:rsidP="00E90038" w:rsidRDefault="00E90038" w14:paraId="61973373" w14:textId="77777777">
      <w:pPr>
        <w:spacing w:before="0" w:after="0"/>
        <w:rPr>
          <w:rFonts w:eastAsia="Arial" w:cs="Arial"/>
          <w:sz w:val="22"/>
          <w:szCs w:val="22"/>
        </w:rPr>
      </w:pPr>
      <w:r w:rsidRPr="00741205">
        <w:rPr>
          <w:rFonts w:eastAsia="Arial" w:cs="Arial"/>
          <w:sz w:val="22"/>
          <w:szCs w:val="22"/>
        </w:rPr>
        <w:t xml:space="preserve">Except for the Ministry of Education’s logo, this copyright work is licensed under the Creative Commons Attribution 3.0 New Zealand licence. In essence, you are free to copy, distribute and adapt the work, </w:t>
      </w:r>
      <w:proofErr w:type="gramStart"/>
      <w:r w:rsidRPr="00741205">
        <w:rPr>
          <w:rFonts w:eastAsia="Arial" w:cs="Arial"/>
          <w:sz w:val="22"/>
          <w:szCs w:val="22"/>
        </w:rPr>
        <w:t>as long as</w:t>
      </w:r>
      <w:proofErr w:type="gramEnd"/>
      <w:r w:rsidRPr="00741205">
        <w:rPr>
          <w:rFonts w:eastAsia="Arial" w:cs="Arial"/>
          <w:sz w:val="22"/>
          <w:szCs w:val="22"/>
        </w:rPr>
        <w:t xml:space="preserve"> you attribute the work to the Ministry of Education and abide by the other licence terms. In your attribution, use the wording ‘Ministry of Education’, not the Ministry of Education logo or the New Zealand Government logo.</w:t>
      </w:r>
    </w:p>
    <w:p w:rsidRPr="00741205" w:rsidR="00E90038" w:rsidP="00E90038" w:rsidRDefault="00E90038" w14:paraId="009DA8D5" w14:textId="77777777">
      <w:pPr>
        <w:spacing w:before="0" w:after="0"/>
        <w:rPr>
          <w:rFonts w:eastAsia="Arial" w:cs="Arial"/>
          <w:sz w:val="22"/>
          <w:szCs w:val="22"/>
        </w:rPr>
      </w:pPr>
    </w:p>
    <w:p w:rsidRPr="003526BC" w:rsidR="00E90038" w:rsidP="35937218" w:rsidRDefault="00E90038" w14:paraId="3B62B5FE" w14:textId="42E2BD59">
      <w:pPr>
        <w:rPr>
          <w:b/>
          <w:bCs/>
          <w:color w:val="4C1F41"/>
          <w:sz w:val="36"/>
          <w:szCs w:val="36"/>
        </w:rPr>
      </w:pPr>
      <w:r w:rsidRPr="35937218">
        <w:rPr>
          <w:rFonts w:eastAsia="Arial" w:cs="Arial"/>
          <w:sz w:val="22"/>
          <w:szCs w:val="22"/>
        </w:rPr>
        <w:t xml:space="preserve">ISBN: </w:t>
      </w:r>
      <w:proofErr w:type="spellStart"/>
      <w:r w:rsidRPr="35937218" w:rsidR="20C6E596">
        <w:rPr>
          <w:rFonts w:eastAsia="Arial" w:cs="Arial"/>
          <w:sz w:val="22"/>
          <w:szCs w:val="22"/>
        </w:rPr>
        <w:t>xxxxxxxxxxxxx</w:t>
      </w:r>
      <w:proofErr w:type="spellEnd"/>
      <w:r w:rsidRPr="35937218">
        <w:rPr>
          <w:rFonts w:eastAsia="Arial" w:cs="Arial"/>
          <w:sz w:val="22"/>
          <w:szCs w:val="22"/>
        </w:rPr>
        <w:t xml:space="preserve"> (Online)</w:t>
      </w:r>
      <w:r>
        <w:br w:type="page"/>
      </w:r>
    </w:p>
    <w:sdt>
      <w:sdtPr>
        <w:id w:val="1088737451"/>
        <w:docPartObj>
          <w:docPartGallery w:val="Table of Contents"/>
          <w:docPartUnique/>
        </w:docPartObj>
        <w:rPr>
          <w:rFonts w:ascii="Arial" w:hAnsi="Arial" w:eastAsia="" w:cs="Times New Roman" w:eastAsiaTheme="minorEastAsia"/>
          <w:color w:val="auto"/>
          <w:sz w:val="24"/>
          <w:szCs w:val="24"/>
        </w:rPr>
      </w:sdtPr>
      <w:sdtEndPr>
        <w:rPr>
          <w:rFonts w:ascii="Arial" w:hAnsi="Arial" w:eastAsia="" w:cs="Times New Roman" w:eastAsiaTheme="minorEastAsia"/>
          <w:b w:val="1"/>
          <w:bCs w:val="1"/>
          <w:noProof/>
          <w:color w:val="auto"/>
          <w:sz w:val="24"/>
          <w:szCs w:val="24"/>
          <w:lang w:val="en-US"/>
        </w:rPr>
      </w:sdtEndPr>
      <w:sdtContent>
        <w:p w:rsidR="00A73234" w:rsidP="00AA6694" w:rsidRDefault="00A73234" w14:paraId="2C15586E" w14:textId="3A8BCE35">
          <w:pPr>
            <w:pStyle w:val="TOCHeading"/>
          </w:pPr>
          <w:r>
            <w:t>Table of contents</w:t>
          </w:r>
        </w:p>
        <w:p w:rsidR="002D76CF" w:rsidRDefault="00A73234" w14:paraId="22A3DC5C" w14:textId="7B68A1BB">
          <w:pPr>
            <w:pStyle w:val="TOC1"/>
            <w:tabs>
              <w:tab w:val="right" w:leader="dot" w:pos="9402"/>
            </w:tabs>
            <w:rPr>
              <w:rFonts w:asciiTheme="minorHAnsi" w:hAnsiTheme="minorHAnsi" w:eastAsiaTheme="minorEastAsia" w:cstheme="minorBidi"/>
              <w:noProof/>
              <w:kern w:val="2"/>
              <w:lang w:eastAsia="en-NZ"/>
              <w14:ligatures w14:val="standardContextual"/>
            </w:rPr>
          </w:pPr>
          <w:r>
            <w:fldChar w:fldCharType="begin"/>
          </w:r>
          <w:r>
            <w:instrText xml:space="preserve"> TOC \o "1-2" \h \z \u </w:instrText>
          </w:r>
          <w:r>
            <w:fldChar w:fldCharType="separate"/>
          </w:r>
          <w:hyperlink w:history="1" w:anchor="_Toc211348935">
            <w:r w:rsidRPr="003B670E" w:rsidR="002D76CF">
              <w:rPr>
                <w:rStyle w:val="Hyperlink"/>
                <w:noProof/>
              </w:rPr>
              <w:t>Consultation Process</w:t>
            </w:r>
            <w:r w:rsidR="002D76CF">
              <w:rPr>
                <w:noProof/>
                <w:webHidden/>
              </w:rPr>
              <w:tab/>
            </w:r>
            <w:r w:rsidR="002D76CF">
              <w:rPr>
                <w:noProof/>
                <w:webHidden/>
              </w:rPr>
              <w:fldChar w:fldCharType="begin"/>
            </w:r>
            <w:r w:rsidR="002D76CF">
              <w:rPr>
                <w:noProof/>
                <w:webHidden/>
              </w:rPr>
              <w:instrText xml:space="preserve"> PAGEREF _Toc211348935 \h </w:instrText>
            </w:r>
            <w:r w:rsidR="002D76CF">
              <w:rPr>
                <w:noProof/>
                <w:webHidden/>
              </w:rPr>
            </w:r>
            <w:r w:rsidR="002D76CF">
              <w:rPr>
                <w:noProof/>
                <w:webHidden/>
              </w:rPr>
              <w:fldChar w:fldCharType="separate"/>
            </w:r>
            <w:r w:rsidR="00ED2C25">
              <w:rPr>
                <w:noProof/>
                <w:webHidden/>
              </w:rPr>
              <w:t>4</w:t>
            </w:r>
            <w:r w:rsidR="002D76CF">
              <w:rPr>
                <w:noProof/>
                <w:webHidden/>
              </w:rPr>
              <w:fldChar w:fldCharType="end"/>
            </w:r>
          </w:hyperlink>
        </w:p>
        <w:p w:rsidR="002D76CF" w:rsidRDefault="002D76CF" w14:paraId="03498620" w14:textId="0C038C80">
          <w:pPr>
            <w:pStyle w:val="TOC2"/>
            <w:rPr>
              <w:rFonts w:asciiTheme="minorHAnsi" w:hAnsiTheme="minorHAnsi" w:eastAsiaTheme="minorEastAsia" w:cstheme="minorBidi"/>
              <w:noProof/>
              <w:kern w:val="2"/>
              <w:lang w:eastAsia="en-NZ"/>
              <w14:ligatures w14:val="standardContextual"/>
            </w:rPr>
          </w:pPr>
          <w:hyperlink w:history="1" w:anchor="_Toc211348936">
            <w:r w:rsidRPr="003B670E">
              <w:rPr>
                <w:rStyle w:val="Hyperlink"/>
                <w:noProof/>
              </w:rPr>
              <w:t>Approach to analysis</w:t>
            </w:r>
            <w:r>
              <w:rPr>
                <w:noProof/>
                <w:webHidden/>
              </w:rPr>
              <w:tab/>
            </w:r>
            <w:r>
              <w:rPr>
                <w:noProof/>
                <w:webHidden/>
              </w:rPr>
              <w:fldChar w:fldCharType="begin"/>
            </w:r>
            <w:r>
              <w:rPr>
                <w:noProof/>
                <w:webHidden/>
              </w:rPr>
              <w:instrText xml:space="preserve"> PAGEREF _Toc211348936 \h </w:instrText>
            </w:r>
            <w:r>
              <w:rPr>
                <w:noProof/>
                <w:webHidden/>
              </w:rPr>
            </w:r>
            <w:r>
              <w:rPr>
                <w:noProof/>
                <w:webHidden/>
              </w:rPr>
              <w:fldChar w:fldCharType="separate"/>
            </w:r>
            <w:r w:rsidR="00ED2C25">
              <w:rPr>
                <w:noProof/>
                <w:webHidden/>
              </w:rPr>
              <w:t>5</w:t>
            </w:r>
            <w:r>
              <w:rPr>
                <w:noProof/>
                <w:webHidden/>
              </w:rPr>
              <w:fldChar w:fldCharType="end"/>
            </w:r>
          </w:hyperlink>
        </w:p>
        <w:p w:rsidR="002D76CF" w:rsidRDefault="002D76CF" w14:paraId="36AB1ECA" w14:textId="34ECD37D">
          <w:pPr>
            <w:pStyle w:val="TOC1"/>
            <w:tabs>
              <w:tab w:val="right" w:leader="dot" w:pos="9402"/>
            </w:tabs>
            <w:rPr>
              <w:rFonts w:asciiTheme="minorHAnsi" w:hAnsiTheme="minorHAnsi" w:eastAsiaTheme="minorEastAsia" w:cstheme="minorBidi"/>
              <w:noProof/>
              <w:kern w:val="2"/>
              <w:lang w:eastAsia="en-NZ"/>
              <w14:ligatures w14:val="standardContextual"/>
            </w:rPr>
          </w:pPr>
          <w:hyperlink w:history="1" w:anchor="_Toc211348937">
            <w:r w:rsidRPr="003B670E">
              <w:rPr>
                <w:rStyle w:val="Hyperlink"/>
                <w:noProof/>
              </w:rPr>
              <w:t>Strategic Direction</w:t>
            </w:r>
            <w:r>
              <w:rPr>
                <w:noProof/>
                <w:webHidden/>
              </w:rPr>
              <w:tab/>
            </w:r>
            <w:r>
              <w:rPr>
                <w:noProof/>
                <w:webHidden/>
              </w:rPr>
              <w:fldChar w:fldCharType="begin"/>
            </w:r>
            <w:r>
              <w:rPr>
                <w:noProof/>
                <w:webHidden/>
              </w:rPr>
              <w:instrText xml:space="preserve"> PAGEREF _Toc211348937 \h </w:instrText>
            </w:r>
            <w:r>
              <w:rPr>
                <w:noProof/>
                <w:webHidden/>
              </w:rPr>
            </w:r>
            <w:r>
              <w:rPr>
                <w:noProof/>
                <w:webHidden/>
              </w:rPr>
              <w:fldChar w:fldCharType="separate"/>
            </w:r>
            <w:r w:rsidR="00ED2C25">
              <w:rPr>
                <w:noProof/>
                <w:webHidden/>
              </w:rPr>
              <w:t>6</w:t>
            </w:r>
            <w:r>
              <w:rPr>
                <w:noProof/>
                <w:webHidden/>
              </w:rPr>
              <w:fldChar w:fldCharType="end"/>
            </w:r>
          </w:hyperlink>
        </w:p>
        <w:p w:rsidR="002D76CF" w:rsidRDefault="002D76CF" w14:paraId="5DC908D2" w14:textId="78CDB043">
          <w:pPr>
            <w:pStyle w:val="TOC2"/>
            <w:rPr>
              <w:rFonts w:asciiTheme="minorHAnsi" w:hAnsiTheme="minorHAnsi" w:eastAsiaTheme="minorEastAsia" w:cstheme="minorBidi"/>
              <w:noProof/>
              <w:kern w:val="2"/>
              <w:lang w:eastAsia="en-NZ"/>
              <w14:ligatures w14:val="standardContextual"/>
            </w:rPr>
          </w:pPr>
          <w:hyperlink w:history="1" w:anchor="_Toc211348938">
            <w:r w:rsidRPr="003B670E">
              <w:rPr>
                <w:rStyle w:val="Hyperlink"/>
                <w:noProof/>
              </w:rPr>
              <w:t>Objective for tertiary education</w:t>
            </w:r>
            <w:r>
              <w:rPr>
                <w:noProof/>
                <w:webHidden/>
              </w:rPr>
              <w:tab/>
            </w:r>
            <w:r>
              <w:rPr>
                <w:noProof/>
                <w:webHidden/>
              </w:rPr>
              <w:fldChar w:fldCharType="begin"/>
            </w:r>
            <w:r>
              <w:rPr>
                <w:noProof/>
                <w:webHidden/>
              </w:rPr>
              <w:instrText xml:space="preserve"> PAGEREF _Toc211348938 \h </w:instrText>
            </w:r>
            <w:r>
              <w:rPr>
                <w:noProof/>
                <w:webHidden/>
              </w:rPr>
            </w:r>
            <w:r>
              <w:rPr>
                <w:noProof/>
                <w:webHidden/>
              </w:rPr>
              <w:fldChar w:fldCharType="separate"/>
            </w:r>
            <w:r w:rsidR="00ED2C25">
              <w:rPr>
                <w:noProof/>
                <w:webHidden/>
              </w:rPr>
              <w:t>6</w:t>
            </w:r>
            <w:r>
              <w:rPr>
                <w:noProof/>
                <w:webHidden/>
              </w:rPr>
              <w:fldChar w:fldCharType="end"/>
            </w:r>
          </w:hyperlink>
        </w:p>
        <w:p w:rsidR="002D76CF" w:rsidRDefault="002D76CF" w14:paraId="04643E2E" w14:textId="63236FF7">
          <w:pPr>
            <w:pStyle w:val="TOC2"/>
            <w:rPr>
              <w:rFonts w:asciiTheme="minorHAnsi" w:hAnsiTheme="minorHAnsi" w:eastAsiaTheme="minorEastAsia" w:cstheme="minorBidi"/>
              <w:noProof/>
              <w:kern w:val="2"/>
              <w:lang w:eastAsia="en-NZ"/>
              <w14:ligatures w14:val="standardContextual"/>
            </w:rPr>
          </w:pPr>
          <w:hyperlink w:history="1" w:anchor="_Toc211348939">
            <w:r w:rsidRPr="003B670E">
              <w:rPr>
                <w:rStyle w:val="Hyperlink"/>
                <w:noProof/>
              </w:rPr>
              <w:t>Drivers for change</w:t>
            </w:r>
            <w:r>
              <w:rPr>
                <w:noProof/>
                <w:webHidden/>
              </w:rPr>
              <w:tab/>
            </w:r>
            <w:r>
              <w:rPr>
                <w:noProof/>
                <w:webHidden/>
              </w:rPr>
              <w:fldChar w:fldCharType="begin"/>
            </w:r>
            <w:r>
              <w:rPr>
                <w:noProof/>
                <w:webHidden/>
              </w:rPr>
              <w:instrText xml:space="preserve"> PAGEREF _Toc211348939 \h </w:instrText>
            </w:r>
            <w:r>
              <w:rPr>
                <w:noProof/>
                <w:webHidden/>
              </w:rPr>
            </w:r>
            <w:r>
              <w:rPr>
                <w:noProof/>
                <w:webHidden/>
              </w:rPr>
              <w:fldChar w:fldCharType="separate"/>
            </w:r>
            <w:r w:rsidR="00ED2C25">
              <w:rPr>
                <w:noProof/>
                <w:webHidden/>
              </w:rPr>
              <w:t>8</w:t>
            </w:r>
            <w:r>
              <w:rPr>
                <w:noProof/>
                <w:webHidden/>
              </w:rPr>
              <w:fldChar w:fldCharType="end"/>
            </w:r>
          </w:hyperlink>
        </w:p>
        <w:p w:rsidR="002D76CF" w:rsidRDefault="002D76CF" w14:paraId="14B20EAE" w14:textId="35852F2F">
          <w:pPr>
            <w:pStyle w:val="TOC2"/>
            <w:rPr>
              <w:rFonts w:asciiTheme="minorHAnsi" w:hAnsiTheme="minorHAnsi" w:eastAsiaTheme="minorEastAsia" w:cstheme="minorBidi"/>
              <w:noProof/>
              <w:kern w:val="2"/>
              <w:lang w:eastAsia="en-NZ"/>
              <w14:ligatures w14:val="standardContextual"/>
            </w:rPr>
          </w:pPr>
          <w:hyperlink w:history="1" w:anchor="_Toc211348940">
            <w:r w:rsidRPr="003B670E">
              <w:rPr>
                <w:rStyle w:val="Hyperlink"/>
                <w:noProof/>
              </w:rPr>
              <w:t>Different or additional priorities</w:t>
            </w:r>
            <w:r>
              <w:rPr>
                <w:noProof/>
                <w:webHidden/>
              </w:rPr>
              <w:tab/>
            </w:r>
            <w:r>
              <w:rPr>
                <w:noProof/>
                <w:webHidden/>
              </w:rPr>
              <w:fldChar w:fldCharType="begin"/>
            </w:r>
            <w:r>
              <w:rPr>
                <w:noProof/>
                <w:webHidden/>
              </w:rPr>
              <w:instrText xml:space="preserve"> PAGEREF _Toc211348940 \h </w:instrText>
            </w:r>
            <w:r>
              <w:rPr>
                <w:noProof/>
                <w:webHidden/>
              </w:rPr>
            </w:r>
            <w:r>
              <w:rPr>
                <w:noProof/>
                <w:webHidden/>
              </w:rPr>
              <w:fldChar w:fldCharType="separate"/>
            </w:r>
            <w:r w:rsidR="00ED2C25">
              <w:rPr>
                <w:noProof/>
                <w:webHidden/>
              </w:rPr>
              <w:t>11</w:t>
            </w:r>
            <w:r>
              <w:rPr>
                <w:noProof/>
                <w:webHidden/>
              </w:rPr>
              <w:fldChar w:fldCharType="end"/>
            </w:r>
          </w:hyperlink>
        </w:p>
        <w:p w:rsidR="002D76CF" w:rsidRDefault="002D76CF" w14:paraId="0DE9E3E2" w14:textId="4E308D12">
          <w:pPr>
            <w:pStyle w:val="TOC1"/>
            <w:tabs>
              <w:tab w:val="right" w:leader="dot" w:pos="9402"/>
            </w:tabs>
            <w:rPr>
              <w:rFonts w:asciiTheme="minorHAnsi" w:hAnsiTheme="minorHAnsi" w:eastAsiaTheme="minorEastAsia" w:cstheme="minorBidi"/>
              <w:noProof/>
              <w:kern w:val="2"/>
              <w:lang w:eastAsia="en-NZ"/>
              <w14:ligatures w14:val="standardContextual"/>
            </w:rPr>
          </w:pPr>
          <w:hyperlink w:history="1" w:anchor="_Toc211348941">
            <w:r w:rsidRPr="003B670E">
              <w:rPr>
                <w:rStyle w:val="Hyperlink"/>
                <w:noProof/>
              </w:rPr>
              <w:t>Feedback on the TES Priorities</w:t>
            </w:r>
            <w:r>
              <w:rPr>
                <w:noProof/>
                <w:webHidden/>
              </w:rPr>
              <w:tab/>
            </w:r>
            <w:r>
              <w:rPr>
                <w:noProof/>
                <w:webHidden/>
              </w:rPr>
              <w:fldChar w:fldCharType="begin"/>
            </w:r>
            <w:r>
              <w:rPr>
                <w:noProof/>
                <w:webHidden/>
              </w:rPr>
              <w:instrText xml:space="preserve"> PAGEREF _Toc211348941 \h </w:instrText>
            </w:r>
            <w:r>
              <w:rPr>
                <w:noProof/>
                <w:webHidden/>
              </w:rPr>
            </w:r>
            <w:r>
              <w:rPr>
                <w:noProof/>
                <w:webHidden/>
              </w:rPr>
              <w:fldChar w:fldCharType="separate"/>
            </w:r>
            <w:r w:rsidR="00ED2C25">
              <w:rPr>
                <w:noProof/>
                <w:webHidden/>
              </w:rPr>
              <w:t>14</w:t>
            </w:r>
            <w:r>
              <w:rPr>
                <w:noProof/>
                <w:webHidden/>
              </w:rPr>
              <w:fldChar w:fldCharType="end"/>
            </w:r>
          </w:hyperlink>
        </w:p>
        <w:p w:rsidR="002D76CF" w:rsidRDefault="002D76CF" w14:paraId="60D81131" w14:textId="2C709B0B">
          <w:pPr>
            <w:pStyle w:val="TOC2"/>
            <w:rPr>
              <w:rFonts w:asciiTheme="minorHAnsi" w:hAnsiTheme="minorHAnsi" w:eastAsiaTheme="minorEastAsia" w:cstheme="minorBidi"/>
              <w:noProof/>
              <w:kern w:val="2"/>
              <w:lang w:eastAsia="en-NZ"/>
              <w14:ligatures w14:val="standardContextual"/>
            </w:rPr>
          </w:pPr>
          <w:hyperlink w:history="1" w:anchor="_Toc211348942">
            <w:r w:rsidRPr="003B670E">
              <w:rPr>
                <w:rStyle w:val="Hyperlink"/>
                <w:noProof/>
              </w:rPr>
              <w:t>Achievement</w:t>
            </w:r>
            <w:r>
              <w:rPr>
                <w:noProof/>
                <w:webHidden/>
              </w:rPr>
              <w:tab/>
            </w:r>
            <w:r>
              <w:rPr>
                <w:noProof/>
                <w:webHidden/>
              </w:rPr>
              <w:fldChar w:fldCharType="begin"/>
            </w:r>
            <w:r>
              <w:rPr>
                <w:noProof/>
                <w:webHidden/>
              </w:rPr>
              <w:instrText xml:space="preserve"> PAGEREF _Toc211348942 \h </w:instrText>
            </w:r>
            <w:r>
              <w:rPr>
                <w:noProof/>
                <w:webHidden/>
              </w:rPr>
            </w:r>
            <w:r>
              <w:rPr>
                <w:noProof/>
                <w:webHidden/>
              </w:rPr>
              <w:fldChar w:fldCharType="separate"/>
            </w:r>
            <w:r w:rsidR="00ED2C25">
              <w:rPr>
                <w:noProof/>
                <w:webHidden/>
              </w:rPr>
              <w:t>14</w:t>
            </w:r>
            <w:r>
              <w:rPr>
                <w:noProof/>
                <w:webHidden/>
              </w:rPr>
              <w:fldChar w:fldCharType="end"/>
            </w:r>
          </w:hyperlink>
        </w:p>
        <w:p w:rsidR="002D76CF" w:rsidRDefault="002D76CF" w14:paraId="5C187890" w14:textId="3F9736C5">
          <w:pPr>
            <w:pStyle w:val="TOC2"/>
            <w:rPr>
              <w:rFonts w:asciiTheme="minorHAnsi" w:hAnsiTheme="minorHAnsi" w:eastAsiaTheme="minorEastAsia" w:cstheme="minorBidi"/>
              <w:noProof/>
              <w:kern w:val="2"/>
              <w:lang w:eastAsia="en-NZ"/>
              <w14:ligatures w14:val="standardContextual"/>
            </w:rPr>
          </w:pPr>
          <w:hyperlink w:history="1" w:anchor="_Toc211348943">
            <w:r w:rsidRPr="003B670E">
              <w:rPr>
                <w:rStyle w:val="Hyperlink"/>
                <w:noProof/>
              </w:rPr>
              <w:t>Economic Impact and Innovation</w:t>
            </w:r>
            <w:r>
              <w:rPr>
                <w:noProof/>
                <w:webHidden/>
              </w:rPr>
              <w:tab/>
            </w:r>
            <w:r>
              <w:rPr>
                <w:noProof/>
                <w:webHidden/>
              </w:rPr>
              <w:fldChar w:fldCharType="begin"/>
            </w:r>
            <w:r>
              <w:rPr>
                <w:noProof/>
                <w:webHidden/>
              </w:rPr>
              <w:instrText xml:space="preserve"> PAGEREF _Toc211348943 \h </w:instrText>
            </w:r>
            <w:r>
              <w:rPr>
                <w:noProof/>
                <w:webHidden/>
              </w:rPr>
            </w:r>
            <w:r>
              <w:rPr>
                <w:noProof/>
                <w:webHidden/>
              </w:rPr>
              <w:fldChar w:fldCharType="separate"/>
            </w:r>
            <w:r w:rsidR="00ED2C25">
              <w:rPr>
                <w:noProof/>
                <w:webHidden/>
              </w:rPr>
              <w:t>22</w:t>
            </w:r>
            <w:r>
              <w:rPr>
                <w:noProof/>
                <w:webHidden/>
              </w:rPr>
              <w:fldChar w:fldCharType="end"/>
            </w:r>
          </w:hyperlink>
        </w:p>
        <w:p w:rsidR="002D76CF" w:rsidRDefault="002D76CF" w14:paraId="31D61E81" w14:textId="205A37A0">
          <w:pPr>
            <w:pStyle w:val="TOC2"/>
            <w:rPr>
              <w:rFonts w:asciiTheme="minorHAnsi" w:hAnsiTheme="minorHAnsi" w:eastAsiaTheme="minorEastAsia" w:cstheme="minorBidi"/>
              <w:noProof/>
              <w:kern w:val="2"/>
              <w:lang w:eastAsia="en-NZ"/>
              <w14:ligatures w14:val="standardContextual"/>
            </w:rPr>
          </w:pPr>
          <w:hyperlink w:history="1" w:anchor="_Toc211348944">
            <w:r w:rsidRPr="003B670E">
              <w:rPr>
                <w:rStyle w:val="Hyperlink"/>
                <w:noProof/>
              </w:rPr>
              <w:t>Access and Participation</w:t>
            </w:r>
            <w:r>
              <w:rPr>
                <w:noProof/>
                <w:webHidden/>
              </w:rPr>
              <w:tab/>
            </w:r>
            <w:r>
              <w:rPr>
                <w:noProof/>
                <w:webHidden/>
              </w:rPr>
              <w:fldChar w:fldCharType="begin"/>
            </w:r>
            <w:r>
              <w:rPr>
                <w:noProof/>
                <w:webHidden/>
              </w:rPr>
              <w:instrText xml:space="preserve"> PAGEREF _Toc211348944 \h </w:instrText>
            </w:r>
            <w:r>
              <w:rPr>
                <w:noProof/>
                <w:webHidden/>
              </w:rPr>
            </w:r>
            <w:r>
              <w:rPr>
                <w:noProof/>
                <w:webHidden/>
              </w:rPr>
              <w:fldChar w:fldCharType="separate"/>
            </w:r>
            <w:r w:rsidR="00ED2C25">
              <w:rPr>
                <w:noProof/>
                <w:webHidden/>
              </w:rPr>
              <w:t>28</w:t>
            </w:r>
            <w:r>
              <w:rPr>
                <w:noProof/>
                <w:webHidden/>
              </w:rPr>
              <w:fldChar w:fldCharType="end"/>
            </w:r>
          </w:hyperlink>
        </w:p>
        <w:p w:rsidR="002D76CF" w:rsidRDefault="002D76CF" w14:paraId="7E5D0DCE" w14:textId="75AB958F">
          <w:pPr>
            <w:pStyle w:val="TOC2"/>
            <w:rPr>
              <w:rFonts w:asciiTheme="minorHAnsi" w:hAnsiTheme="minorHAnsi" w:eastAsiaTheme="minorEastAsia" w:cstheme="minorBidi"/>
              <w:noProof/>
              <w:kern w:val="2"/>
              <w:lang w:eastAsia="en-NZ"/>
              <w14:ligatures w14:val="standardContextual"/>
            </w:rPr>
          </w:pPr>
          <w:hyperlink w:history="1" w:anchor="_Toc211348945">
            <w:r w:rsidRPr="003B670E">
              <w:rPr>
                <w:rStyle w:val="Hyperlink"/>
                <w:noProof/>
              </w:rPr>
              <w:t>Integration and Collaboration</w:t>
            </w:r>
            <w:r>
              <w:rPr>
                <w:noProof/>
                <w:webHidden/>
              </w:rPr>
              <w:tab/>
            </w:r>
            <w:r>
              <w:rPr>
                <w:noProof/>
                <w:webHidden/>
              </w:rPr>
              <w:fldChar w:fldCharType="begin"/>
            </w:r>
            <w:r>
              <w:rPr>
                <w:noProof/>
                <w:webHidden/>
              </w:rPr>
              <w:instrText xml:space="preserve"> PAGEREF _Toc211348945 \h </w:instrText>
            </w:r>
            <w:r>
              <w:rPr>
                <w:noProof/>
                <w:webHidden/>
              </w:rPr>
            </w:r>
            <w:r>
              <w:rPr>
                <w:noProof/>
                <w:webHidden/>
              </w:rPr>
              <w:fldChar w:fldCharType="separate"/>
            </w:r>
            <w:r w:rsidR="00ED2C25">
              <w:rPr>
                <w:noProof/>
                <w:webHidden/>
              </w:rPr>
              <w:t>34</w:t>
            </w:r>
            <w:r>
              <w:rPr>
                <w:noProof/>
                <w:webHidden/>
              </w:rPr>
              <w:fldChar w:fldCharType="end"/>
            </w:r>
          </w:hyperlink>
        </w:p>
        <w:p w:rsidR="002D76CF" w:rsidRDefault="002D76CF" w14:paraId="52E79AF6" w14:textId="4EAD1C66">
          <w:pPr>
            <w:pStyle w:val="TOC2"/>
            <w:rPr>
              <w:rFonts w:asciiTheme="minorHAnsi" w:hAnsiTheme="minorHAnsi" w:eastAsiaTheme="minorEastAsia" w:cstheme="minorBidi"/>
              <w:noProof/>
              <w:kern w:val="2"/>
              <w:lang w:eastAsia="en-NZ"/>
              <w14:ligatures w14:val="standardContextual"/>
            </w:rPr>
          </w:pPr>
          <w:hyperlink w:history="1" w:anchor="_Toc211348946">
            <w:r w:rsidRPr="003B670E">
              <w:rPr>
                <w:rStyle w:val="Hyperlink"/>
                <w:noProof/>
              </w:rPr>
              <w:t>International Education</w:t>
            </w:r>
            <w:r>
              <w:rPr>
                <w:noProof/>
                <w:webHidden/>
              </w:rPr>
              <w:tab/>
            </w:r>
            <w:r>
              <w:rPr>
                <w:noProof/>
                <w:webHidden/>
              </w:rPr>
              <w:fldChar w:fldCharType="begin"/>
            </w:r>
            <w:r>
              <w:rPr>
                <w:noProof/>
                <w:webHidden/>
              </w:rPr>
              <w:instrText xml:space="preserve"> PAGEREF _Toc211348946 \h </w:instrText>
            </w:r>
            <w:r>
              <w:rPr>
                <w:noProof/>
                <w:webHidden/>
              </w:rPr>
            </w:r>
            <w:r>
              <w:rPr>
                <w:noProof/>
                <w:webHidden/>
              </w:rPr>
              <w:fldChar w:fldCharType="separate"/>
            </w:r>
            <w:r w:rsidR="00ED2C25">
              <w:rPr>
                <w:noProof/>
                <w:webHidden/>
              </w:rPr>
              <w:t>40</w:t>
            </w:r>
            <w:r>
              <w:rPr>
                <w:noProof/>
                <w:webHidden/>
              </w:rPr>
              <w:fldChar w:fldCharType="end"/>
            </w:r>
          </w:hyperlink>
        </w:p>
        <w:p w:rsidR="002D76CF" w:rsidRDefault="002D76CF" w14:paraId="1A30A46A" w14:textId="178C2A11">
          <w:pPr>
            <w:pStyle w:val="TOC1"/>
            <w:tabs>
              <w:tab w:val="right" w:leader="dot" w:pos="9402"/>
            </w:tabs>
            <w:rPr>
              <w:rFonts w:asciiTheme="minorHAnsi" w:hAnsiTheme="minorHAnsi" w:eastAsiaTheme="minorEastAsia" w:cstheme="minorBidi"/>
              <w:noProof/>
              <w:kern w:val="2"/>
              <w:lang w:eastAsia="en-NZ"/>
              <w14:ligatures w14:val="standardContextual"/>
            </w:rPr>
          </w:pPr>
          <w:hyperlink w:history="1" w:anchor="_Toc211348947">
            <w:r w:rsidRPr="003B670E">
              <w:rPr>
                <w:rStyle w:val="Hyperlink"/>
                <w:noProof/>
              </w:rPr>
              <w:t>Delivery of the Strategy</w:t>
            </w:r>
            <w:r>
              <w:rPr>
                <w:noProof/>
                <w:webHidden/>
              </w:rPr>
              <w:tab/>
            </w:r>
            <w:r>
              <w:rPr>
                <w:noProof/>
                <w:webHidden/>
              </w:rPr>
              <w:fldChar w:fldCharType="begin"/>
            </w:r>
            <w:r>
              <w:rPr>
                <w:noProof/>
                <w:webHidden/>
              </w:rPr>
              <w:instrText xml:space="preserve"> PAGEREF _Toc211348947 \h </w:instrText>
            </w:r>
            <w:r>
              <w:rPr>
                <w:noProof/>
                <w:webHidden/>
              </w:rPr>
            </w:r>
            <w:r>
              <w:rPr>
                <w:noProof/>
                <w:webHidden/>
              </w:rPr>
              <w:fldChar w:fldCharType="separate"/>
            </w:r>
            <w:r w:rsidR="00ED2C25">
              <w:rPr>
                <w:noProof/>
                <w:webHidden/>
              </w:rPr>
              <w:t>46</w:t>
            </w:r>
            <w:r>
              <w:rPr>
                <w:noProof/>
                <w:webHidden/>
              </w:rPr>
              <w:fldChar w:fldCharType="end"/>
            </w:r>
          </w:hyperlink>
        </w:p>
        <w:p w:rsidR="002D76CF" w:rsidRDefault="002D76CF" w14:paraId="57203034" w14:textId="02AE031C">
          <w:pPr>
            <w:pStyle w:val="TOC2"/>
            <w:rPr>
              <w:rFonts w:asciiTheme="minorHAnsi" w:hAnsiTheme="minorHAnsi" w:eastAsiaTheme="minorEastAsia" w:cstheme="minorBidi"/>
              <w:noProof/>
              <w:kern w:val="2"/>
              <w:lang w:eastAsia="en-NZ"/>
              <w14:ligatures w14:val="standardContextual"/>
            </w:rPr>
          </w:pPr>
          <w:hyperlink w:history="1" w:anchor="_Toc211348948">
            <w:r w:rsidRPr="003B670E">
              <w:rPr>
                <w:rStyle w:val="Hyperlink"/>
                <w:noProof/>
              </w:rPr>
              <w:t>Provider roles and expectations</w:t>
            </w:r>
            <w:r>
              <w:rPr>
                <w:noProof/>
                <w:webHidden/>
              </w:rPr>
              <w:tab/>
            </w:r>
            <w:r>
              <w:rPr>
                <w:noProof/>
                <w:webHidden/>
              </w:rPr>
              <w:fldChar w:fldCharType="begin"/>
            </w:r>
            <w:r>
              <w:rPr>
                <w:noProof/>
                <w:webHidden/>
              </w:rPr>
              <w:instrText xml:space="preserve"> PAGEREF _Toc211348948 \h </w:instrText>
            </w:r>
            <w:r>
              <w:rPr>
                <w:noProof/>
                <w:webHidden/>
              </w:rPr>
            </w:r>
            <w:r>
              <w:rPr>
                <w:noProof/>
                <w:webHidden/>
              </w:rPr>
              <w:fldChar w:fldCharType="separate"/>
            </w:r>
            <w:r w:rsidR="00ED2C25">
              <w:rPr>
                <w:noProof/>
                <w:webHidden/>
              </w:rPr>
              <w:t>46</w:t>
            </w:r>
            <w:r>
              <w:rPr>
                <w:noProof/>
                <w:webHidden/>
              </w:rPr>
              <w:fldChar w:fldCharType="end"/>
            </w:r>
          </w:hyperlink>
        </w:p>
        <w:p w:rsidR="002D76CF" w:rsidRDefault="002D76CF" w14:paraId="08E60F7D" w14:textId="41384853">
          <w:pPr>
            <w:pStyle w:val="TOC2"/>
            <w:rPr>
              <w:rFonts w:asciiTheme="minorHAnsi" w:hAnsiTheme="minorHAnsi" w:eastAsiaTheme="minorEastAsia" w:cstheme="minorBidi"/>
              <w:noProof/>
              <w:kern w:val="2"/>
              <w:lang w:eastAsia="en-NZ"/>
              <w14:ligatures w14:val="standardContextual"/>
            </w:rPr>
          </w:pPr>
          <w:hyperlink w:history="1" w:anchor="_Toc211348949">
            <w:r w:rsidRPr="003B670E">
              <w:rPr>
                <w:rStyle w:val="Hyperlink"/>
                <w:noProof/>
              </w:rPr>
              <w:t>Government agency roles</w:t>
            </w:r>
            <w:r>
              <w:rPr>
                <w:noProof/>
                <w:webHidden/>
              </w:rPr>
              <w:tab/>
            </w:r>
            <w:r>
              <w:rPr>
                <w:noProof/>
                <w:webHidden/>
              </w:rPr>
              <w:fldChar w:fldCharType="begin"/>
            </w:r>
            <w:r>
              <w:rPr>
                <w:noProof/>
                <w:webHidden/>
              </w:rPr>
              <w:instrText xml:space="preserve"> PAGEREF _Toc211348949 \h </w:instrText>
            </w:r>
            <w:r>
              <w:rPr>
                <w:noProof/>
                <w:webHidden/>
              </w:rPr>
            </w:r>
            <w:r>
              <w:rPr>
                <w:noProof/>
                <w:webHidden/>
              </w:rPr>
              <w:fldChar w:fldCharType="separate"/>
            </w:r>
            <w:r w:rsidR="00ED2C25">
              <w:rPr>
                <w:noProof/>
                <w:webHidden/>
              </w:rPr>
              <w:t>49</w:t>
            </w:r>
            <w:r>
              <w:rPr>
                <w:noProof/>
                <w:webHidden/>
              </w:rPr>
              <w:fldChar w:fldCharType="end"/>
            </w:r>
          </w:hyperlink>
        </w:p>
        <w:p w:rsidR="002D76CF" w:rsidRDefault="002D76CF" w14:paraId="7CECE4A8" w14:textId="2F9C42EB">
          <w:pPr>
            <w:pStyle w:val="TOC1"/>
            <w:tabs>
              <w:tab w:val="right" w:leader="dot" w:pos="9402"/>
            </w:tabs>
            <w:rPr>
              <w:rFonts w:asciiTheme="minorHAnsi" w:hAnsiTheme="minorHAnsi" w:eastAsiaTheme="minorEastAsia" w:cstheme="minorBidi"/>
              <w:noProof/>
              <w:kern w:val="2"/>
              <w:lang w:eastAsia="en-NZ"/>
              <w14:ligatures w14:val="standardContextual"/>
            </w:rPr>
          </w:pPr>
          <w:hyperlink w:history="1" w:anchor="_Toc211348950">
            <w:r w:rsidRPr="003B670E">
              <w:rPr>
                <w:rStyle w:val="Hyperlink"/>
                <w:noProof/>
              </w:rPr>
              <w:t>Monitoring TES Outcomes and System Performance</w:t>
            </w:r>
            <w:r>
              <w:rPr>
                <w:noProof/>
                <w:webHidden/>
              </w:rPr>
              <w:tab/>
            </w:r>
            <w:r>
              <w:rPr>
                <w:noProof/>
                <w:webHidden/>
              </w:rPr>
              <w:fldChar w:fldCharType="begin"/>
            </w:r>
            <w:r>
              <w:rPr>
                <w:noProof/>
                <w:webHidden/>
              </w:rPr>
              <w:instrText xml:space="preserve"> PAGEREF _Toc211348950 \h </w:instrText>
            </w:r>
            <w:r>
              <w:rPr>
                <w:noProof/>
                <w:webHidden/>
              </w:rPr>
            </w:r>
            <w:r>
              <w:rPr>
                <w:noProof/>
                <w:webHidden/>
              </w:rPr>
              <w:fldChar w:fldCharType="separate"/>
            </w:r>
            <w:r w:rsidR="00ED2C25">
              <w:rPr>
                <w:noProof/>
                <w:webHidden/>
              </w:rPr>
              <w:t>51</w:t>
            </w:r>
            <w:r>
              <w:rPr>
                <w:noProof/>
                <w:webHidden/>
              </w:rPr>
              <w:fldChar w:fldCharType="end"/>
            </w:r>
          </w:hyperlink>
        </w:p>
        <w:p w:rsidR="002D76CF" w:rsidRDefault="002D76CF" w14:paraId="270CEE5A" w14:textId="1A78086C">
          <w:pPr>
            <w:pStyle w:val="TOC1"/>
            <w:tabs>
              <w:tab w:val="right" w:leader="dot" w:pos="9402"/>
            </w:tabs>
            <w:rPr>
              <w:rFonts w:asciiTheme="minorHAnsi" w:hAnsiTheme="minorHAnsi" w:eastAsiaTheme="minorEastAsia" w:cstheme="minorBidi"/>
              <w:noProof/>
              <w:kern w:val="2"/>
              <w:lang w:eastAsia="en-NZ"/>
              <w14:ligatures w14:val="standardContextual"/>
            </w:rPr>
          </w:pPr>
          <w:hyperlink w:history="1" w:anchor="_Toc211348951">
            <w:r w:rsidRPr="003B670E">
              <w:rPr>
                <w:rStyle w:val="Hyperlink"/>
                <w:noProof/>
              </w:rPr>
              <w:t>Other comments on the draft TES</w:t>
            </w:r>
            <w:r>
              <w:rPr>
                <w:noProof/>
                <w:webHidden/>
              </w:rPr>
              <w:tab/>
            </w:r>
            <w:r>
              <w:rPr>
                <w:noProof/>
                <w:webHidden/>
              </w:rPr>
              <w:fldChar w:fldCharType="begin"/>
            </w:r>
            <w:r>
              <w:rPr>
                <w:noProof/>
                <w:webHidden/>
              </w:rPr>
              <w:instrText xml:space="preserve"> PAGEREF _Toc211348951 \h </w:instrText>
            </w:r>
            <w:r>
              <w:rPr>
                <w:noProof/>
                <w:webHidden/>
              </w:rPr>
            </w:r>
            <w:r>
              <w:rPr>
                <w:noProof/>
                <w:webHidden/>
              </w:rPr>
              <w:fldChar w:fldCharType="separate"/>
            </w:r>
            <w:r w:rsidR="00ED2C25">
              <w:rPr>
                <w:noProof/>
                <w:webHidden/>
              </w:rPr>
              <w:t>57</w:t>
            </w:r>
            <w:r>
              <w:rPr>
                <w:noProof/>
                <w:webHidden/>
              </w:rPr>
              <w:fldChar w:fldCharType="end"/>
            </w:r>
          </w:hyperlink>
        </w:p>
        <w:p w:rsidR="002D76CF" w:rsidRDefault="002D76CF" w14:paraId="3620CD22" w14:textId="1CE55374">
          <w:pPr>
            <w:pStyle w:val="TOC1"/>
            <w:tabs>
              <w:tab w:val="left" w:pos="1680"/>
              <w:tab w:val="right" w:leader="dot" w:pos="9402"/>
            </w:tabs>
            <w:rPr>
              <w:rFonts w:asciiTheme="minorHAnsi" w:hAnsiTheme="minorHAnsi" w:eastAsiaTheme="minorEastAsia" w:cstheme="minorBidi"/>
              <w:noProof/>
              <w:kern w:val="2"/>
              <w:lang w:eastAsia="en-NZ"/>
              <w14:ligatures w14:val="standardContextual"/>
            </w:rPr>
          </w:pPr>
          <w:hyperlink w:history="1" w:anchor="_Toc211348952">
            <w:r w:rsidRPr="003B670E">
              <w:rPr>
                <w:rStyle w:val="Hyperlink"/>
                <w:noProof/>
              </w:rPr>
              <w:t>Appendix A</w:t>
            </w:r>
            <w:r>
              <w:rPr>
                <w:rFonts w:asciiTheme="minorHAnsi" w:hAnsiTheme="minorHAnsi" w:eastAsiaTheme="minorEastAsia" w:cstheme="minorBidi"/>
                <w:noProof/>
                <w:kern w:val="2"/>
                <w:lang w:eastAsia="en-NZ"/>
                <w14:ligatures w14:val="standardContextual"/>
              </w:rPr>
              <w:tab/>
            </w:r>
            <w:r w:rsidRPr="003B670E">
              <w:rPr>
                <w:rStyle w:val="Hyperlink"/>
                <w:noProof/>
              </w:rPr>
              <w:t>List of submitters</w:t>
            </w:r>
            <w:r>
              <w:rPr>
                <w:noProof/>
                <w:webHidden/>
              </w:rPr>
              <w:tab/>
            </w:r>
            <w:r>
              <w:rPr>
                <w:noProof/>
                <w:webHidden/>
              </w:rPr>
              <w:fldChar w:fldCharType="begin"/>
            </w:r>
            <w:r>
              <w:rPr>
                <w:noProof/>
                <w:webHidden/>
              </w:rPr>
              <w:instrText xml:space="preserve"> PAGEREF _Toc211348952 \h </w:instrText>
            </w:r>
            <w:r>
              <w:rPr>
                <w:noProof/>
                <w:webHidden/>
              </w:rPr>
            </w:r>
            <w:r>
              <w:rPr>
                <w:noProof/>
                <w:webHidden/>
              </w:rPr>
              <w:fldChar w:fldCharType="separate"/>
            </w:r>
            <w:r w:rsidR="00ED2C25">
              <w:rPr>
                <w:noProof/>
                <w:webHidden/>
              </w:rPr>
              <w:t>60</w:t>
            </w:r>
            <w:r>
              <w:rPr>
                <w:noProof/>
                <w:webHidden/>
              </w:rPr>
              <w:fldChar w:fldCharType="end"/>
            </w:r>
          </w:hyperlink>
        </w:p>
        <w:p w:rsidR="00212175" w:rsidP="00212175" w:rsidRDefault="00A73234" w14:paraId="03D93C1D" w14:textId="236A7469">
          <w:r>
            <w:rPr>
              <w:b/>
              <w:bCs/>
              <w:noProof/>
              <w:lang w:val="en-US"/>
            </w:rPr>
            <w:fldChar w:fldCharType="end"/>
          </w:r>
        </w:p>
      </w:sdtContent>
    </w:sdt>
    <w:p w:rsidR="00212175" w:rsidP="00212175" w:rsidRDefault="00212175" w14:paraId="3FE3E546" w14:textId="77777777"/>
    <w:p w:rsidR="00212175" w:rsidRDefault="00212175" w14:paraId="24DF85DF" w14:textId="77777777">
      <w:r>
        <w:br w:type="page"/>
      </w:r>
    </w:p>
    <w:p w:rsidR="00D2525B" w:rsidP="0011543B" w:rsidRDefault="00D2525B" w14:paraId="003CC972" w14:textId="77777777">
      <w:pPr>
        <w:pStyle w:val="Heading1"/>
      </w:pPr>
      <w:bookmarkStart w:name="_Toc211314465" w:id="1"/>
      <w:bookmarkStart w:name="_Toc211348935" w:id="2"/>
      <w:r>
        <w:t>Consultation Process</w:t>
      </w:r>
      <w:bookmarkEnd w:id="1"/>
      <w:bookmarkEnd w:id="2"/>
    </w:p>
    <w:p w:rsidR="00E26C8E" w:rsidP="00E26C8E" w:rsidRDefault="006F3FF4" w14:paraId="633FF2B0" w14:textId="41A5E7A4">
      <w:r>
        <w:t>T</w:t>
      </w:r>
      <w:r w:rsidRPr="0042478D" w:rsidR="0042478D">
        <w:t xml:space="preserve">he draft Tertiary Education Strategy (TES) was sent to 139 </w:t>
      </w:r>
      <w:r>
        <w:t xml:space="preserve">identified </w:t>
      </w:r>
      <w:r w:rsidRPr="0042478D" w:rsidR="0042478D">
        <w:t xml:space="preserve">stakeholders for </w:t>
      </w:r>
      <w:r>
        <w:t xml:space="preserve">targeted consultation </w:t>
      </w:r>
      <w:r w:rsidR="0046769D">
        <w:t xml:space="preserve">and </w:t>
      </w:r>
      <w:r w:rsidRPr="0042478D" w:rsidR="0042478D">
        <w:t>feedback</w:t>
      </w:r>
      <w:r>
        <w:t xml:space="preserve"> o</w:t>
      </w:r>
      <w:r w:rsidRPr="0042478D">
        <w:t>n 3 September 2025</w:t>
      </w:r>
      <w:r w:rsidRPr="0042478D" w:rsidR="0042478D">
        <w:t xml:space="preserve">. </w:t>
      </w:r>
      <w:r w:rsidR="0046769D">
        <w:t>These stakeholders included</w:t>
      </w:r>
      <w:r w:rsidR="0042478D">
        <w:t>:</w:t>
      </w:r>
    </w:p>
    <w:p w:rsidR="00DE2F71" w:rsidP="00D45AAC" w:rsidRDefault="00DE2F71" w14:paraId="0A6E5339" w14:textId="7BFAA42E">
      <w:pPr>
        <w:pStyle w:val="ListBullet"/>
        <w:numPr>
          <w:ilvl w:val="0"/>
          <w:numId w:val="48"/>
        </w:numPr>
      </w:pPr>
      <w:r>
        <w:t xml:space="preserve">Tertiary </w:t>
      </w:r>
      <w:r w:rsidR="00CD578B">
        <w:t>education organisations</w:t>
      </w:r>
      <w:r w:rsidR="005E43E5">
        <w:t xml:space="preserve"> (TEOs)</w:t>
      </w:r>
      <w:r w:rsidR="008D61A5">
        <w:t xml:space="preserve"> and their representative bodies</w:t>
      </w:r>
    </w:p>
    <w:p w:rsidRPr="00CD578B" w:rsidR="00CD578B" w:rsidP="00CD578B" w:rsidRDefault="00CD578B" w14:paraId="78922265" w14:textId="77777777">
      <w:pPr>
        <w:pStyle w:val="ListBullet2"/>
      </w:pPr>
      <w:r w:rsidRPr="00CD578B">
        <w:t>14 university stakeholders (the eight universities plus six Universities New Zealand committees)</w:t>
      </w:r>
    </w:p>
    <w:p w:rsidRPr="00580A9C" w:rsidR="005F4CA0" w:rsidP="005F4CA0" w:rsidRDefault="005F4CA0" w14:paraId="65DCB503" w14:textId="3953F8E2">
      <w:pPr>
        <w:pStyle w:val="ListBullet2"/>
      </w:pPr>
      <w:r w:rsidRPr="00580A9C">
        <w:t xml:space="preserve">24 divisions of </w:t>
      </w:r>
      <w:proofErr w:type="spellStart"/>
      <w:r w:rsidRPr="00580A9C">
        <w:t>Te</w:t>
      </w:r>
      <w:proofErr w:type="spellEnd"/>
      <w:r w:rsidRPr="00580A9C">
        <w:t xml:space="preserve"> </w:t>
      </w:r>
      <w:proofErr w:type="spellStart"/>
      <w:r w:rsidRPr="00580A9C">
        <w:t>Pūkenga</w:t>
      </w:r>
      <w:proofErr w:type="spellEnd"/>
    </w:p>
    <w:p w:rsidRPr="00580A9C" w:rsidR="005F4CA0" w:rsidP="005F4CA0" w:rsidRDefault="005F4CA0" w14:paraId="5F19108D" w14:textId="7EBFB3AF">
      <w:pPr>
        <w:pStyle w:val="ListBullet2"/>
      </w:pPr>
      <w:r w:rsidRPr="00580A9C">
        <w:t xml:space="preserve">six </w:t>
      </w:r>
      <w:r w:rsidR="00F14110">
        <w:t>P</w:t>
      </w:r>
      <w:r w:rsidRPr="00580A9C">
        <w:t xml:space="preserve">rivate </w:t>
      </w:r>
      <w:r w:rsidR="00F14110">
        <w:t>T</w:t>
      </w:r>
      <w:r w:rsidRPr="00580A9C">
        <w:t xml:space="preserve">raining </w:t>
      </w:r>
      <w:r w:rsidR="00F14110">
        <w:t>E</w:t>
      </w:r>
      <w:r w:rsidRPr="00580A9C">
        <w:t>stablishment (PTE) stakeholders</w:t>
      </w:r>
    </w:p>
    <w:p w:rsidR="00E64512" w:rsidP="00CD578B" w:rsidRDefault="005F4CA0" w14:paraId="13735733" w14:textId="432C5D6C">
      <w:pPr>
        <w:pStyle w:val="ListBullet2"/>
      </w:pPr>
      <w:r w:rsidRPr="00580A9C">
        <w:t>three wānanga</w:t>
      </w:r>
    </w:p>
    <w:p w:rsidRPr="00580A9C" w:rsidR="00DB68AB" w:rsidP="00DB68AB" w:rsidRDefault="00DB68AB" w14:paraId="64F59D01" w14:textId="77777777">
      <w:pPr>
        <w:pStyle w:val="ListBullet2"/>
      </w:pPr>
      <w:r w:rsidRPr="00580A9C">
        <w:t>nine Workforce Development Council (WDC) stakeholders</w:t>
      </w:r>
    </w:p>
    <w:p w:rsidRPr="00580A9C" w:rsidR="005F4CA0" w:rsidP="005F4CA0" w:rsidRDefault="005F4CA0" w14:paraId="5B256858" w14:textId="77777777">
      <w:pPr>
        <w:pStyle w:val="ListBullet2"/>
      </w:pPr>
      <w:r w:rsidRPr="00580A9C">
        <w:t>two Centres of Vocational Excellence (</w:t>
      </w:r>
      <w:proofErr w:type="spellStart"/>
      <w:r w:rsidRPr="00580A9C">
        <w:t>CoVE</w:t>
      </w:r>
      <w:proofErr w:type="spellEnd"/>
      <w:r w:rsidRPr="00580A9C">
        <w:t xml:space="preserve">) </w:t>
      </w:r>
    </w:p>
    <w:p w:rsidRPr="00580A9C" w:rsidR="005F4CA0" w:rsidP="005F4CA0" w:rsidRDefault="005F4CA0" w14:paraId="4520E1EB" w14:textId="77777777">
      <w:pPr>
        <w:pStyle w:val="ListBullet2"/>
      </w:pPr>
      <w:r w:rsidRPr="00580A9C">
        <w:t>Ako Aotearoa</w:t>
      </w:r>
    </w:p>
    <w:p w:rsidRPr="00580A9C" w:rsidR="008141F9" w:rsidP="008141F9" w:rsidRDefault="008141F9" w14:paraId="67C9F9B0" w14:textId="77777777">
      <w:pPr>
        <w:pStyle w:val="ListBullet"/>
      </w:pPr>
      <w:r w:rsidRPr="00580A9C">
        <w:t>13 student associations</w:t>
      </w:r>
    </w:p>
    <w:p w:rsidRPr="00580A9C" w:rsidR="008141F9" w:rsidP="008141F9" w:rsidRDefault="008141F9" w14:paraId="4A7CB25F" w14:textId="77777777">
      <w:pPr>
        <w:pStyle w:val="ListBullet"/>
      </w:pPr>
      <w:r w:rsidRPr="00580A9C">
        <w:t>eight organisations providing an educator voice</w:t>
      </w:r>
    </w:p>
    <w:p w:rsidRPr="00580A9C" w:rsidR="008141F9" w:rsidP="008141F9" w:rsidRDefault="008141F9" w14:paraId="688CFF09" w14:textId="46F17ECD">
      <w:pPr>
        <w:pStyle w:val="ListBullet"/>
      </w:pPr>
      <w:r w:rsidRPr="00580A9C">
        <w:t>Tertiary Education Commission Board</w:t>
      </w:r>
      <w:r w:rsidR="001B186C">
        <w:t xml:space="preserve"> (TEC Board)</w:t>
      </w:r>
    </w:p>
    <w:p w:rsidR="008141F9" w:rsidP="008141F9" w:rsidRDefault="008141F9" w14:paraId="0420E39A" w14:textId="567114B2">
      <w:pPr>
        <w:pStyle w:val="ListBullet"/>
      </w:pPr>
      <w:proofErr w:type="spellStart"/>
      <w:r w:rsidRPr="00580A9C">
        <w:t>Mātauranga</w:t>
      </w:r>
      <w:proofErr w:type="spellEnd"/>
      <w:r w:rsidRPr="00580A9C">
        <w:t xml:space="preserve"> Iwi Leaders Group</w:t>
      </w:r>
    </w:p>
    <w:p w:rsidRPr="00580A9C" w:rsidR="00EA508E" w:rsidP="00EA508E" w:rsidRDefault="00EA508E" w14:paraId="3211AF71" w14:textId="77777777">
      <w:pPr>
        <w:pStyle w:val="ListBullet"/>
      </w:pPr>
      <w:r w:rsidRPr="00580A9C">
        <w:t>40 industry stakeholders</w:t>
      </w:r>
    </w:p>
    <w:p w:rsidRPr="00580A9C" w:rsidR="00EA508E" w:rsidP="00EA508E" w:rsidRDefault="00EA508E" w14:paraId="6B846255" w14:textId="7351182E">
      <w:pPr>
        <w:pStyle w:val="ListBullet"/>
      </w:pPr>
      <w:r w:rsidRPr="00580A9C">
        <w:t>17 research organisations</w:t>
      </w:r>
      <w:r w:rsidR="005F4FF7">
        <w:t>.</w:t>
      </w:r>
    </w:p>
    <w:p w:rsidR="00614F6B" w:rsidP="00614F6B" w:rsidRDefault="00614F6B" w14:paraId="1A4AAF52" w14:textId="77777777">
      <w:r>
        <w:t>The consultation was open for a four-week period closing on 30 September 2025.</w:t>
      </w:r>
    </w:p>
    <w:p w:rsidR="00614F6B" w:rsidP="00614F6B" w:rsidRDefault="00614F6B" w14:paraId="3E349223" w14:textId="77777777">
      <w:r>
        <w:t>Workshops were offered to key stakeholders. The purpose of these workshops was to answer any questions about the draft TES and support stakeholders to prepare their written submission.</w:t>
      </w:r>
    </w:p>
    <w:p w:rsidR="00614F6B" w:rsidP="00614F6B" w:rsidRDefault="00AB3250" w14:paraId="01D72F25" w14:textId="63F7F657">
      <w:r>
        <w:t xml:space="preserve">Five workshops were </w:t>
      </w:r>
      <w:r w:rsidR="00E6583A">
        <w:t>held with stakeholders to support the consultation. These were in response to direct requests, and their purpose was to answer any questions about the draft TES and support stakeholders to prepare their written feedback.</w:t>
      </w:r>
    </w:p>
    <w:p w:rsidR="00614F6B" w:rsidP="00614F6B" w:rsidRDefault="00614F6B" w14:paraId="3F7E9171" w14:textId="3923A798">
      <w:r>
        <w:t>Feedback was requested via email (</w:t>
      </w:r>
      <w:hyperlink w:history="1" r:id="rId17">
        <w:r w:rsidRPr="00ED1066">
          <w:rPr>
            <w:rStyle w:val="Hyperlink"/>
          </w:rPr>
          <w:t>tertiary.strategy@education.govt.nz</w:t>
        </w:r>
      </w:hyperlink>
      <w:r>
        <w:t xml:space="preserve">) or by completing an online survey using the Ministry of Education’s SurveyMonkey account. </w:t>
      </w:r>
    </w:p>
    <w:p w:rsidR="00614F6B" w:rsidP="00614F6B" w:rsidRDefault="00614F6B" w14:paraId="759E74EA" w14:textId="0787A6C6">
      <w:r>
        <w:t xml:space="preserve">The draft TES included the consultation questions throughout the document, and the invitation email </w:t>
      </w:r>
      <w:r w:rsidR="0051231C">
        <w:t>provided an attached</w:t>
      </w:r>
      <w:r>
        <w:t xml:space="preserve"> </w:t>
      </w:r>
      <w:r w:rsidR="00FC1325">
        <w:t xml:space="preserve">Microsoft </w:t>
      </w:r>
      <w:r>
        <w:t xml:space="preserve">Word template with the consultation questions included. </w:t>
      </w:r>
    </w:p>
    <w:p w:rsidR="00614F6B" w:rsidP="00614F6B" w:rsidRDefault="00614F6B" w14:paraId="015192D1" w14:textId="0FD5549E">
      <w:r>
        <w:t>In total</w:t>
      </w:r>
      <w:r w:rsidR="006F208B">
        <w:t xml:space="preserve"> 68 submissions were received</w:t>
      </w:r>
      <w:r>
        <w:t xml:space="preserve">, 30 free text submissions, eight submitters completed the online survey and the remaining 30 </w:t>
      </w:r>
      <w:r w:rsidR="005037F1">
        <w:t>completed</w:t>
      </w:r>
      <w:r>
        <w:t xml:space="preserve"> the </w:t>
      </w:r>
      <w:r w:rsidR="00F5468B">
        <w:t xml:space="preserve">Microsoft </w:t>
      </w:r>
      <w:r w:rsidR="008273FB">
        <w:t>W</w:t>
      </w:r>
      <w:r>
        <w:t>ord</w:t>
      </w:r>
      <w:r w:rsidR="005037F1">
        <w:t xml:space="preserve"> </w:t>
      </w:r>
      <w:r>
        <w:t>template.</w:t>
      </w:r>
    </w:p>
    <w:p w:rsidRPr="00074721" w:rsidR="0029793A" w:rsidP="0029793A" w:rsidRDefault="0029793A" w14:paraId="7D7FD903" w14:textId="77777777">
      <w:pPr>
        <w:pStyle w:val="Heading2"/>
      </w:pPr>
      <w:bookmarkStart w:name="_Toc210816922" w:id="3"/>
      <w:bookmarkStart w:name="_Toc211314466" w:id="4"/>
      <w:bookmarkStart w:name="_Toc211348936" w:id="5"/>
      <w:r w:rsidRPr="00074721">
        <w:t xml:space="preserve">Approach to </w:t>
      </w:r>
      <w:r w:rsidRPr="006A1C63">
        <w:t>analysis</w:t>
      </w:r>
      <w:bookmarkEnd w:id="3"/>
      <w:bookmarkEnd w:id="4"/>
      <w:bookmarkEnd w:id="5"/>
    </w:p>
    <w:p w:rsidRPr="00074721" w:rsidR="0029793A" w:rsidP="0029793A" w:rsidRDefault="0029793A" w14:paraId="2CB54E83" w14:textId="7781DB9E">
      <w:pPr>
        <w:pStyle w:val="BodyText"/>
      </w:pPr>
      <w:r w:rsidRPr="00074721">
        <w:t>This document provides an overview of the submissions received in response to the targeted consultation on the draft TES. It summarises key themes from different stakeholder groups for each question.</w:t>
      </w:r>
    </w:p>
    <w:p w:rsidRPr="006E1E7F" w:rsidR="0029793A" w:rsidP="0029793A" w:rsidRDefault="00717149" w14:paraId="4291CC55" w14:textId="7126F3FE">
      <w:pPr>
        <w:pStyle w:val="BodyText"/>
      </w:pPr>
      <w:r>
        <w:t xml:space="preserve">For the ease of analysis Ako Aotearoa, WDCs and </w:t>
      </w:r>
      <w:proofErr w:type="spellStart"/>
      <w:r>
        <w:t>CoVE</w:t>
      </w:r>
      <w:proofErr w:type="spellEnd"/>
      <w:r>
        <w:t xml:space="preserve"> submissions have been grouped together as tertiary sector entities. In most cases their feedback has been combined with that of </w:t>
      </w:r>
      <w:r w:rsidR="00BA75A5">
        <w:t>TEOs</w:t>
      </w:r>
      <w:r w:rsidR="007B159D">
        <w:t xml:space="preserve"> and their representative bodies</w:t>
      </w:r>
      <w:r>
        <w:t>.</w:t>
      </w:r>
      <w:r w:rsidR="007B159D">
        <w:t xml:space="preserve"> </w:t>
      </w:r>
      <w:r w:rsidR="00FE7EAD">
        <w:t>W</w:t>
      </w:r>
      <w:r w:rsidRPr="00074721" w:rsidR="0029793A">
        <w:t xml:space="preserve">here </w:t>
      </w:r>
      <w:r w:rsidR="0029793A">
        <w:t>individual TEO</w:t>
      </w:r>
      <w:r w:rsidRPr="00074721" w:rsidR="0029793A">
        <w:t xml:space="preserve"> types provide a collective view</w:t>
      </w:r>
      <w:r w:rsidR="005468C0">
        <w:t>,</w:t>
      </w:r>
      <w:r w:rsidRPr="00074721" w:rsidR="0029793A">
        <w:t xml:space="preserve"> </w:t>
      </w:r>
      <w:r w:rsidR="00EF6D1B">
        <w:t>this has been included</w:t>
      </w:r>
      <w:r w:rsidRPr="00074721" w:rsidR="0029793A">
        <w:t>.</w:t>
      </w:r>
    </w:p>
    <w:p w:rsidR="0029793A" w:rsidP="0029793A" w:rsidRDefault="009A51CD" w14:paraId="6E58C36D" w14:textId="772134FD">
      <w:pPr>
        <w:pStyle w:val="BodyText"/>
      </w:pPr>
      <w:r>
        <w:t>F</w:t>
      </w:r>
      <w:r w:rsidRPr="00B309CD" w:rsidR="0029793A">
        <w:t xml:space="preserve">ive submissions </w:t>
      </w:r>
      <w:r>
        <w:t xml:space="preserve">were received </w:t>
      </w:r>
      <w:r w:rsidRPr="00B309CD" w:rsidR="0029793A">
        <w:t>from industry stakeholders and four from individual PTEs that were not part of the targeted consultation. Two</w:t>
      </w:r>
      <w:r w:rsidR="0029793A">
        <w:t xml:space="preserve"> individual</w:t>
      </w:r>
      <w:r w:rsidR="00B75261">
        <w:t>s</w:t>
      </w:r>
      <w:r w:rsidR="0029793A">
        <w:t xml:space="preserve"> provided submissions on behalf of </w:t>
      </w:r>
      <w:proofErr w:type="spellStart"/>
      <w:r w:rsidRPr="00B309CD" w:rsidR="0029793A">
        <w:t>Weltec</w:t>
      </w:r>
      <w:proofErr w:type="spellEnd"/>
      <w:r w:rsidRPr="00B309CD" w:rsidR="0029793A">
        <w:t>/Whitireia (the</w:t>
      </w:r>
      <w:r w:rsidR="0029793A">
        <w:t>se</w:t>
      </w:r>
      <w:r w:rsidRPr="00B309CD" w:rsidR="0029793A">
        <w:t xml:space="preserve"> have been merged) and a joint submission was received from Unitec and Manukau Institute of Technology.</w:t>
      </w:r>
    </w:p>
    <w:p w:rsidRPr="00786276" w:rsidR="00786276" w:rsidP="00786276" w:rsidRDefault="00786276" w14:paraId="39583E01" w14:textId="4E5E7DFF">
      <w:r w:rsidRPr="00786276">
        <w:t xml:space="preserve">A full list of submitters is provided in </w:t>
      </w:r>
      <w:r w:rsidR="006F208B">
        <w:fldChar w:fldCharType="begin"/>
      </w:r>
      <w:r w:rsidR="006F208B">
        <w:instrText xml:space="preserve"> REF _Ref210993401 \r \h </w:instrText>
      </w:r>
      <w:r w:rsidR="006F208B">
        <w:fldChar w:fldCharType="separate"/>
      </w:r>
      <w:r w:rsidR="00ED2C25">
        <w:t>Appendix A</w:t>
      </w:r>
      <w:r w:rsidR="006F208B">
        <w:fldChar w:fldCharType="end"/>
      </w:r>
      <w:r w:rsidR="006F208B">
        <w:t xml:space="preserve"> </w:t>
      </w:r>
      <w:r w:rsidRPr="00786276">
        <w:t>and illustrated below in</w:t>
      </w:r>
      <w:r>
        <w:t xml:space="preserve"> </w:t>
      </w:r>
      <w:r>
        <w:fldChar w:fldCharType="begin"/>
      </w:r>
      <w:r>
        <w:instrText xml:space="preserve"> REF _Ref210918028 \h </w:instrText>
      </w:r>
      <w:r>
        <w:fldChar w:fldCharType="separate"/>
      </w:r>
      <w:r w:rsidR="00ED2C25">
        <w:t xml:space="preserve">Figure </w:t>
      </w:r>
      <w:r w:rsidR="00ED2C25">
        <w:rPr>
          <w:noProof/>
        </w:rPr>
        <w:t>1</w:t>
      </w:r>
      <w:r>
        <w:fldChar w:fldCharType="end"/>
      </w:r>
      <w:r w:rsidRPr="00786276">
        <w:t xml:space="preserve">. </w:t>
      </w:r>
    </w:p>
    <w:p w:rsidR="005C5A2B" w:rsidP="005C5A2B" w:rsidRDefault="005C5A2B" w14:paraId="3D2F4E82" w14:textId="6FA51227">
      <w:pPr>
        <w:pStyle w:val="Caption"/>
        <w:keepNext/>
      </w:pPr>
      <w:bookmarkStart w:name="_Ref210918028" w:id="6"/>
      <w:r>
        <w:t xml:space="preserve">Figure </w:t>
      </w:r>
      <w:r>
        <w:fldChar w:fldCharType="begin"/>
      </w:r>
      <w:r>
        <w:instrText>SEQ Figure \* ARABIC</w:instrText>
      </w:r>
      <w:r>
        <w:fldChar w:fldCharType="separate"/>
      </w:r>
      <w:r w:rsidR="00ED2C25">
        <w:rPr>
          <w:noProof/>
        </w:rPr>
        <w:t>1</w:t>
      </w:r>
      <w:r>
        <w:fldChar w:fldCharType="end"/>
      </w:r>
      <w:bookmarkEnd w:id="6"/>
      <w:r>
        <w:t xml:space="preserve">: </w:t>
      </w:r>
      <w:r w:rsidRPr="009F1D78">
        <w:t>Targeted consultation and submissions received</w:t>
      </w:r>
    </w:p>
    <w:p w:rsidR="0051231C" w:rsidP="005C5A2B" w:rsidRDefault="009A4863" w14:paraId="3BEB0035" w14:textId="4EBAB1F3">
      <w:pPr>
        <w:keepNext/>
      </w:pPr>
      <w:r>
        <w:rPr>
          <w:noProof/>
        </w:rPr>
        <w:drawing>
          <wp:inline distT="0" distB="0" distL="0" distR="0" wp14:anchorId="6B499A41" wp14:editId="2A3F743C">
            <wp:extent cx="5940000" cy="2700000"/>
            <wp:effectExtent l="0" t="0" r="3810" b="5715"/>
            <wp:docPr id="903312066" name="Chart 1">
              <a:extLst xmlns:a="http://schemas.openxmlformats.org/drawingml/2006/main">
                <a:ext uri="{FF2B5EF4-FFF2-40B4-BE49-F238E27FC236}">
                  <a16:creationId xmlns:a16="http://schemas.microsoft.com/office/drawing/2014/main" id="{488ADE1A-36BC-1781-E9FC-DF27F32E26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809F2" w:rsidRDefault="004809F2" w14:paraId="69940FAC" w14:textId="3E650C8E">
      <w:r>
        <w:br w:type="page"/>
      </w:r>
    </w:p>
    <w:p w:rsidRPr="00B32034" w:rsidR="00CD448C" w:rsidP="00CD448C" w:rsidRDefault="00CD448C" w14:paraId="3A997068" w14:textId="77777777">
      <w:pPr>
        <w:pStyle w:val="Heading1"/>
      </w:pPr>
      <w:bookmarkStart w:name="_Toc210816923" w:id="7"/>
      <w:bookmarkStart w:name="_Toc211314467" w:id="8"/>
      <w:bookmarkStart w:name="_Toc211348937" w:id="9"/>
      <w:r w:rsidRPr="00B32034">
        <w:t xml:space="preserve">Strategic </w:t>
      </w:r>
      <w:r w:rsidRPr="006A1C63">
        <w:t>Direction</w:t>
      </w:r>
      <w:bookmarkEnd w:id="7"/>
      <w:bookmarkEnd w:id="8"/>
      <w:bookmarkEnd w:id="9"/>
    </w:p>
    <w:p w:rsidR="00E363C6" w:rsidP="00E363C6" w:rsidRDefault="00E363C6" w14:paraId="025ECCB9" w14:textId="269408C4">
      <w:r>
        <w:t xml:space="preserve">The Strategic Direction section </w:t>
      </w:r>
      <w:r w:rsidR="00DA573D">
        <w:t xml:space="preserve">of the draft TES </w:t>
      </w:r>
      <w:r>
        <w:t xml:space="preserve">outlined </w:t>
      </w:r>
      <w:r w:rsidR="00DA573D">
        <w:t>its</w:t>
      </w:r>
      <w:r>
        <w:t xml:space="preserve"> purpose, the Government’s overarching objective for tertiary education and the drivers for change including technological change, student expectations and career patterns, fiscal constraints, global trends and pressures and demographic change. This section also </w:t>
      </w:r>
      <w:r w:rsidR="00CB7C78">
        <w:t>listed</w:t>
      </w:r>
      <w:r>
        <w:t xml:space="preserve"> the five priorities for this TES.</w:t>
      </w:r>
    </w:p>
    <w:p w:rsidR="0051231C" w:rsidP="00E363C6" w:rsidRDefault="00E363C6" w14:paraId="459F7ACD" w14:textId="09E07CB3">
      <w:r>
        <w:t>Submitters were then asked:</w:t>
      </w:r>
    </w:p>
    <w:p w:rsidRPr="00BB0004" w:rsidR="001515CA" w:rsidP="001515CA" w:rsidRDefault="001515CA" w14:paraId="41021103" w14:textId="3E009074">
      <w:pPr>
        <w:pStyle w:val="Bullet1"/>
        <w:rPr>
          <w:rFonts w:ascii="Arial" w:hAnsi="Arial" w:cs="Arial"/>
          <w:i/>
          <w:iCs/>
          <w:sz w:val="24"/>
          <w:szCs w:val="24"/>
        </w:rPr>
      </w:pPr>
      <w:r w:rsidRPr="00BB0004">
        <w:rPr>
          <w:rFonts w:ascii="Arial" w:hAnsi="Arial" w:cs="Arial"/>
          <w:i/>
          <w:iCs/>
          <w:sz w:val="24"/>
          <w:szCs w:val="24"/>
        </w:rPr>
        <w:t>Do you have any comments on the draft objective for tertiary education?</w:t>
      </w:r>
    </w:p>
    <w:p w:rsidRPr="00BB0004" w:rsidR="001515CA" w:rsidP="001515CA" w:rsidRDefault="001515CA" w14:paraId="07537AE8" w14:textId="77777777">
      <w:pPr>
        <w:pStyle w:val="Bullet1"/>
        <w:rPr>
          <w:rFonts w:ascii="Arial" w:hAnsi="Arial" w:cs="Arial"/>
          <w:i/>
          <w:iCs/>
          <w:sz w:val="24"/>
          <w:szCs w:val="24"/>
        </w:rPr>
      </w:pPr>
      <w:r w:rsidRPr="00BB0004">
        <w:rPr>
          <w:rFonts w:ascii="Arial" w:hAnsi="Arial" w:cs="Arial"/>
          <w:i/>
          <w:iCs/>
          <w:sz w:val="24"/>
          <w:szCs w:val="24"/>
        </w:rPr>
        <w:t>Do you have any comments on the drivers for change in tertiary education and how the system should respond to these?</w:t>
      </w:r>
    </w:p>
    <w:p w:rsidRPr="00BB0004" w:rsidR="001515CA" w:rsidP="001515CA" w:rsidRDefault="001515CA" w14:paraId="289ECF74" w14:textId="77777777">
      <w:pPr>
        <w:pStyle w:val="Bullet1"/>
        <w:rPr>
          <w:rFonts w:ascii="Arial" w:hAnsi="Arial" w:cs="Arial"/>
          <w:i/>
          <w:iCs/>
          <w:sz w:val="24"/>
          <w:szCs w:val="24"/>
        </w:rPr>
      </w:pPr>
      <w:r w:rsidRPr="00BB0004">
        <w:rPr>
          <w:rFonts w:ascii="Arial" w:hAnsi="Arial" w:cs="Arial"/>
          <w:i/>
          <w:iCs/>
          <w:sz w:val="24"/>
          <w:szCs w:val="24"/>
        </w:rPr>
        <w:t>Do you think the TES should have any additional or different priorities?</w:t>
      </w:r>
    </w:p>
    <w:p w:rsidR="001515CA" w:rsidP="001515CA" w:rsidRDefault="001515CA" w14:paraId="6F895F51" w14:textId="77777777">
      <w:r>
        <w:t>This section outlines the key themes of the feedback received from different submitter types to these questions. Of the 68 submissions received, 64 provided explicit feedback on this section of the draft TES.</w:t>
      </w:r>
    </w:p>
    <w:p w:rsidR="00D123F7" w:rsidP="00D123F7" w:rsidRDefault="00D123F7" w14:paraId="0C7218BC" w14:textId="1AD73DA7">
      <w:pPr>
        <w:pStyle w:val="Heading2"/>
      </w:pPr>
      <w:bookmarkStart w:name="_Toc211314468" w:id="10"/>
      <w:bookmarkStart w:name="_Toc211348938" w:id="11"/>
      <w:r>
        <w:t>Objective for tertiary education</w:t>
      </w:r>
      <w:bookmarkEnd w:id="10"/>
      <w:bookmarkEnd w:id="11"/>
    </w:p>
    <w:p w:rsidRPr="00467411" w:rsidR="00012CE1" w:rsidP="00012CE1" w:rsidRDefault="00012CE1" w14:paraId="1B92E03C" w14:textId="77777777">
      <w:pPr>
        <w:pStyle w:val="Heading4"/>
      </w:pPr>
      <w:r>
        <w:t xml:space="preserve">Tertiary Education Organisations and their </w:t>
      </w:r>
      <w:r w:rsidRPr="00012CE1">
        <w:t>representative bodies</w:t>
      </w:r>
    </w:p>
    <w:p w:rsidR="007977B9" w:rsidP="007977B9" w:rsidRDefault="008E5A55" w14:paraId="61A74EF3" w14:textId="4CBD97D1">
      <w:r>
        <w:t xml:space="preserve">Fifteen TEO submitters </w:t>
      </w:r>
      <w:r w:rsidR="00890E4F">
        <w:t>(</w:t>
      </w:r>
      <w:r w:rsidRPr="0008610D" w:rsidR="00074CD8">
        <w:t xml:space="preserve">six PTEs, five </w:t>
      </w:r>
      <w:proofErr w:type="spellStart"/>
      <w:r w:rsidRPr="0008610D" w:rsidR="00074CD8">
        <w:t>Te</w:t>
      </w:r>
      <w:proofErr w:type="spellEnd"/>
      <w:r w:rsidRPr="0008610D" w:rsidR="00074CD8">
        <w:t xml:space="preserve"> </w:t>
      </w:r>
      <w:proofErr w:type="spellStart"/>
      <w:r w:rsidRPr="0008610D" w:rsidR="00074CD8">
        <w:t>Pūkenga</w:t>
      </w:r>
      <w:proofErr w:type="spellEnd"/>
      <w:r w:rsidRPr="0008610D" w:rsidR="00074CD8">
        <w:t xml:space="preserve"> divisions</w:t>
      </w:r>
      <w:r w:rsidR="00074CD8">
        <w:t>,</w:t>
      </w:r>
      <w:r w:rsidRPr="0008610D" w:rsidR="00074CD8">
        <w:t xml:space="preserve"> </w:t>
      </w:r>
      <w:r w:rsidR="00890E4F">
        <w:t xml:space="preserve">three universities, </w:t>
      </w:r>
      <w:r w:rsidRPr="0008610D" w:rsidR="00890E4F">
        <w:t>and one wānanga</w:t>
      </w:r>
      <w:r w:rsidR="00890E4F">
        <w:t xml:space="preserve">) </w:t>
      </w:r>
      <w:r>
        <w:t xml:space="preserve">commented on the draft objective. </w:t>
      </w:r>
      <w:r w:rsidR="007977B9">
        <w:t>T</w:t>
      </w:r>
      <w:r w:rsidR="00890E4F">
        <w:t>he</w:t>
      </w:r>
      <w:r w:rsidR="007977B9">
        <w:t xml:space="preserve"> university submitters </w:t>
      </w:r>
      <w:r w:rsidR="00CB7C78">
        <w:t>clearly</w:t>
      </w:r>
      <w:r w:rsidR="007977B9">
        <w:t xml:space="preserve"> stated support for the draft objective and general direction of the draft TES</w:t>
      </w:r>
      <w:r w:rsidR="005D3C4B">
        <w:t>.</w:t>
      </w:r>
      <w:r w:rsidR="007977B9">
        <w:t xml:space="preserve"> </w:t>
      </w:r>
      <w:r w:rsidR="005D3C4B">
        <w:t>These submitters specifically noted</w:t>
      </w:r>
      <w:r w:rsidR="007977B9">
        <w:t xml:space="preserve"> the focus on lifting productivity and the role that tertiary education plays in supporting economic growth</w:t>
      </w:r>
      <w:r w:rsidR="00F26930">
        <w:t>, and support for</w:t>
      </w:r>
      <w:r w:rsidR="007977B9">
        <w:t xml:space="preserve"> explicit recognition of the role of research</w:t>
      </w:r>
      <w:r w:rsidR="002E6B6D">
        <w:t xml:space="preserve"> in tertiary education</w:t>
      </w:r>
      <w:r w:rsidR="00046933">
        <w:t>.</w:t>
      </w:r>
    </w:p>
    <w:p w:rsidRPr="00F26930" w:rsidR="00F2323C" w:rsidP="00F2323C" w:rsidRDefault="00F2323C" w14:paraId="1DBA89F7" w14:textId="2AF1C147">
      <w:pPr>
        <w:pStyle w:val="Quote"/>
        <w:rPr>
          <w:i w:val="0"/>
          <w:iCs w:val="0"/>
        </w:rPr>
      </w:pPr>
      <w:r w:rsidRPr="00F2323C">
        <w:t>We share the ambition for a tertiary education system that sits at the heart of our national prosperity and wellbeing.</w:t>
      </w:r>
      <w:r w:rsidR="00F26930">
        <w:t xml:space="preserve"> </w:t>
      </w:r>
      <w:r w:rsidRPr="00F26930" w:rsidR="00F26930">
        <w:rPr>
          <w:i w:val="0"/>
          <w:iCs w:val="0"/>
        </w:rPr>
        <w:t>(Universities NZ)</w:t>
      </w:r>
    </w:p>
    <w:p w:rsidRPr="000E008B" w:rsidR="000E008B" w:rsidP="000E008B" w:rsidRDefault="009765C8" w14:paraId="3D29DE56" w14:textId="4699D32D">
      <w:r w:rsidRPr="009765C8">
        <w:t>University submitters suggested strengthening the objective by better balancing the economic and social outcomes of tertiary education, and by recognising the wider value of skills and knowledge beyond immediate graduate career outcomes</w:t>
      </w:r>
      <w:r w:rsidR="002E2BD2">
        <w:t>.</w:t>
      </w:r>
      <w:r w:rsidRPr="000E008B" w:rsidR="000E008B">
        <w:t xml:space="preserve"> </w:t>
      </w:r>
      <w:r>
        <w:t xml:space="preserve">One submitter highlighted: </w:t>
      </w:r>
    </w:p>
    <w:p w:rsidRPr="008B7B0E" w:rsidR="000E008B" w:rsidP="000E008B" w:rsidRDefault="000E008B" w14:paraId="0A434FE7" w14:textId="3B98FAC3">
      <w:pPr>
        <w:pStyle w:val="Quote"/>
        <w:rPr>
          <w:i w:val="0"/>
          <w:iCs w:val="0"/>
        </w:rPr>
      </w:pPr>
      <w:r w:rsidRPr="000E008B">
        <w:t>Qualifications will best serve these graduates when they develop capabilities that will support them across all careers and through industries that are going to radically evolve in the face of new technologies.</w:t>
      </w:r>
      <w:r w:rsidR="008B7B0E">
        <w:t xml:space="preserve"> </w:t>
      </w:r>
      <w:r w:rsidRPr="008B7B0E" w:rsidR="008B7B0E">
        <w:rPr>
          <w:i w:val="0"/>
          <w:iCs w:val="0"/>
        </w:rPr>
        <w:t>(Massey University</w:t>
      </w:r>
      <w:r w:rsidR="008B7B0E">
        <w:rPr>
          <w:i w:val="0"/>
          <w:iCs w:val="0"/>
        </w:rPr>
        <w:t>)</w:t>
      </w:r>
    </w:p>
    <w:p w:rsidRPr="0008610D" w:rsidR="0008610D" w:rsidP="0008610D" w:rsidRDefault="0008610D" w14:paraId="7B614175" w14:textId="09E64889">
      <w:r w:rsidRPr="0008610D">
        <w:t xml:space="preserve">Twelve other TEOs provided support for the draft objective and general direction of the draft TES, noting it </w:t>
      </w:r>
      <w:r w:rsidR="005B1620">
        <w:t>is</w:t>
      </w:r>
      <w:r w:rsidRPr="0008610D">
        <w:t xml:space="preserve"> ‘sound’ and most supported the focus on the economy</w:t>
      </w:r>
      <w:r w:rsidR="002E2BD2">
        <w:t>. One submitter commented:</w:t>
      </w:r>
      <w:r w:rsidRPr="0008610D">
        <w:t xml:space="preserve"> </w:t>
      </w:r>
    </w:p>
    <w:p w:rsidRPr="005B1620" w:rsidR="0008610D" w:rsidP="0008610D" w:rsidRDefault="0008610D" w14:paraId="5D191EE3" w14:textId="1AE9BA69">
      <w:pPr>
        <w:pStyle w:val="Quote"/>
        <w:rPr>
          <w:i w:val="0"/>
          <w:iCs w:val="0"/>
        </w:rPr>
      </w:pPr>
      <w:r w:rsidRPr="0008610D">
        <w:t xml:space="preserve">Its focus on economic growth is understandable in the current climate, and its commitments to exceed OECD standards, address the needs of underserved learners, and promote lifelong learning are welcome. </w:t>
      </w:r>
      <w:r w:rsidRPr="005B1620" w:rsidR="005B1620">
        <w:rPr>
          <w:i w:val="0"/>
          <w:iCs w:val="0"/>
        </w:rPr>
        <w:t>(ITENZ)</w:t>
      </w:r>
    </w:p>
    <w:p w:rsidRPr="00A74A33" w:rsidR="00170611" w:rsidP="00170611" w:rsidRDefault="00170611" w14:paraId="2254A22E" w14:textId="07F40C4C">
      <w:r>
        <w:t>A suggestion was received for th</w:t>
      </w:r>
      <w:r w:rsidRPr="00A74A33">
        <w:t xml:space="preserve">e following rewording </w:t>
      </w:r>
      <w:r w:rsidR="009813C6">
        <w:t>of</w:t>
      </w:r>
      <w:r w:rsidRPr="00A74A33">
        <w:t xml:space="preserve"> the objective:</w:t>
      </w:r>
    </w:p>
    <w:p w:rsidRPr="008B7B0E" w:rsidR="00170611" w:rsidP="00170611" w:rsidRDefault="00170611" w14:paraId="23DE8FDC" w14:textId="77777777">
      <w:pPr>
        <w:pStyle w:val="Quote"/>
        <w:rPr>
          <w:i w:val="0"/>
          <w:iCs w:val="0"/>
        </w:rPr>
      </w:pPr>
      <w:r w:rsidRPr="00A74A33">
        <w:t xml:space="preserve">A </w:t>
      </w:r>
      <w:r w:rsidRPr="00081828">
        <w:rPr>
          <w:b/>
          <w:bCs/>
        </w:rPr>
        <w:t>sustainable and future-focused</w:t>
      </w:r>
      <w:r w:rsidRPr="00A74A33">
        <w:t xml:space="preserve"> tertiary education system that enables </w:t>
      </w:r>
      <w:r w:rsidRPr="00A533FE">
        <w:rPr>
          <w:strike/>
        </w:rPr>
        <w:t>people</w:t>
      </w:r>
      <w:r w:rsidRPr="00A74A33">
        <w:t xml:space="preserve"> </w:t>
      </w:r>
      <w:r w:rsidRPr="00A533FE">
        <w:rPr>
          <w:b/>
          <w:bCs/>
        </w:rPr>
        <w:t>all New Zealanders</w:t>
      </w:r>
      <w:r w:rsidRPr="00A74A33">
        <w:t xml:space="preserve"> to succeed with knowledge and skills that advance an innovative, high-productivity economy, and improve quality of life.</w:t>
      </w:r>
      <w:r>
        <w:t xml:space="preserve"> </w:t>
      </w:r>
      <w:r>
        <w:rPr>
          <w:i w:val="0"/>
          <w:iCs w:val="0"/>
        </w:rPr>
        <w:t>(</w:t>
      </w:r>
      <w:r w:rsidRPr="008B7B0E">
        <w:rPr>
          <w:i w:val="0"/>
          <w:iCs w:val="0"/>
        </w:rPr>
        <w:t>University of Canterbury</w:t>
      </w:r>
      <w:r>
        <w:rPr>
          <w:i w:val="0"/>
          <w:iCs w:val="0"/>
        </w:rPr>
        <w:t>)</w:t>
      </w:r>
    </w:p>
    <w:p w:rsidRPr="0008610D" w:rsidR="0008610D" w:rsidP="0008610D" w:rsidRDefault="0008610D" w14:paraId="776D24EF" w14:textId="0E7D6BF5">
      <w:r w:rsidRPr="0008610D">
        <w:t xml:space="preserve">Two </w:t>
      </w:r>
      <w:r w:rsidR="00C07164">
        <w:t xml:space="preserve">of these </w:t>
      </w:r>
      <w:r w:rsidRPr="0008610D">
        <w:t xml:space="preserve">submitters commented that the objective could be improved by acknowledging the broader benefits of tertiary education beyond economic outcomes. Three submitters made suggestions for rewording the objective. These focused on revision to </w:t>
      </w:r>
      <w:r w:rsidR="008006C9">
        <w:t>clarify</w:t>
      </w:r>
      <w:r w:rsidRPr="0008610D">
        <w:t xml:space="preserve"> key concepts particularly ‘quality of life’ and the relationship with tertiary education.</w:t>
      </w:r>
    </w:p>
    <w:p w:rsidRPr="00E75953" w:rsidR="00E75953" w:rsidP="00213963" w:rsidRDefault="00E75953" w14:paraId="22B59FF3" w14:textId="0444B283">
      <w:pPr>
        <w:pStyle w:val="Heading4"/>
      </w:pPr>
      <w:r w:rsidRPr="00E75953">
        <w:t>Educator</w:t>
      </w:r>
      <w:r w:rsidR="00D010B4">
        <w:t>s/</w:t>
      </w:r>
      <w:r w:rsidRPr="00E75953">
        <w:t>Student</w:t>
      </w:r>
      <w:r w:rsidR="00D010B4">
        <w:t>s</w:t>
      </w:r>
    </w:p>
    <w:p w:rsidRPr="00E75953" w:rsidR="00E75953" w:rsidP="00E75953" w:rsidRDefault="00E75953" w14:paraId="2CC5E7F3" w14:textId="70C1568E">
      <w:r w:rsidRPr="00E75953">
        <w:t xml:space="preserve">Seven </w:t>
      </w:r>
      <w:r w:rsidR="00D3644F">
        <w:t xml:space="preserve">submitters </w:t>
      </w:r>
      <w:r w:rsidRPr="00E75953">
        <w:t>provid</w:t>
      </w:r>
      <w:r w:rsidR="008B32DB">
        <w:t>ing an educator or student voice</w:t>
      </w:r>
      <w:r w:rsidRPr="00E75953">
        <w:t xml:space="preserve"> comment</w:t>
      </w:r>
      <w:r w:rsidR="00D3644F">
        <w:t>ed</w:t>
      </w:r>
      <w:r w:rsidRPr="00E75953">
        <w:t xml:space="preserve"> on the draft objective and strategic direction. Their feedback was generally less positive</w:t>
      </w:r>
      <w:r w:rsidR="000732DC">
        <w:t xml:space="preserve"> and </w:t>
      </w:r>
      <w:r w:rsidRPr="00E75953" w:rsidR="00C03FEC">
        <w:t>focused on the need for recognition of the broader benefits of tertiary education</w:t>
      </w:r>
      <w:r w:rsidR="006A1BAD">
        <w:t>.</w:t>
      </w:r>
      <w:r w:rsidR="00387D8C">
        <w:t xml:space="preserve"> There was a</w:t>
      </w:r>
      <w:r w:rsidRPr="00E75953" w:rsidR="00C03FEC">
        <w:t xml:space="preserve"> suggestion that the tertiary education system needs to “</w:t>
      </w:r>
      <w:r w:rsidRPr="00E75953" w:rsidR="00C03FEC">
        <w:rPr>
          <w:i/>
          <w:iCs/>
        </w:rPr>
        <w:t>also ‘inspire’ people to engage and succeed”.</w:t>
      </w:r>
      <w:r w:rsidR="000732DC">
        <w:rPr>
          <w:i/>
          <w:iCs/>
        </w:rPr>
        <w:t xml:space="preserve"> </w:t>
      </w:r>
      <w:r w:rsidR="00571176">
        <w:t>S</w:t>
      </w:r>
      <w:r w:rsidRPr="00E75953">
        <w:t xml:space="preserve">tudent </w:t>
      </w:r>
      <w:r w:rsidR="00D3644F">
        <w:t>association</w:t>
      </w:r>
      <w:r w:rsidR="000732DC">
        <w:t xml:space="preserve"> </w:t>
      </w:r>
      <w:r w:rsidR="00571176">
        <w:t>feedback included</w:t>
      </w:r>
      <w:r w:rsidRPr="00E75953">
        <w:t xml:space="preserve">: </w:t>
      </w:r>
    </w:p>
    <w:p w:rsidRPr="00E75953" w:rsidR="00E75953" w:rsidP="00E75953" w:rsidRDefault="00E75953" w14:paraId="3F60115F" w14:textId="624C669B">
      <w:pPr>
        <w:pStyle w:val="Quote"/>
      </w:pPr>
      <w:r w:rsidRPr="00E75953">
        <w:t>We do not agree with the strong focus on economic growth, where we feel tertiary education experiences and offerings should not come at the expense of quality education opportunities available for a broad range of pathways</w:t>
      </w:r>
      <w:r w:rsidR="008416AC">
        <w:t>.</w:t>
      </w:r>
    </w:p>
    <w:p w:rsidRPr="00E75953" w:rsidR="00E75953" w:rsidP="00E75953" w:rsidRDefault="00E75953" w14:paraId="55527AD6" w14:textId="77777777">
      <w:pPr>
        <w:pStyle w:val="Quote"/>
      </w:pPr>
      <w:r w:rsidRPr="00E75953">
        <w:t xml:space="preserve">The objective should explicitly commit to equity, </w:t>
      </w:r>
      <w:proofErr w:type="spellStart"/>
      <w:r w:rsidRPr="00E75953">
        <w:t>Te</w:t>
      </w:r>
      <w:proofErr w:type="spellEnd"/>
      <w:r w:rsidRPr="00E75953">
        <w:t xml:space="preserve"> </w:t>
      </w:r>
      <w:proofErr w:type="spellStart"/>
      <w:r w:rsidRPr="00E75953">
        <w:t>Tiriti</w:t>
      </w:r>
      <w:proofErr w:type="spellEnd"/>
      <w:r w:rsidRPr="00E75953">
        <w:t xml:space="preserve"> o Waitangi, student wellbeing, and supporting lifelong learning.</w:t>
      </w:r>
    </w:p>
    <w:p w:rsidRPr="0017041D" w:rsidR="0017041D" w:rsidP="00160A3A" w:rsidRDefault="0017041D" w14:paraId="62CF1A1D" w14:textId="77777777">
      <w:pPr>
        <w:pStyle w:val="Heading4"/>
      </w:pPr>
      <w:r w:rsidRPr="0017041D">
        <w:t>Other submitters</w:t>
      </w:r>
    </w:p>
    <w:p w:rsidRPr="0017041D" w:rsidR="0017041D" w:rsidP="0017041D" w:rsidRDefault="0017041D" w14:paraId="3E29BC20" w14:textId="41582726">
      <w:r w:rsidRPr="0017041D">
        <w:t xml:space="preserve">Both the </w:t>
      </w:r>
      <w:proofErr w:type="spellStart"/>
      <w:r w:rsidRPr="0017041D">
        <w:t>Mātauranga</w:t>
      </w:r>
      <w:proofErr w:type="spellEnd"/>
      <w:r w:rsidRPr="0017041D">
        <w:t xml:space="preserve"> Iwi Leaders Group (MILG) and the </w:t>
      </w:r>
      <w:r w:rsidR="00A416ED">
        <w:t>TEC Board</w:t>
      </w:r>
      <w:r w:rsidRPr="0017041D">
        <w:t xml:space="preserve"> provided support for the overall direction of the TES</w:t>
      </w:r>
      <w:r w:rsidR="001B090D">
        <w:t>:</w:t>
      </w:r>
      <w:r w:rsidRPr="0017041D">
        <w:t xml:space="preserve"> </w:t>
      </w:r>
    </w:p>
    <w:p w:rsidRPr="002F55B5" w:rsidR="0017041D" w:rsidP="0017041D" w:rsidRDefault="0017041D" w14:paraId="6222FF8C" w14:textId="6D98580D">
      <w:pPr>
        <w:pStyle w:val="Quote"/>
        <w:rPr>
          <w:i w:val="0"/>
          <w:iCs w:val="0"/>
        </w:rPr>
      </w:pPr>
      <w:r w:rsidRPr="0017041D">
        <w:t>...increasing access and participation, deepening integration and collaboration between tertiary providers, communities, and industries, and lifting achievement…. [and] responding to the needs of the local businesses, industries and communities, through enabling equitable access, provision and funding systems within the tertiary education system.</w:t>
      </w:r>
      <w:r w:rsidR="002F55B5">
        <w:t xml:space="preserve"> </w:t>
      </w:r>
      <w:r w:rsidR="002F55B5">
        <w:rPr>
          <w:i w:val="0"/>
          <w:iCs w:val="0"/>
        </w:rPr>
        <w:t>(</w:t>
      </w:r>
      <w:r w:rsidRPr="002F55B5" w:rsidR="002F55B5">
        <w:rPr>
          <w:i w:val="0"/>
          <w:iCs w:val="0"/>
        </w:rPr>
        <w:t>MILG</w:t>
      </w:r>
      <w:r w:rsidR="002F55B5">
        <w:rPr>
          <w:i w:val="0"/>
          <w:iCs w:val="0"/>
        </w:rPr>
        <w:t>)</w:t>
      </w:r>
    </w:p>
    <w:p w:rsidRPr="0017041D" w:rsidR="0017041D" w:rsidP="0017041D" w:rsidRDefault="0017041D" w14:paraId="73B29B96" w14:textId="0C01B60E">
      <w:r w:rsidRPr="0017041D">
        <w:t>The TEC Board noted that the clarity of direction will make it easier to determine what is needed to give effect to the TES</w:t>
      </w:r>
      <w:r w:rsidR="00387D8C">
        <w:t>. A</w:t>
      </w:r>
      <w:r w:rsidRPr="0017041D">
        <w:t xml:space="preserve">lthough they also noted that additional levers may be </w:t>
      </w:r>
      <w:proofErr w:type="gramStart"/>
      <w:r w:rsidRPr="0017041D">
        <w:t>required</w:t>
      </w:r>
      <w:proofErr w:type="gramEnd"/>
      <w:r w:rsidRPr="0017041D">
        <w:t xml:space="preserve"> and this would need new resourcing.</w:t>
      </w:r>
    </w:p>
    <w:p w:rsidRPr="00AC7FF4" w:rsidR="00AC7FF4" w:rsidP="002F55B5" w:rsidRDefault="00AC7FF4" w14:paraId="01312F9A" w14:textId="4F7C534F">
      <w:pPr>
        <w:pStyle w:val="Heading4"/>
      </w:pPr>
      <w:r w:rsidRPr="00AC7FF4">
        <w:t>Industry</w:t>
      </w:r>
    </w:p>
    <w:p w:rsidRPr="00AC7FF4" w:rsidR="00AC7FF4" w:rsidP="00AC7FF4" w:rsidRDefault="00AC7FF4" w14:paraId="56FBD267" w14:textId="7F8C3DA8">
      <w:r w:rsidRPr="00AC7FF4">
        <w:t>Eleven industry submitters explicitly stated support for the draft objective with one noting “</w:t>
      </w:r>
      <w:r w:rsidRPr="00AC7FF4">
        <w:rPr>
          <w:i/>
          <w:iCs/>
        </w:rPr>
        <w:t>it would be hard to disagree</w:t>
      </w:r>
      <w:r w:rsidRPr="00AC7FF4">
        <w:t xml:space="preserve">”. Engineering New Zealand noted that success will be dependent on funding. </w:t>
      </w:r>
    </w:p>
    <w:p w:rsidRPr="00AC7FF4" w:rsidR="00AC7FF4" w:rsidP="00AC7FF4" w:rsidRDefault="00AC7FF4" w14:paraId="15C3A0C0" w14:textId="1E24F0E3">
      <w:r w:rsidRPr="00AC7FF4">
        <w:t>Five industry submitters made comments regarding the wording of the draft objective. This include</w:t>
      </w:r>
      <w:r w:rsidR="003C5952">
        <w:t>d</w:t>
      </w:r>
      <w:r w:rsidRPr="00AC7FF4">
        <w:t xml:space="preserve"> a concern that the framing of the objective was focused on specific careers and employment and not reflective that in some industries contract-based and self-employment are valid workforce outcomes.</w:t>
      </w:r>
    </w:p>
    <w:p w:rsidR="00AC7FF4" w:rsidP="00AC7FF4" w:rsidRDefault="00AC7FF4" w14:paraId="0CFA90D6" w14:textId="3B92C77C">
      <w:r w:rsidRPr="00AC7FF4">
        <w:t>Industry feedback on additional considerations for the objective included more explicit reference to the social outcomes of tertiary education and ma</w:t>
      </w:r>
      <w:r w:rsidR="003A45FF">
        <w:t>de</w:t>
      </w:r>
      <w:r w:rsidRPr="00AC7FF4">
        <w:t xml:space="preserve"> explicit reference to cultural competency and a stronger recognition of </w:t>
      </w:r>
      <w:proofErr w:type="spellStart"/>
      <w:r w:rsidRPr="00AC7FF4">
        <w:t>Te</w:t>
      </w:r>
      <w:proofErr w:type="spellEnd"/>
      <w:r w:rsidRPr="00AC7FF4">
        <w:t xml:space="preserve"> </w:t>
      </w:r>
      <w:proofErr w:type="spellStart"/>
      <w:r w:rsidRPr="00AC7FF4">
        <w:t>Tiriti</w:t>
      </w:r>
      <w:proofErr w:type="spellEnd"/>
      <w:r w:rsidRPr="00AC7FF4">
        <w:t xml:space="preserve"> o Waitangi.  </w:t>
      </w:r>
    </w:p>
    <w:p w:rsidRPr="004F2ADD" w:rsidR="002A5317" w:rsidP="004F2ADD" w:rsidRDefault="004F2ADD" w14:paraId="678EB68F" w14:textId="4C77F8AC">
      <w:pPr>
        <w:pStyle w:val="Quote"/>
        <w:rPr>
          <w:i w:val="0"/>
          <w:iCs w:val="0"/>
        </w:rPr>
      </w:pPr>
      <w:r w:rsidRPr="004F2ADD">
        <w:t xml:space="preserve">We think the objective should directly acknowledge the context that is Aotearoa and our unique system in having a foundational document like </w:t>
      </w:r>
      <w:proofErr w:type="spellStart"/>
      <w:r w:rsidRPr="004F2ADD">
        <w:t>Te</w:t>
      </w:r>
      <w:proofErr w:type="spellEnd"/>
      <w:r w:rsidRPr="004F2ADD">
        <w:t xml:space="preserve"> </w:t>
      </w:r>
      <w:proofErr w:type="spellStart"/>
      <w:r w:rsidRPr="004F2ADD">
        <w:t>Tiriti</w:t>
      </w:r>
      <w:proofErr w:type="spellEnd"/>
      <w:r w:rsidRPr="004F2ADD">
        <w:t>.</w:t>
      </w:r>
      <w:r>
        <w:t xml:space="preserve"> </w:t>
      </w:r>
      <w:r w:rsidR="00176076">
        <w:rPr>
          <w:i w:val="0"/>
          <w:iCs w:val="0"/>
        </w:rPr>
        <w:t>(Creative Waikato)</w:t>
      </w:r>
    </w:p>
    <w:p w:rsidRPr="00AC7FF4" w:rsidR="00AC7FF4" w:rsidP="00AC7FF4" w:rsidRDefault="00AC7FF4" w14:paraId="0393263B" w14:textId="77777777">
      <w:r w:rsidRPr="00AC7FF4">
        <w:t>Three industry submitters called for stronger system alignment and connection with their industry.</w:t>
      </w:r>
    </w:p>
    <w:p w:rsidRPr="00EF7A20" w:rsidR="00EF7A20" w:rsidP="002624A8" w:rsidRDefault="00EF7A20" w14:paraId="583B562D" w14:textId="7BBCA69B">
      <w:pPr>
        <w:pStyle w:val="Heading4"/>
      </w:pPr>
      <w:r w:rsidRPr="00EF7A20">
        <w:t xml:space="preserve">Research </w:t>
      </w:r>
      <w:r w:rsidR="00053AFC">
        <w:t>organisations</w:t>
      </w:r>
    </w:p>
    <w:p w:rsidRPr="00EF7A20" w:rsidR="00EF7A20" w:rsidP="00EF7A20" w:rsidRDefault="00EF7A20" w14:paraId="7765EF49" w14:textId="77777777">
      <w:r w:rsidRPr="00EF7A20">
        <w:t>Five research organisations provided comment on the draft objective and general direction of the TES. The MacDiarmid Institute suggested the objective could be strengthened by emphasising “’</w:t>
      </w:r>
      <w:r w:rsidRPr="00EF7A20">
        <w:rPr>
          <w:i/>
          <w:iCs/>
        </w:rPr>
        <w:t>enables</w:t>
      </w:r>
      <w:r w:rsidRPr="00EF7A20">
        <w:rPr>
          <w:i/>
        </w:rPr>
        <w:t xml:space="preserve"> all people to succeed…’</w:t>
      </w:r>
      <w:r w:rsidRPr="00EF7A20">
        <w:rPr>
          <w:i/>
          <w:iCs/>
        </w:rPr>
        <w:t xml:space="preserve"> or</w:t>
      </w:r>
      <w:r w:rsidRPr="00EF7A20">
        <w:rPr>
          <w:i/>
        </w:rPr>
        <w:t xml:space="preserve"> even to ‘enables all people to thrive and </w:t>
      </w:r>
      <w:r w:rsidRPr="00EF7A20">
        <w:rPr>
          <w:i/>
          <w:iCs/>
        </w:rPr>
        <w:t>succeed’”</w:t>
      </w:r>
      <w:r w:rsidRPr="00EF7A20">
        <w:t>’.</w:t>
      </w:r>
    </w:p>
    <w:p w:rsidRPr="00EF7A20" w:rsidR="00EF7A20" w:rsidP="00EF7A20" w:rsidRDefault="00EF7A20" w14:paraId="1C99B5CA" w14:textId="77777777">
      <w:proofErr w:type="spellStart"/>
      <w:r w:rsidRPr="00EF7A20">
        <w:t>Te</w:t>
      </w:r>
      <w:proofErr w:type="spellEnd"/>
      <w:r w:rsidRPr="00EF7A20">
        <w:t xml:space="preserve"> </w:t>
      </w:r>
      <w:proofErr w:type="spellStart"/>
      <w:r w:rsidRPr="00EF7A20">
        <w:t>Pūnaha</w:t>
      </w:r>
      <w:proofErr w:type="spellEnd"/>
      <w:r w:rsidRPr="00EF7A20">
        <w:t xml:space="preserve"> </w:t>
      </w:r>
      <w:proofErr w:type="spellStart"/>
      <w:r w:rsidRPr="00EF7A20">
        <w:t>Matatini</w:t>
      </w:r>
      <w:proofErr w:type="spellEnd"/>
      <w:r w:rsidRPr="00EF7A20">
        <w:t xml:space="preserve"> proposed a wider revision to:</w:t>
      </w:r>
    </w:p>
    <w:p w:rsidRPr="00EF7A20" w:rsidR="00EF7A20" w:rsidP="00F33B6F" w:rsidRDefault="00EF7A20" w14:paraId="4FDFBA02" w14:textId="77777777">
      <w:pPr>
        <w:pStyle w:val="Quote"/>
      </w:pPr>
      <w:r w:rsidRPr="00EF7A20">
        <w:t xml:space="preserve">A tertiary education system that enables people to contribute to New Zealand as a role model economy that balances innovation and </w:t>
      </w:r>
      <w:proofErr w:type="gramStart"/>
      <w:r w:rsidRPr="00EF7A20">
        <w:t>high-productivity</w:t>
      </w:r>
      <w:proofErr w:type="gramEnd"/>
      <w:r w:rsidRPr="00EF7A20">
        <w:t xml:space="preserve"> with planetary boundaries and human flourishing under rapid technological change.</w:t>
      </w:r>
    </w:p>
    <w:p w:rsidRPr="00EF7A20" w:rsidR="00EF7A20" w:rsidP="00EF7A20" w:rsidRDefault="00EF7A20" w14:paraId="54EFBE56" w14:textId="77777777">
      <w:r w:rsidRPr="00EF7A20">
        <w:t>Science New Zealand recommended a more explicit reference to science, innovation and technology.</w:t>
      </w:r>
    </w:p>
    <w:p w:rsidRPr="000F0BC8" w:rsidR="000F0BC8" w:rsidP="000F0BC8" w:rsidRDefault="000F0BC8" w14:paraId="2F285DAB" w14:textId="6231B480">
      <w:pPr>
        <w:pStyle w:val="Heading2"/>
      </w:pPr>
      <w:bookmarkStart w:name="_Toc211314469" w:id="12"/>
      <w:bookmarkStart w:name="_Toc211348939" w:id="13"/>
      <w:r w:rsidRPr="000F0BC8">
        <w:t xml:space="preserve">Drivers for </w:t>
      </w:r>
      <w:r w:rsidR="00E87C60">
        <w:t>c</w:t>
      </w:r>
      <w:r w:rsidRPr="000F0BC8">
        <w:t>hange</w:t>
      </w:r>
      <w:bookmarkEnd w:id="12"/>
      <w:bookmarkEnd w:id="13"/>
    </w:p>
    <w:p w:rsidRPr="000F0BC8" w:rsidR="000F0BC8" w:rsidP="000E73D3" w:rsidRDefault="000F0BC8" w14:paraId="3A9E3A92" w14:textId="77777777">
      <w:r w:rsidRPr="000F0BC8">
        <w:t xml:space="preserve">Of the 68 submitters, 59 provided comment on the drivers for change as outlined in the draft TES. Submitters generally agreed with the drivers of change and their feedback reflected suggestions for additional challenges that could be included in this section, </w:t>
      </w:r>
      <w:r w:rsidRPr="000F0BC8">
        <w:t xml:space="preserve">how these challenges are impacting their industry/organisation or specific communities, and how the tertiary education sector could respond to these challenges. </w:t>
      </w:r>
    </w:p>
    <w:p w:rsidRPr="00467411" w:rsidR="00012CE1" w:rsidP="00012CE1" w:rsidRDefault="00012CE1" w14:paraId="0B0B6CB3" w14:textId="77777777">
      <w:pPr>
        <w:pStyle w:val="Heading4"/>
      </w:pPr>
      <w:r>
        <w:t xml:space="preserve">Tertiary Education Organisations and their </w:t>
      </w:r>
      <w:r w:rsidRPr="00012CE1">
        <w:t>representative bodies</w:t>
      </w:r>
    </w:p>
    <w:p w:rsidRPr="00D45527" w:rsidR="00D45527" w:rsidP="00D45527" w:rsidRDefault="004F0E5D" w14:paraId="02230DD7" w14:textId="49F4008C">
      <w:r>
        <w:t>Twenty-one TEO</w:t>
      </w:r>
      <w:r w:rsidRPr="00D45527" w:rsidR="00D45527">
        <w:t xml:space="preserve"> submitters</w:t>
      </w:r>
      <w:r w:rsidR="00D02669">
        <w:t xml:space="preserve"> (</w:t>
      </w:r>
      <w:r w:rsidR="00E32198">
        <w:t>seven</w:t>
      </w:r>
      <w:r w:rsidRPr="00D45527" w:rsidR="00E32198">
        <w:t xml:space="preserve"> </w:t>
      </w:r>
      <w:proofErr w:type="spellStart"/>
      <w:r w:rsidRPr="00D45527" w:rsidR="00E32198">
        <w:t>Te</w:t>
      </w:r>
      <w:proofErr w:type="spellEnd"/>
      <w:r w:rsidRPr="00D45527" w:rsidR="00E32198">
        <w:t xml:space="preserve"> </w:t>
      </w:r>
      <w:proofErr w:type="spellStart"/>
      <w:r w:rsidRPr="00D45527" w:rsidR="00E32198">
        <w:t>Pūkenga</w:t>
      </w:r>
      <w:proofErr w:type="spellEnd"/>
      <w:r w:rsidRPr="00D45527" w:rsidR="00E32198">
        <w:t xml:space="preserve"> divisions, </w:t>
      </w:r>
      <w:r w:rsidR="00E32198">
        <w:t>six</w:t>
      </w:r>
      <w:r w:rsidRPr="00D45527" w:rsidR="00E32198">
        <w:t xml:space="preserve"> PTE</w:t>
      </w:r>
      <w:r w:rsidR="00E32198">
        <w:t>s</w:t>
      </w:r>
      <w:r w:rsidRPr="00D45527" w:rsidR="00E32198">
        <w:t xml:space="preserve">, </w:t>
      </w:r>
      <w:r w:rsidR="00D02669">
        <w:t xml:space="preserve">four universities, </w:t>
      </w:r>
      <w:r w:rsidR="00E32198">
        <w:t>three</w:t>
      </w:r>
      <w:r w:rsidRPr="00D45527" w:rsidR="00E32198">
        <w:t xml:space="preserve"> </w:t>
      </w:r>
      <w:r w:rsidR="00E32198">
        <w:t xml:space="preserve">tertiary sector entities, and </w:t>
      </w:r>
      <w:r w:rsidR="00D02669">
        <w:t>one wānanga</w:t>
      </w:r>
      <w:r w:rsidR="00617B53">
        <w:t>)</w:t>
      </w:r>
      <w:r w:rsidRPr="00D45527" w:rsidR="00D45527">
        <w:t xml:space="preserve"> commented on this section. Feedback from </w:t>
      </w:r>
      <w:r w:rsidR="008C6ED2">
        <w:t>TEO</w:t>
      </w:r>
      <w:r w:rsidRPr="00D45527" w:rsidR="00D45527">
        <w:t xml:space="preserve"> submitters included that the TES does not reflect the impact these challenges have on different communities. Te Wānanga o Aotearoa noted that with the changing demographic profile of New Zealand</w:t>
      </w:r>
      <w:r w:rsidR="004C2529">
        <w:t>,</w:t>
      </w:r>
      <w:r w:rsidRPr="00D45527" w:rsidR="00D45527">
        <w:t xml:space="preserve"> the TES should recognise the need for “</w:t>
      </w:r>
      <w:r w:rsidRPr="00D45527" w:rsidR="00D45527">
        <w:rPr>
          <w:i/>
          <w:iCs/>
        </w:rPr>
        <w:t>success of Māori and Māori youth as an economic imperative, not just an equity goal”</w:t>
      </w:r>
      <w:r w:rsidRPr="00D45527" w:rsidR="00D45527">
        <w:t>.</w:t>
      </w:r>
    </w:p>
    <w:p w:rsidRPr="00D45527" w:rsidR="00D12FCB" w:rsidP="00D12FCB" w:rsidRDefault="00D12FCB" w14:paraId="54534E8E" w14:textId="4B5FF29C">
      <w:r>
        <w:t>University submitter</w:t>
      </w:r>
      <w:r w:rsidRPr="00D45527">
        <w:t xml:space="preserve"> feedback included the need to recognise that the current fiscal constraints are unlikely to change </w:t>
      </w:r>
      <w:r w:rsidRPr="00D45527" w:rsidR="00553D34">
        <w:t>soon</w:t>
      </w:r>
      <w:r w:rsidRPr="00D45527">
        <w:t xml:space="preserve"> and that the framing of these challenges and the impact they have on specific communities. </w:t>
      </w:r>
      <w:r>
        <w:t xml:space="preserve">One submitter </w:t>
      </w:r>
      <w:r w:rsidRPr="00D45527">
        <w:t>suggested the TES would benefit from</w:t>
      </w:r>
      <w:r>
        <w:t>:</w:t>
      </w:r>
      <w:r w:rsidRPr="00D45527">
        <w:t xml:space="preserve"> </w:t>
      </w:r>
    </w:p>
    <w:p w:rsidRPr="00D45527" w:rsidR="00D12FCB" w:rsidP="00D12FCB" w:rsidRDefault="00D12FCB" w14:paraId="1AF98E0F" w14:textId="77777777">
      <w:pPr>
        <w:pStyle w:val="Quote"/>
      </w:pPr>
      <w:r w:rsidRPr="00D45527">
        <w:t>…a revised set of middle-term priorities that better balances what will add value to the country with what can realistically be implemented within current resourcing</w:t>
      </w:r>
      <w:r>
        <w:t xml:space="preserve">. </w:t>
      </w:r>
      <w:r>
        <w:rPr>
          <w:i w:val="0"/>
          <w:iCs w:val="0"/>
        </w:rPr>
        <w:t>(</w:t>
      </w:r>
      <w:r w:rsidRPr="007F206D">
        <w:rPr>
          <w:i w:val="0"/>
          <w:iCs w:val="0"/>
        </w:rPr>
        <w:t>Universities NZ</w:t>
      </w:r>
      <w:r>
        <w:rPr>
          <w:i w:val="0"/>
          <w:iCs w:val="0"/>
        </w:rPr>
        <w:t>)</w:t>
      </w:r>
    </w:p>
    <w:p w:rsidRPr="00D45527" w:rsidR="00D12FCB" w:rsidP="00D12FCB" w:rsidRDefault="00D12FCB" w14:paraId="72CB86AD" w14:textId="6DE2AB07">
      <w:r>
        <w:t xml:space="preserve">One submitter </w:t>
      </w:r>
      <w:r w:rsidRPr="00D45527">
        <w:t>suggested that there needs to be a whole of government approach to these challenges</w:t>
      </w:r>
      <w:r w:rsidR="001B090D">
        <w:t>:</w:t>
      </w:r>
    </w:p>
    <w:p w:rsidRPr="007F206D" w:rsidR="00D12FCB" w:rsidP="00D12FCB" w:rsidRDefault="00D12FCB" w14:paraId="04FA81A7" w14:textId="77777777">
      <w:pPr>
        <w:pStyle w:val="Quote"/>
        <w:rPr>
          <w:i w:val="0"/>
          <w:iCs w:val="0"/>
        </w:rPr>
      </w:pPr>
      <w:r>
        <w:t>…</w:t>
      </w:r>
      <w:r w:rsidRPr="00D45527">
        <w:t xml:space="preserve"> if government is focused on the economic growth agenda, they need to look broadly into what other government agencies are doing and funding to ensure that all systems are connected to ensure cohesiveness. </w:t>
      </w:r>
      <w:r w:rsidRPr="007F206D">
        <w:rPr>
          <w:i w:val="0"/>
          <w:iCs w:val="0"/>
        </w:rPr>
        <w:t>(Massey University)</w:t>
      </w:r>
    </w:p>
    <w:p w:rsidRPr="00D45527" w:rsidR="00D45527" w:rsidP="00D45527" w:rsidRDefault="00FF3282" w14:paraId="15D6A5A2" w14:textId="26FDABD5">
      <w:r>
        <w:t xml:space="preserve">Two </w:t>
      </w:r>
      <w:r w:rsidR="00B4297F">
        <w:t xml:space="preserve">TEO </w:t>
      </w:r>
      <w:r>
        <w:t>submitters</w:t>
      </w:r>
      <w:r w:rsidRPr="00D45527" w:rsidR="00D45527">
        <w:t xml:space="preserve"> noted the absence of climate and environmental change from the challenges that are facing the tertiary education sector, and the impact that this has on the challenges outlined in the TES. </w:t>
      </w:r>
    </w:p>
    <w:p w:rsidRPr="00DE1B6B" w:rsidR="00D45527" w:rsidP="00D45527" w:rsidRDefault="00D45527" w14:paraId="669CF7FE" w14:textId="067FDAF5">
      <w:pPr>
        <w:pStyle w:val="Quote"/>
        <w:rPr>
          <w:i w:val="0"/>
          <w:iCs w:val="0"/>
        </w:rPr>
      </w:pPr>
      <w:r w:rsidRPr="00D45527">
        <w:t xml:space="preserve">An additional driver to consider is climate/ environmental change as this impacts upon other drivers, particularly fiscal constraints and demographic change; built environment risks around natural disaster protection; ensuring physical and virtual accessibility to education and internet connectivity; and communities needing to relocate to mitigate risks posed by sea level rise and inundation. </w:t>
      </w:r>
      <w:r w:rsidRPr="00DE1B6B" w:rsidR="00DE1B6B">
        <w:rPr>
          <w:i w:val="0"/>
          <w:iCs w:val="0"/>
        </w:rPr>
        <w:t>(Ako Aotearoa)</w:t>
      </w:r>
    </w:p>
    <w:p w:rsidRPr="00D45527" w:rsidR="00D45527" w:rsidP="00D45527" w:rsidRDefault="002A5C61" w14:paraId="2EE2A856" w14:textId="7E61B9C7">
      <w:r>
        <w:t xml:space="preserve">Two submitters spoke to the </w:t>
      </w:r>
      <w:r w:rsidR="007F3D47">
        <w:t xml:space="preserve">work-based learning focus. </w:t>
      </w:r>
      <w:r w:rsidR="00B977C4">
        <w:t xml:space="preserve">A WDC submitter </w:t>
      </w:r>
      <w:r w:rsidRPr="00D45527" w:rsidR="00D45527">
        <w:t xml:space="preserve">suggested there needs to be broader consideration of what work-based learning is, </w:t>
      </w:r>
      <w:r w:rsidR="00B977C4">
        <w:t xml:space="preserve">commenting </w:t>
      </w:r>
      <w:r w:rsidRPr="00D45527" w:rsidR="00D45527">
        <w:t xml:space="preserve">the TES </w:t>
      </w:r>
      <w:r w:rsidR="00B977C4">
        <w:t>seemed to be</w:t>
      </w:r>
      <w:r w:rsidRPr="00D45527" w:rsidR="00D45527">
        <w:t xml:space="preserve"> based on traditional models like apprenticeships. </w:t>
      </w:r>
      <w:r w:rsidR="00B977C4">
        <w:t xml:space="preserve">A polytechnic submitter </w:t>
      </w:r>
      <w:r w:rsidRPr="00D45527" w:rsidR="00D45527">
        <w:t>raised the challenge of employment vulnerability for apprentices in the current economic environment and suggested the TES overemphasised work-based learning</w:t>
      </w:r>
      <w:r w:rsidR="00124C59">
        <w:t>:</w:t>
      </w:r>
      <w:r w:rsidRPr="00D45527" w:rsidR="00D45527">
        <w:t xml:space="preserve"> </w:t>
      </w:r>
    </w:p>
    <w:p w:rsidRPr="00B977C4" w:rsidR="00D45527" w:rsidP="00D45527" w:rsidRDefault="00D45527" w14:paraId="4860B5A5" w14:textId="7A0D098F">
      <w:pPr>
        <w:pStyle w:val="Quote"/>
        <w:rPr>
          <w:i w:val="0"/>
          <w:iCs w:val="0"/>
        </w:rPr>
      </w:pPr>
      <w:r w:rsidRPr="00D45527">
        <w:t xml:space="preserve">The reality is that New Zealand is a country built on Small to Medium Business (SMEs), which may not have the capacity, capability or time </w:t>
      </w:r>
      <w:r w:rsidRPr="00D45527">
        <w:t>for work-based or integrated training. The reality is businesses want to employ skilled people to begin with and when having to put aside time (which is dollars) for training there is a real tension.</w:t>
      </w:r>
      <w:r w:rsidR="00292524">
        <w:t xml:space="preserve"> </w:t>
      </w:r>
      <w:r w:rsidRPr="00292524" w:rsidR="00292524">
        <w:rPr>
          <w:i w:val="0"/>
          <w:iCs w:val="0"/>
        </w:rPr>
        <w:t>(</w:t>
      </w:r>
      <w:proofErr w:type="spellStart"/>
      <w:r w:rsidRPr="00292524" w:rsidR="00292524">
        <w:rPr>
          <w:i w:val="0"/>
          <w:iCs w:val="0"/>
        </w:rPr>
        <w:t>Weltec</w:t>
      </w:r>
      <w:proofErr w:type="spellEnd"/>
      <w:r w:rsidRPr="00292524" w:rsidR="00292524">
        <w:rPr>
          <w:i w:val="0"/>
          <w:iCs w:val="0"/>
        </w:rPr>
        <w:t>/Whitireia)</w:t>
      </w:r>
    </w:p>
    <w:p w:rsidRPr="00D45527" w:rsidR="00D45527" w:rsidP="009A2754" w:rsidRDefault="00D45527" w14:paraId="412562F1" w14:textId="632E3723">
      <w:pPr>
        <w:pStyle w:val="Heading4"/>
      </w:pPr>
      <w:r w:rsidRPr="00D45527">
        <w:t>Educator</w:t>
      </w:r>
      <w:r w:rsidR="009A2754">
        <w:t>s/</w:t>
      </w:r>
      <w:r w:rsidRPr="00D45527">
        <w:t>Student</w:t>
      </w:r>
      <w:r w:rsidR="009A2754">
        <w:t>s</w:t>
      </w:r>
    </w:p>
    <w:p w:rsidRPr="00D45527" w:rsidR="00D45527" w:rsidP="00D45527" w:rsidRDefault="00D45527" w14:paraId="525195E2" w14:textId="2BC81DA9">
      <w:r w:rsidRPr="00D45527">
        <w:t xml:space="preserve">Three submitters from this stakeholder group commented on the drivers for change. One </w:t>
      </w:r>
      <w:r w:rsidR="0041236A">
        <w:t xml:space="preserve">student association </w:t>
      </w:r>
      <w:r w:rsidRPr="00D45527">
        <w:t>suggested the biggest driver for change for the tertiary education sector was underfunding</w:t>
      </w:r>
      <w:r w:rsidR="001B090D">
        <w:t>:</w:t>
      </w:r>
      <w:r w:rsidRPr="00D45527">
        <w:t xml:space="preserve"> </w:t>
      </w:r>
    </w:p>
    <w:p w:rsidRPr="00D45527" w:rsidR="00D45527" w:rsidP="00D45527" w:rsidRDefault="00D45527" w14:paraId="1EEFF33E" w14:textId="77777777">
      <w:pPr>
        <w:pStyle w:val="Quote"/>
      </w:pPr>
      <w:r w:rsidRPr="00D45527">
        <w:t>Cuts to courses, staff redundancies, and higher student fees are harming access and education quality.</w:t>
      </w:r>
    </w:p>
    <w:p w:rsidRPr="00D45527" w:rsidR="00D45527" w:rsidP="008F4B49" w:rsidRDefault="00D45527" w14:paraId="765359D4" w14:textId="77777777">
      <w:pPr>
        <w:pStyle w:val="Heading4"/>
      </w:pPr>
      <w:r w:rsidRPr="00D45527">
        <w:t>Other submitters</w:t>
      </w:r>
    </w:p>
    <w:p w:rsidRPr="00D45527" w:rsidR="00D45527" w:rsidP="00D45527" w:rsidRDefault="00D45527" w14:paraId="729DB77A" w14:textId="45EAAE8D">
      <w:r w:rsidRPr="00D45527">
        <w:t xml:space="preserve">The </w:t>
      </w:r>
      <w:proofErr w:type="spellStart"/>
      <w:r w:rsidRPr="00D45527">
        <w:t>Mātauranga</w:t>
      </w:r>
      <w:proofErr w:type="spellEnd"/>
      <w:r w:rsidRPr="00D45527">
        <w:t xml:space="preserve"> Iwi Leaders Group acknowledged the inclusion of technological change in this section and need for investment in flexible delivery in response. The TEC Board suggested that priority population needs </w:t>
      </w:r>
      <w:r w:rsidR="00E96799">
        <w:t>must</w:t>
      </w:r>
      <w:r w:rsidRPr="00D45527">
        <w:t xml:space="preserve"> be appropriately highlighted in this section, particularly those of disabled and Pacific people. </w:t>
      </w:r>
    </w:p>
    <w:p w:rsidRPr="00D45527" w:rsidR="00D45527" w:rsidP="008F4B49" w:rsidRDefault="00D45527" w14:paraId="2794AD0C" w14:textId="77777777">
      <w:pPr>
        <w:pStyle w:val="Heading4"/>
      </w:pPr>
      <w:r w:rsidRPr="00D45527">
        <w:t>Industry</w:t>
      </w:r>
    </w:p>
    <w:p w:rsidRPr="00D45527" w:rsidR="00D45527" w:rsidP="00D45527" w:rsidRDefault="00D45527" w14:paraId="0DBF643A" w14:textId="58B7BF5D">
      <w:r w:rsidRPr="00D45527">
        <w:t xml:space="preserve">Twelve industry submitters commented on this section. Their feedback </w:t>
      </w:r>
      <w:r w:rsidR="008F4B49">
        <w:t xml:space="preserve">highlighted </w:t>
      </w:r>
      <w:r w:rsidRPr="00D45527">
        <w:t xml:space="preserve">the role of employers and industry in addressing these challenges, the importance of sustainability and climate change resilience, and the challenges facing regional tertiary education delivery. </w:t>
      </w:r>
    </w:p>
    <w:p w:rsidRPr="00D45527" w:rsidR="00D45527" w:rsidP="00D45527" w:rsidRDefault="008B5593" w14:paraId="0274C7C3" w14:textId="3726A873">
      <w:r>
        <w:t xml:space="preserve">One submitter </w:t>
      </w:r>
      <w:r w:rsidRPr="00D45527" w:rsidR="00D45527">
        <w:t xml:space="preserve">suggested that employers need to be </w:t>
      </w:r>
      <w:r w:rsidR="00F41BDA">
        <w:t>involved</w:t>
      </w:r>
      <w:r w:rsidRPr="00D45527" w:rsidR="00D45527">
        <w:t xml:space="preserve"> in the response to these challenges</w:t>
      </w:r>
      <w:r w:rsidR="001B090D">
        <w:t>:</w:t>
      </w:r>
    </w:p>
    <w:p w:rsidRPr="008B5593" w:rsidR="00D45527" w:rsidP="00D45527" w:rsidRDefault="00D45527" w14:paraId="55202A47" w14:textId="61190543">
      <w:pPr>
        <w:pStyle w:val="Quote"/>
        <w:rPr>
          <w:i w:val="0"/>
          <w:iCs w:val="0"/>
        </w:rPr>
      </w:pPr>
      <w:r w:rsidRPr="00D45527">
        <w:t>Providers will need to evolve their practices to meet changing learner needs, respond to shifting labour, market and community demands - - - ‘could add “employers” to this list.</w:t>
      </w:r>
      <w:r w:rsidR="008B5593">
        <w:t xml:space="preserve"> </w:t>
      </w:r>
      <w:r w:rsidR="008B5593">
        <w:rPr>
          <w:i w:val="0"/>
          <w:iCs w:val="0"/>
        </w:rPr>
        <w:t>(</w:t>
      </w:r>
      <w:r w:rsidRPr="008B5593" w:rsidR="008B5593">
        <w:rPr>
          <w:i w:val="0"/>
          <w:iCs w:val="0"/>
        </w:rPr>
        <w:t>NZ</w:t>
      </w:r>
      <w:r w:rsidR="004E6603">
        <w:rPr>
          <w:i w:val="0"/>
          <w:iCs w:val="0"/>
        </w:rPr>
        <w:t xml:space="preserve"> </w:t>
      </w:r>
      <w:r w:rsidRPr="008B5593" w:rsidR="008B5593">
        <w:rPr>
          <w:i w:val="0"/>
          <w:iCs w:val="0"/>
        </w:rPr>
        <w:t>Marine Industry Association)</w:t>
      </w:r>
    </w:p>
    <w:p w:rsidRPr="00D45527" w:rsidR="00D45527" w:rsidP="00D45527" w:rsidRDefault="00AB315A" w14:paraId="4E02C69A" w14:textId="17EBD21B">
      <w:r>
        <w:t xml:space="preserve">One submitter </w:t>
      </w:r>
      <w:r w:rsidR="008B5593">
        <w:t xml:space="preserve">highlighted the need for </w:t>
      </w:r>
      <w:r>
        <w:t>the TES to consider the impact of the environment as a driver for change, including the connection it has with the drivers identified in the draft TES</w:t>
      </w:r>
      <w:r w:rsidR="001B090D">
        <w:t>:</w:t>
      </w:r>
      <w:r>
        <w:t xml:space="preserve"> </w:t>
      </w:r>
    </w:p>
    <w:p w:rsidRPr="00AB315A" w:rsidR="00D45527" w:rsidP="00D45527" w:rsidRDefault="00D45527" w14:paraId="5B89E67F" w14:textId="3E20FEC9">
      <w:pPr>
        <w:pStyle w:val="Quote"/>
        <w:rPr>
          <w:i w:val="0"/>
          <w:iCs w:val="0"/>
        </w:rPr>
      </w:pPr>
      <w:r w:rsidRPr="00D45527">
        <w:t>Sustainability and resilience will be a core competency for the future workforce…. The strategy is missing the importance of sustainability and climate change resilience…. Our future workforce needs to have a good understanding of these technologies and techniques to be able to respond to future challenges that New Zealand will face.</w:t>
      </w:r>
      <w:r w:rsidR="00AB315A">
        <w:t xml:space="preserve"> </w:t>
      </w:r>
      <w:r w:rsidR="00AB315A">
        <w:rPr>
          <w:i w:val="0"/>
          <w:iCs w:val="0"/>
        </w:rPr>
        <w:t>(</w:t>
      </w:r>
      <w:r w:rsidRPr="00AB315A" w:rsidR="00AB315A">
        <w:rPr>
          <w:i w:val="0"/>
          <w:iCs w:val="0"/>
        </w:rPr>
        <w:t>Engineering N</w:t>
      </w:r>
      <w:r w:rsidR="005B46FA">
        <w:rPr>
          <w:i w:val="0"/>
          <w:iCs w:val="0"/>
        </w:rPr>
        <w:t xml:space="preserve">ew </w:t>
      </w:r>
      <w:r w:rsidRPr="00AB315A" w:rsidR="00AB315A">
        <w:rPr>
          <w:i w:val="0"/>
          <w:iCs w:val="0"/>
        </w:rPr>
        <w:t>Z</w:t>
      </w:r>
      <w:r w:rsidR="005B46FA">
        <w:rPr>
          <w:i w:val="0"/>
          <w:iCs w:val="0"/>
        </w:rPr>
        <w:t>ealand</w:t>
      </w:r>
      <w:r w:rsidRPr="00AB315A" w:rsidR="00AB315A">
        <w:rPr>
          <w:i w:val="0"/>
          <w:iCs w:val="0"/>
        </w:rPr>
        <w:t>)</w:t>
      </w:r>
    </w:p>
    <w:p w:rsidRPr="00D45527" w:rsidR="00D45527" w:rsidP="00401ADC" w:rsidRDefault="00D45527" w14:paraId="545C8D32" w14:textId="06912CDD">
      <w:pPr>
        <w:pStyle w:val="Heading4"/>
      </w:pPr>
      <w:r w:rsidRPr="00D45527">
        <w:t>Research</w:t>
      </w:r>
      <w:r w:rsidR="00C72BE8">
        <w:t xml:space="preserve"> organisations</w:t>
      </w:r>
    </w:p>
    <w:p w:rsidRPr="00D45527" w:rsidR="00D45527" w:rsidP="00D45527" w:rsidRDefault="00D45527" w14:paraId="7DA1A90D" w14:textId="4CE80576">
      <w:r w:rsidRPr="00D45527">
        <w:t xml:space="preserve">Three research organisations agreed with the drivers for change outlined in the draft TES. One submitter referred to the low investment from government in research and </w:t>
      </w:r>
      <w:r w:rsidRPr="00D45527">
        <w:t>development (by international standards) as an additional challenge for the future of the research workforce</w:t>
      </w:r>
      <w:r w:rsidR="00060255">
        <w:t>:</w:t>
      </w:r>
    </w:p>
    <w:p w:rsidRPr="00D45527" w:rsidR="00D45527" w:rsidP="00D45527" w:rsidRDefault="00D45527" w14:paraId="3CC6EAA3" w14:textId="75DAD40F">
      <w:pPr>
        <w:pStyle w:val="Quote"/>
        <w:rPr>
          <w:b/>
        </w:rPr>
      </w:pPr>
      <w:r w:rsidRPr="00D45527">
        <w:t>The draft strategy reads as if it is assumed that the higher education institutions alone are responsible that Aotearoa lags ... and that teaching and research simply needs to change to overcome this.</w:t>
      </w:r>
      <w:r w:rsidR="001F2B33">
        <w:t xml:space="preserve">        </w:t>
      </w:r>
      <w:r w:rsidR="001F2B33">
        <w:rPr>
          <w:i w:val="0"/>
          <w:iCs w:val="0"/>
        </w:rPr>
        <w:t>(</w:t>
      </w:r>
      <w:proofErr w:type="spellStart"/>
      <w:r w:rsidRPr="001F2B33" w:rsidR="001F2B33">
        <w:rPr>
          <w:i w:val="0"/>
          <w:iCs w:val="0"/>
        </w:rPr>
        <w:t>Te</w:t>
      </w:r>
      <w:proofErr w:type="spellEnd"/>
      <w:r w:rsidRPr="001F2B33" w:rsidR="001F2B33">
        <w:rPr>
          <w:i w:val="0"/>
          <w:iCs w:val="0"/>
        </w:rPr>
        <w:t xml:space="preserve"> </w:t>
      </w:r>
      <w:proofErr w:type="spellStart"/>
      <w:r w:rsidRPr="001F2B33" w:rsidR="001F2B33">
        <w:rPr>
          <w:i w:val="0"/>
          <w:iCs w:val="0"/>
        </w:rPr>
        <w:t>Pūnaha</w:t>
      </w:r>
      <w:proofErr w:type="spellEnd"/>
      <w:r w:rsidRPr="001F2B33" w:rsidR="001F2B33">
        <w:rPr>
          <w:i w:val="0"/>
          <w:iCs w:val="0"/>
        </w:rPr>
        <w:t xml:space="preserve"> </w:t>
      </w:r>
      <w:proofErr w:type="spellStart"/>
      <w:r w:rsidRPr="001F2B33" w:rsidR="001F2B33">
        <w:rPr>
          <w:i w:val="0"/>
          <w:iCs w:val="0"/>
        </w:rPr>
        <w:t>Matatini</w:t>
      </w:r>
      <w:proofErr w:type="spellEnd"/>
      <w:r w:rsidR="001F2B33">
        <w:rPr>
          <w:i w:val="0"/>
          <w:iCs w:val="0"/>
        </w:rPr>
        <w:t>)</w:t>
      </w:r>
    </w:p>
    <w:p w:rsidRPr="00D20B78" w:rsidR="00D20B78" w:rsidP="00D20B78" w:rsidRDefault="00D20B78" w14:paraId="3F1157FB" w14:textId="77777777">
      <w:pPr>
        <w:pStyle w:val="Heading2"/>
      </w:pPr>
      <w:bookmarkStart w:name="_Toc211314470" w:id="14"/>
      <w:bookmarkStart w:name="_Toc211348940" w:id="15"/>
      <w:r w:rsidRPr="00D20B78">
        <w:t>Different or additional priorities</w:t>
      </w:r>
      <w:bookmarkEnd w:id="14"/>
      <w:bookmarkEnd w:id="15"/>
    </w:p>
    <w:p w:rsidRPr="00D20B78" w:rsidR="00D20B78" w:rsidP="00D20B78" w:rsidRDefault="00D20B78" w14:paraId="1769171F" w14:textId="6CECB843">
      <w:r w:rsidRPr="00D20B78">
        <w:t>The consultation question sought to identify different or additional priorities. Of the 68 submitters, 59 suggested additional or different priorities for the draft TES. This feedback can be grouped into the following key areas</w:t>
      </w:r>
      <w:r w:rsidR="006514F8">
        <w:t>:</w:t>
      </w:r>
      <w:r w:rsidRPr="00D20B78">
        <w:t xml:space="preserve"> </w:t>
      </w:r>
      <w:proofErr w:type="spellStart"/>
      <w:r w:rsidRPr="00D20B78">
        <w:t>Te</w:t>
      </w:r>
      <w:proofErr w:type="spellEnd"/>
      <w:r w:rsidRPr="00D20B78">
        <w:t xml:space="preserve"> </w:t>
      </w:r>
      <w:proofErr w:type="spellStart"/>
      <w:r w:rsidRPr="00D20B78">
        <w:t>Tiriti</w:t>
      </w:r>
      <w:proofErr w:type="spellEnd"/>
      <w:r w:rsidRPr="00D20B78">
        <w:t xml:space="preserve"> and Pacific</w:t>
      </w:r>
      <w:r w:rsidR="006514F8">
        <w:t>;</w:t>
      </w:r>
      <w:r w:rsidRPr="00D20B78">
        <w:t xml:space="preserve"> Equity and Inclusion</w:t>
      </w:r>
      <w:r w:rsidR="006514F8">
        <w:t>;</w:t>
      </w:r>
      <w:r w:rsidRPr="00D20B78">
        <w:t xml:space="preserve"> Sector and Workforce Alignment</w:t>
      </w:r>
      <w:r w:rsidR="006514F8">
        <w:t>;</w:t>
      </w:r>
      <w:r w:rsidRPr="00D20B78">
        <w:t xml:space="preserve"> System Performance</w:t>
      </w:r>
      <w:r w:rsidR="006514F8">
        <w:t>;</w:t>
      </w:r>
      <w:r w:rsidRPr="00D20B78">
        <w:t xml:space="preserve"> and Climate, Digital and Global Challenges. </w:t>
      </w:r>
    </w:p>
    <w:p w:rsidRPr="00CA585D" w:rsidR="00CA585D" w:rsidP="00775B22" w:rsidRDefault="00CA585D" w14:paraId="043379FE" w14:textId="77777777">
      <w:pPr>
        <w:pStyle w:val="Heading4"/>
      </w:pPr>
      <w:proofErr w:type="spellStart"/>
      <w:r w:rsidRPr="00CA585D">
        <w:t>Te</w:t>
      </w:r>
      <w:proofErr w:type="spellEnd"/>
      <w:r w:rsidRPr="00CA585D">
        <w:t xml:space="preserve"> </w:t>
      </w:r>
      <w:proofErr w:type="spellStart"/>
      <w:r w:rsidRPr="00CA585D">
        <w:t>Tiriti</w:t>
      </w:r>
      <w:proofErr w:type="spellEnd"/>
      <w:r w:rsidRPr="00CA585D">
        <w:t xml:space="preserve"> and Pacific</w:t>
      </w:r>
    </w:p>
    <w:p w:rsidRPr="00CA585D" w:rsidR="00CA585D" w:rsidP="00CA585D" w:rsidRDefault="00CA585D" w14:paraId="45DBB12E" w14:textId="52A45140">
      <w:r w:rsidRPr="00CA585D">
        <w:t>Five submitters (</w:t>
      </w:r>
      <w:r w:rsidR="006C3C78">
        <w:t>three</w:t>
      </w:r>
      <w:r w:rsidRPr="00CA585D">
        <w:t xml:space="preserve"> TEOs, </w:t>
      </w:r>
      <w:r w:rsidRPr="00CA585D" w:rsidR="001A327E">
        <w:t xml:space="preserve">the TEC Board </w:t>
      </w:r>
      <w:r w:rsidR="001A327E">
        <w:t xml:space="preserve">and </w:t>
      </w:r>
      <w:r w:rsidRPr="00CA585D">
        <w:t xml:space="preserve">one </w:t>
      </w:r>
      <w:r w:rsidR="001A327E">
        <w:t>i</w:t>
      </w:r>
      <w:r w:rsidRPr="00CA585D">
        <w:t>ndustry submitte</w:t>
      </w:r>
      <w:r w:rsidR="001A327E">
        <w:t>r</w:t>
      </w:r>
      <w:r w:rsidRPr="00CA585D">
        <w:t xml:space="preserve">) suggested there should be a specific priority focused on </w:t>
      </w:r>
      <w:proofErr w:type="spellStart"/>
      <w:r w:rsidRPr="00CA585D">
        <w:t>Te</w:t>
      </w:r>
      <w:proofErr w:type="spellEnd"/>
      <w:r w:rsidRPr="00CA585D">
        <w:t xml:space="preserve"> </w:t>
      </w:r>
      <w:proofErr w:type="spellStart"/>
      <w:r w:rsidRPr="00CA585D">
        <w:t>Tiriti</w:t>
      </w:r>
      <w:proofErr w:type="spellEnd"/>
      <w:r w:rsidRPr="00CA585D">
        <w:t xml:space="preserve"> o Waitangi to recognise </w:t>
      </w:r>
      <w:r w:rsidRPr="00CA585D">
        <w:rPr>
          <w:i/>
        </w:rPr>
        <w:t>“</w:t>
      </w:r>
      <w:r w:rsidRPr="00CA585D">
        <w:rPr>
          <w:i/>
          <w:iCs/>
        </w:rPr>
        <w:t xml:space="preserve">the Crown’s obligation to support and service Māori in partnership”. </w:t>
      </w:r>
      <w:r w:rsidRPr="00CA585D">
        <w:t>Komiti Pasifika also raised concern that the absence of specific Pacific priorities risked “</w:t>
      </w:r>
      <w:r w:rsidRPr="00CA585D">
        <w:rPr>
          <w:i/>
        </w:rPr>
        <w:t xml:space="preserve">potential harm for Pacific </w:t>
      </w:r>
      <w:r w:rsidRPr="00CA585D">
        <w:rPr>
          <w:i/>
          <w:iCs/>
        </w:rPr>
        <w:t>students, who already experience higher attrition and limited postgraduate pathways”.</w:t>
      </w:r>
      <w:r w:rsidRPr="00CA585D">
        <w:t xml:space="preserve"> </w:t>
      </w:r>
    </w:p>
    <w:p w:rsidRPr="00CA585D" w:rsidR="00CA585D" w:rsidP="0077389C" w:rsidRDefault="00CA585D" w14:paraId="18291C7D" w14:textId="77777777">
      <w:pPr>
        <w:pStyle w:val="Heading4"/>
      </w:pPr>
      <w:r w:rsidRPr="00CA585D">
        <w:t>Equity and Inclusion</w:t>
      </w:r>
    </w:p>
    <w:p w:rsidRPr="00CA585D" w:rsidR="00CA585D" w:rsidP="00CA585D" w:rsidRDefault="00CA585D" w14:paraId="7C3694AA" w14:textId="70EEB64E">
      <w:r w:rsidRPr="00CA585D">
        <w:t>There were 11 submissions (</w:t>
      </w:r>
      <w:r w:rsidRPr="00CA585D" w:rsidR="00384D3D">
        <w:t xml:space="preserve">five </w:t>
      </w:r>
      <w:r w:rsidR="00384D3D">
        <w:t>s</w:t>
      </w:r>
      <w:r w:rsidRPr="00CA585D" w:rsidR="00384D3D">
        <w:t xml:space="preserve">tudent </w:t>
      </w:r>
      <w:r w:rsidR="00384D3D">
        <w:t>associations</w:t>
      </w:r>
      <w:r w:rsidRPr="00CA585D" w:rsidR="00384D3D">
        <w:t xml:space="preserve">, </w:t>
      </w:r>
      <w:r w:rsidR="00E45C29">
        <w:t>three</w:t>
      </w:r>
      <w:r w:rsidRPr="00CA585D">
        <w:t xml:space="preserve"> TEOs, </w:t>
      </w:r>
      <w:r w:rsidRPr="00CA585D" w:rsidR="00384D3D">
        <w:t xml:space="preserve">two </w:t>
      </w:r>
      <w:r w:rsidR="00384D3D">
        <w:t>r</w:t>
      </w:r>
      <w:r w:rsidRPr="00CA585D" w:rsidR="00384D3D">
        <w:t>esearch organisations</w:t>
      </w:r>
      <w:r w:rsidR="00384D3D">
        <w:t xml:space="preserve">, and </w:t>
      </w:r>
      <w:r w:rsidRPr="00CA585D">
        <w:t xml:space="preserve">one </w:t>
      </w:r>
      <w:r w:rsidR="000B0339">
        <w:t>i</w:t>
      </w:r>
      <w:r w:rsidRPr="00CA585D">
        <w:t>ndustry</w:t>
      </w:r>
      <w:r w:rsidR="00E45C29">
        <w:t xml:space="preserve"> submitter</w:t>
      </w:r>
      <w:r w:rsidR="00384D3D">
        <w:t>)</w:t>
      </w:r>
      <w:r w:rsidRPr="00CA585D">
        <w:t xml:space="preserve"> </w:t>
      </w:r>
      <w:r w:rsidR="008865B3">
        <w:t xml:space="preserve">that </w:t>
      </w:r>
      <w:r w:rsidR="002703BE">
        <w:t>suggest</w:t>
      </w:r>
      <w:r w:rsidR="00923B2C">
        <w:t>ed</w:t>
      </w:r>
      <w:r w:rsidRPr="00CA585D">
        <w:t xml:space="preserve"> a priority focused on equity and inclusion</w:t>
      </w:r>
      <w:r w:rsidR="00CB4750">
        <w:t xml:space="preserve">. </w:t>
      </w:r>
      <w:r w:rsidRPr="00CA585D">
        <w:t xml:space="preserve">It was suggested that this priority would build on the previous TES, centre the student voice, address issues of affordability </w:t>
      </w:r>
      <w:r w:rsidR="00F92458">
        <w:t xml:space="preserve">and </w:t>
      </w:r>
      <w:r w:rsidRPr="00CA585D" w:rsidR="00F92458">
        <w:t>student wellbeing</w:t>
      </w:r>
      <w:r w:rsidR="00F92458">
        <w:t>,</w:t>
      </w:r>
      <w:r w:rsidRPr="00CA585D" w:rsidR="00F92458">
        <w:t xml:space="preserve"> </w:t>
      </w:r>
      <w:r w:rsidRPr="00CA585D">
        <w:t xml:space="preserve">and </w:t>
      </w:r>
      <w:r w:rsidR="006B7C10">
        <w:t>initiatives to encourage</w:t>
      </w:r>
      <w:r w:rsidRPr="00CA585D">
        <w:t xml:space="preserve"> graduates </w:t>
      </w:r>
      <w:r w:rsidR="006B7C10">
        <w:t xml:space="preserve">to stay </w:t>
      </w:r>
      <w:r w:rsidRPr="00CA585D">
        <w:t>in New Zealand post study.</w:t>
      </w:r>
    </w:p>
    <w:p w:rsidRPr="00CA585D" w:rsidR="00CA585D" w:rsidP="00CA585D" w:rsidRDefault="00CA585D" w14:paraId="54F232DF" w14:textId="4EDE3CAE">
      <w:r w:rsidRPr="00CA585D">
        <w:t xml:space="preserve">These views are summed up well by </w:t>
      </w:r>
      <w:r w:rsidR="00CF7435">
        <w:t>a s</w:t>
      </w:r>
      <w:r w:rsidRPr="00CA585D">
        <w:t xml:space="preserve">tudent </w:t>
      </w:r>
      <w:r w:rsidR="00CF7435">
        <w:t>association</w:t>
      </w:r>
      <w:r w:rsidRPr="00CA585D">
        <w:t>:</w:t>
      </w:r>
    </w:p>
    <w:p w:rsidRPr="00CA585D" w:rsidR="00CA585D" w:rsidP="00A92546" w:rsidRDefault="00CA585D" w14:paraId="6A966B40" w14:textId="26476639">
      <w:pPr>
        <w:pStyle w:val="Quote"/>
      </w:pPr>
      <w:r w:rsidRPr="00CA585D">
        <w:t xml:space="preserve">We believe the priorities of the current TES draft do not necessarily reflect what learners are seeking from their education. We would like to see a greater emphasis on making sure institutions reduce barriers and create better experiences — prioritising the wellbeing, </w:t>
      </w:r>
      <w:proofErr w:type="spellStart"/>
      <w:r w:rsidRPr="00CA585D">
        <w:t>wairua</w:t>
      </w:r>
      <w:proofErr w:type="spellEnd"/>
      <w:r w:rsidRPr="00CA585D">
        <w:t>, and growth of learners.</w:t>
      </w:r>
    </w:p>
    <w:p w:rsidRPr="00CA585D" w:rsidR="00CA585D" w:rsidP="00CF7435" w:rsidRDefault="00CA585D" w14:paraId="279D7914" w14:textId="77777777">
      <w:pPr>
        <w:pStyle w:val="Heading4"/>
      </w:pPr>
      <w:r w:rsidRPr="00CA585D">
        <w:t>Sector and Workforce Alignment</w:t>
      </w:r>
    </w:p>
    <w:p w:rsidRPr="00CA585D" w:rsidR="00CA585D" w:rsidP="00CA585D" w:rsidRDefault="00CA585D" w14:paraId="5F3AAD49" w14:textId="23F5786D">
      <w:r w:rsidRPr="00CA585D">
        <w:t>Fifteen submitters (</w:t>
      </w:r>
      <w:r w:rsidRPr="00CA585D" w:rsidR="00504AC5">
        <w:t xml:space="preserve">nine </w:t>
      </w:r>
      <w:r w:rsidR="00504AC5">
        <w:t>i</w:t>
      </w:r>
      <w:r w:rsidRPr="00CA585D" w:rsidR="00504AC5">
        <w:t>ndustry</w:t>
      </w:r>
      <w:r w:rsidR="00504AC5">
        <w:t xml:space="preserve"> submitters,</w:t>
      </w:r>
      <w:r w:rsidRPr="00CA585D" w:rsidR="00504AC5">
        <w:t xml:space="preserve"> </w:t>
      </w:r>
      <w:r w:rsidRPr="00CA585D">
        <w:t>four TEOs,</w:t>
      </w:r>
      <w:r w:rsidR="00504AC5">
        <w:t xml:space="preserve"> and</w:t>
      </w:r>
      <w:r w:rsidRPr="00CA585D">
        <w:t xml:space="preserve"> </w:t>
      </w:r>
      <w:r w:rsidRPr="00CA585D" w:rsidR="00737325">
        <w:t xml:space="preserve">two </w:t>
      </w:r>
      <w:r w:rsidR="00737325">
        <w:t>educator groups</w:t>
      </w:r>
      <w:r w:rsidRPr="00CA585D">
        <w:t xml:space="preserve">) suggested that the priorities should include one focused on workforce alignment with industry. The industry submitters raised the role that tertiary education plays </w:t>
      </w:r>
      <w:r w:rsidR="00B97BB0">
        <w:t xml:space="preserve">in </w:t>
      </w:r>
      <w:r w:rsidRPr="00CA585D">
        <w:t>addressing workforce challenges now and into the future</w:t>
      </w:r>
      <w:r w:rsidR="00023D38">
        <w:t xml:space="preserve"> for their sector</w:t>
      </w:r>
      <w:r w:rsidRPr="00CA585D">
        <w:t xml:space="preserve">. Business New Zealand suggested that strengthening literacy and numeracy should be explicitly </w:t>
      </w:r>
      <w:r w:rsidRPr="00CA585D">
        <w:t xml:space="preserve">included as a priority in the TES noting the role it plays in meeting workforce needs. One </w:t>
      </w:r>
      <w:r w:rsidR="00881360">
        <w:t>i</w:t>
      </w:r>
      <w:r w:rsidRPr="00CA585D">
        <w:t xml:space="preserve">ndustry submitter said: </w:t>
      </w:r>
    </w:p>
    <w:p w:rsidRPr="00241C64" w:rsidR="00CA585D" w:rsidP="00A92546" w:rsidRDefault="00CA585D" w14:paraId="6916AC1F" w14:textId="36D5C7A6">
      <w:pPr>
        <w:pStyle w:val="Quote"/>
        <w:rPr>
          <w:i w:val="0"/>
          <w:iCs w:val="0"/>
        </w:rPr>
      </w:pPr>
      <w:r w:rsidRPr="00CA585D">
        <w:t xml:space="preserve">There is some work to be done around what it means to expect providers to deliver on embedding labour market relevance, strengthening connections with industry and tracking employment outcomes. </w:t>
      </w:r>
      <w:r w:rsidRPr="00241C64" w:rsidR="00241C64">
        <w:rPr>
          <w:i w:val="0"/>
          <w:iCs w:val="0"/>
        </w:rPr>
        <w:t>(Employers and Manufacturers Association)</w:t>
      </w:r>
    </w:p>
    <w:p w:rsidRPr="00CA585D" w:rsidR="00CA585D" w:rsidP="00CA585D" w:rsidRDefault="00CA585D" w14:paraId="25D622F7" w14:textId="52FF57B8">
      <w:r w:rsidRPr="00CA585D">
        <w:t xml:space="preserve">Other submitters raised the absence of a priority that ensures </w:t>
      </w:r>
      <w:r w:rsidR="00023D38">
        <w:t xml:space="preserve">the </w:t>
      </w:r>
      <w:r w:rsidRPr="00CA585D">
        <w:t xml:space="preserve">tertiary educator workforce </w:t>
      </w:r>
      <w:r w:rsidR="00CF7A1D">
        <w:t>is available</w:t>
      </w:r>
      <w:r w:rsidRPr="00CA585D">
        <w:t xml:space="preserve"> to deliver the TES</w:t>
      </w:r>
      <w:r w:rsidR="00716C64">
        <w:t>.</w:t>
      </w:r>
      <w:r w:rsidR="00DD0D0F">
        <w:t xml:space="preserve"> </w:t>
      </w:r>
      <w:r w:rsidR="00E070F3">
        <w:t xml:space="preserve">A </w:t>
      </w:r>
      <w:r w:rsidRPr="00CA585D">
        <w:t>TEO submitter suggested there needed to be better:</w:t>
      </w:r>
    </w:p>
    <w:p w:rsidRPr="0013106B" w:rsidR="00CA585D" w:rsidP="00A92546" w:rsidRDefault="00CA585D" w14:paraId="23082151" w14:textId="1B9F19B3">
      <w:pPr>
        <w:pStyle w:val="Quote"/>
        <w:rPr>
          <w:i w:val="0"/>
          <w:iCs w:val="0"/>
        </w:rPr>
      </w:pPr>
      <w:r w:rsidRPr="00CA585D">
        <w:t>…market intelligence and demand forecasting, with access to robust, real-time data on skills demand guiding investment decisions.</w:t>
      </w:r>
      <w:r w:rsidR="0013106B">
        <w:t xml:space="preserve"> </w:t>
      </w:r>
      <w:r w:rsidR="0013106B">
        <w:rPr>
          <w:i w:val="0"/>
          <w:iCs w:val="0"/>
        </w:rPr>
        <w:t>(NMIT)</w:t>
      </w:r>
    </w:p>
    <w:p w:rsidRPr="00CA585D" w:rsidR="00CA585D" w:rsidP="00CF7A1D" w:rsidRDefault="00CA585D" w14:paraId="09F2F420" w14:textId="77777777">
      <w:pPr>
        <w:pStyle w:val="Heading4"/>
      </w:pPr>
      <w:r w:rsidRPr="00CA585D">
        <w:t>Climate, Digital and Global Challenges</w:t>
      </w:r>
    </w:p>
    <w:p w:rsidRPr="00CA585D" w:rsidR="00CA585D" w:rsidP="00CA585D" w:rsidRDefault="00CA585D" w14:paraId="488C1EFB" w14:textId="10D4C94C">
      <w:r w:rsidRPr="00CA585D">
        <w:t>Eight submitters (</w:t>
      </w:r>
      <w:r w:rsidR="00E070F3">
        <w:t>six</w:t>
      </w:r>
      <w:r w:rsidRPr="00CA585D">
        <w:t xml:space="preserve"> TEOs and two </w:t>
      </w:r>
      <w:r w:rsidR="004749AA">
        <w:t>educator/student</w:t>
      </w:r>
      <w:r w:rsidRPr="00CA585D">
        <w:t xml:space="preserve"> submitters) recommended the inclusion of a priority focused on addressing challenges for the future including climate, digital and global risks. This feedback related directly to the drivers for change identified in this section of the draft TES</w:t>
      </w:r>
      <w:r w:rsidR="00F333B4">
        <w:t>:</w:t>
      </w:r>
    </w:p>
    <w:p w:rsidRPr="005F26A4" w:rsidR="00CA585D" w:rsidP="00A92546" w:rsidRDefault="00CA585D" w14:paraId="428D553B" w14:textId="5F68205E">
      <w:pPr>
        <w:pStyle w:val="Quote"/>
        <w:rPr>
          <w:i w:val="0"/>
          <w:iCs w:val="0"/>
        </w:rPr>
      </w:pPr>
      <w:r w:rsidRPr="00CA585D">
        <w:t>It is concerning that global challenges (such as the climate crisis, AI adoption, biosecurity etc) appear only in [integration and collaboration]. These should be embedded across the Strategy priorities so that education efforts and associated metrics are aligned to the same set of challenges.</w:t>
      </w:r>
      <w:r w:rsidR="005F26A4">
        <w:t xml:space="preserve"> </w:t>
      </w:r>
      <w:r w:rsidRPr="005F26A4" w:rsidR="005F26A4">
        <w:rPr>
          <w:i w:val="0"/>
          <w:iCs w:val="0"/>
        </w:rPr>
        <w:t>(U</w:t>
      </w:r>
      <w:r w:rsidR="005F26A4">
        <w:rPr>
          <w:i w:val="0"/>
          <w:iCs w:val="0"/>
        </w:rPr>
        <w:t>niversity of Auckland)</w:t>
      </w:r>
    </w:p>
    <w:p w:rsidRPr="00CA585D" w:rsidR="00CA585D" w:rsidP="006C539D" w:rsidRDefault="00CA585D" w14:paraId="430B8E4D" w14:textId="77777777">
      <w:pPr>
        <w:pStyle w:val="Heading4"/>
      </w:pPr>
      <w:r w:rsidRPr="00CA585D">
        <w:t xml:space="preserve">System Performance </w:t>
      </w:r>
    </w:p>
    <w:p w:rsidRPr="00CA585D" w:rsidR="00CA585D" w:rsidP="00CA585D" w:rsidRDefault="00CA585D" w14:paraId="2D5EFFF5" w14:textId="63107060">
      <w:r w:rsidRPr="00CA585D">
        <w:t>Five submitters (</w:t>
      </w:r>
      <w:r w:rsidR="00E070F3">
        <w:t>four</w:t>
      </w:r>
      <w:r w:rsidRPr="00CA585D">
        <w:t xml:space="preserve"> TEOs and one </w:t>
      </w:r>
      <w:r w:rsidR="00300CD7">
        <w:t>i</w:t>
      </w:r>
      <w:r w:rsidRPr="00CA585D">
        <w:t xml:space="preserve">ndustry </w:t>
      </w:r>
      <w:r w:rsidR="00385B62">
        <w:t>submitter</w:t>
      </w:r>
      <w:r w:rsidRPr="00CA585D">
        <w:t xml:space="preserve">) raised the absence of a priority focused on ensuring the tertiary education sector is operating as needed to support the implementation of the TES. These submissions </w:t>
      </w:r>
      <w:r w:rsidR="004E00CC">
        <w:t>referred to</w:t>
      </w:r>
      <w:r w:rsidRPr="00CA585D">
        <w:t xml:space="preserve"> financial sustainability of TEOs, the quality of tertiary education provision, </w:t>
      </w:r>
      <w:r w:rsidR="00600B64">
        <w:t xml:space="preserve">and </w:t>
      </w:r>
      <w:r w:rsidRPr="00CA585D">
        <w:t xml:space="preserve">strength of governance of organisations. </w:t>
      </w:r>
    </w:p>
    <w:p w:rsidRPr="00AD2A5D" w:rsidR="00CA585D" w:rsidP="00DC4C2D" w:rsidRDefault="00CA585D" w14:paraId="308E27A2" w14:textId="034B8C9A">
      <w:pPr>
        <w:pStyle w:val="Quote"/>
        <w:rPr>
          <w:i w:val="0"/>
          <w:iCs w:val="0"/>
        </w:rPr>
      </w:pPr>
      <w:r w:rsidRPr="00CA585D">
        <w:t>Although collaboration is covered as a separate priority, elements such as longer-term financial sustainability, lifting governance and management capability, and nationwide academic and education professional workforce development could sit under this priority. These elements are key to driving the other priorities and setting the system up for longer-term success, particularly as emphases and funding arrangements change through political and economic cycles.</w:t>
      </w:r>
      <w:r w:rsidR="00AD2A5D">
        <w:t xml:space="preserve"> </w:t>
      </w:r>
      <w:r w:rsidR="00AD2A5D">
        <w:rPr>
          <w:i w:val="0"/>
          <w:iCs w:val="0"/>
        </w:rPr>
        <w:t>(University of Canterbury)</w:t>
      </w:r>
    </w:p>
    <w:p w:rsidRPr="00CA585D" w:rsidR="00CA585D" w:rsidP="00427515" w:rsidRDefault="00CA585D" w14:paraId="58932C38" w14:textId="77777777">
      <w:pPr>
        <w:pStyle w:val="Heading4"/>
      </w:pPr>
      <w:r w:rsidRPr="00CA585D">
        <w:t>Other suggestions</w:t>
      </w:r>
    </w:p>
    <w:p w:rsidRPr="00CA585D" w:rsidR="00CA585D" w:rsidP="00CA585D" w:rsidRDefault="00CA585D" w14:paraId="21144D4B" w14:textId="5D9DAB69">
      <w:r w:rsidRPr="00CA585D">
        <w:t xml:space="preserve">Other suggestions included a priority that would strengthen </w:t>
      </w:r>
      <w:r w:rsidR="00D4039B">
        <w:t xml:space="preserve">the </w:t>
      </w:r>
      <w:r w:rsidRPr="00CA585D">
        <w:t>‘social licen</w:t>
      </w:r>
      <w:r w:rsidR="008A3D95">
        <w:t>c</w:t>
      </w:r>
      <w:r w:rsidRPr="00CA585D">
        <w:t xml:space="preserve">e’ or ‘social responsibility’ of employers, the role of research in tertiary education beyond commercialisation, the importance of place-based/ regional provision, and the benefits of cultural and creative innovation to tertiary education.  </w:t>
      </w:r>
    </w:p>
    <w:p w:rsidR="004E7CA8" w:rsidRDefault="004E7CA8" w14:paraId="4C34F419" w14:textId="009D5B2B">
      <w:r>
        <w:br w:type="page"/>
      </w:r>
    </w:p>
    <w:p w:rsidRPr="004E7CA8" w:rsidR="004E7CA8" w:rsidP="004E7CA8" w:rsidRDefault="004E7CA8" w14:paraId="713DBFAF" w14:textId="1223D2CD">
      <w:pPr>
        <w:pStyle w:val="Heading1"/>
      </w:pPr>
      <w:bookmarkStart w:name="_Toc211314471" w:id="16"/>
      <w:bookmarkStart w:name="_Toc211348941" w:id="17"/>
      <w:r w:rsidRPr="004E7CA8">
        <w:t>Feedback on the TES Priorities</w:t>
      </w:r>
      <w:bookmarkEnd w:id="16"/>
      <w:bookmarkEnd w:id="17"/>
      <w:r w:rsidRPr="004E7CA8">
        <w:t xml:space="preserve"> </w:t>
      </w:r>
    </w:p>
    <w:p w:rsidRPr="004E7CA8" w:rsidR="004E7CA8" w:rsidP="004E7CA8" w:rsidRDefault="004E7CA8" w14:paraId="68EF9D99" w14:textId="61F20D75">
      <w:r w:rsidRPr="004E7CA8">
        <w:t>In response to the Government</w:t>
      </w:r>
      <w:r w:rsidR="00D4039B">
        <w:t>’</w:t>
      </w:r>
      <w:r w:rsidRPr="004E7CA8">
        <w:t xml:space="preserve">s current and medium-term priorities for the tertiary education system, the </w:t>
      </w:r>
      <w:r w:rsidR="004E0931">
        <w:t>TES</w:t>
      </w:r>
      <w:r w:rsidRPr="004E7CA8" w:rsidR="004E0931">
        <w:t xml:space="preserve"> </w:t>
      </w:r>
      <w:r w:rsidRPr="004E7CA8">
        <w:t>sets out the five key areas for improvement. These priorities will enable effort and investment across the system, along with ensuring the system continues to deliver on its broad social, cultural and economic objectives.</w:t>
      </w:r>
    </w:p>
    <w:p w:rsidRPr="004E7CA8" w:rsidR="004E7CA8" w:rsidP="004E7CA8" w:rsidRDefault="004E7CA8" w14:paraId="4B7DEEB1" w14:textId="338F0F2D">
      <w:pPr>
        <w:rPr>
          <w:b/>
        </w:rPr>
      </w:pPr>
      <w:r w:rsidRPr="004E7CA8">
        <w:rPr>
          <w:bCs/>
        </w:rPr>
        <w:t>S</w:t>
      </w:r>
      <w:r w:rsidRPr="004E7CA8">
        <w:t xml:space="preserve">ubmitters were asked to indicate both the extent to which they agreed each priority should feature in the TES and how effective the proposed changes and activities would be in achieving it. Where submissions clearly indicated support, through survey responses, template feedback, or the wording of their submission, we </w:t>
      </w:r>
      <w:r w:rsidR="00682C41">
        <w:t xml:space="preserve">have </w:t>
      </w:r>
      <w:r w:rsidRPr="004E7CA8">
        <w:t xml:space="preserve">included this in </w:t>
      </w:r>
      <w:r w:rsidR="00560FB8">
        <w:t>the</w:t>
      </w:r>
      <w:r w:rsidRPr="004E7CA8">
        <w:t xml:space="preserve"> analysis.</w:t>
      </w:r>
    </w:p>
    <w:p w:rsidRPr="004E7CA8" w:rsidR="004E7CA8" w:rsidP="006933C1" w:rsidRDefault="004E7CA8" w14:paraId="393ADCA9" w14:textId="77777777">
      <w:pPr>
        <w:pStyle w:val="Heading2"/>
      </w:pPr>
      <w:bookmarkStart w:name="_Toc211314472" w:id="18"/>
      <w:bookmarkStart w:name="_Toc211348942" w:id="19"/>
      <w:r w:rsidRPr="004E7CA8">
        <w:t>Achievement</w:t>
      </w:r>
      <w:bookmarkEnd w:id="18"/>
      <w:bookmarkEnd w:id="19"/>
    </w:p>
    <w:p w:rsidRPr="004E7CA8" w:rsidR="004E7CA8" w:rsidP="004E7CA8" w:rsidRDefault="004E7CA8" w14:paraId="22300980" w14:textId="77777777">
      <w:r w:rsidRPr="004E7CA8">
        <w:t>Submitters were asked the following questions:</w:t>
      </w:r>
    </w:p>
    <w:p w:rsidRPr="004E7CA8" w:rsidR="004E7CA8" w:rsidP="0000645D" w:rsidRDefault="004E7CA8" w14:paraId="27E93FA1" w14:textId="77777777">
      <w:pPr>
        <w:numPr>
          <w:ilvl w:val="0"/>
          <w:numId w:val="11"/>
        </w:numPr>
        <w:rPr>
          <w:i/>
        </w:rPr>
      </w:pPr>
      <w:r w:rsidRPr="004E7CA8">
        <w:rPr>
          <w:i/>
        </w:rPr>
        <w:t>To what extent do you agree that Achievement should be a priority in the TES?</w:t>
      </w:r>
    </w:p>
    <w:p w:rsidRPr="004E7CA8" w:rsidR="004E7CA8" w:rsidP="0000645D" w:rsidRDefault="004E7CA8" w14:paraId="3A3ACBF2" w14:textId="77777777">
      <w:pPr>
        <w:numPr>
          <w:ilvl w:val="0"/>
          <w:numId w:val="11"/>
        </w:numPr>
        <w:rPr>
          <w:i/>
        </w:rPr>
      </w:pPr>
      <w:r w:rsidRPr="004E7CA8">
        <w:rPr>
          <w:i/>
        </w:rPr>
        <w:t xml:space="preserve">To what extent will the expected changes and contributing activities effectively achieve the priority? </w:t>
      </w:r>
    </w:p>
    <w:p w:rsidR="004E7CA8" w:rsidP="0000645D" w:rsidRDefault="004E7CA8" w14:paraId="7CAECF30" w14:textId="0D624035">
      <w:pPr>
        <w:numPr>
          <w:ilvl w:val="0"/>
          <w:numId w:val="11"/>
        </w:numPr>
        <w:rPr>
          <w:i/>
        </w:rPr>
      </w:pPr>
      <w:r w:rsidRPr="004E7CA8">
        <w:rPr>
          <w:i/>
        </w:rPr>
        <w:t>Do you have suggestions for additional activities to support this priority?</w:t>
      </w:r>
    </w:p>
    <w:p w:rsidRPr="004E7CA8" w:rsidR="002A7402" w:rsidP="006933C1" w:rsidRDefault="002A7402" w14:paraId="0FE6DB72" w14:textId="267D5438">
      <w:pPr>
        <w:pStyle w:val="Heading3"/>
      </w:pPr>
      <w:bookmarkStart w:name="_Toc211314473" w:id="20"/>
      <w:r w:rsidRPr="00520095">
        <w:t>To what extent do you agree that Achievement should be a priority in the TES?</w:t>
      </w:r>
      <w:bookmarkEnd w:id="20"/>
    </w:p>
    <w:p w:rsidR="00112CD6" w:rsidP="00112CD6" w:rsidRDefault="00112CD6" w14:paraId="18825313" w14:textId="6CA01A75">
      <w:pPr>
        <w:pStyle w:val="Caption"/>
        <w:keepNext/>
      </w:pPr>
      <w:bookmarkStart w:name="_Ref210918975" w:id="21"/>
      <w:r>
        <w:t xml:space="preserve">Figure </w:t>
      </w:r>
      <w:r>
        <w:fldChar w:fldCharType="begin"/>
      </w:r>
      <w:r>
        <w:instrText>SEQ Figure \* ARABIC</w:instrText>
      </w:r>
      <w:r>
        <w:fldChar w:fldCharType="separate"/>
      </w:r>
      <w:r w:rsidR="00ED2C25">
        <w:rPr>
          <w:noProof/>
        </w:rPr>
        <w:t>2</w:t>
      </w:r>
      <w:r>
        <w:fldChar w:fldCharType="end"/>
      </w:r>
      <w:bookmarkEnd w:id="21"/>
      <w:r>
        <w:t xml:space="preserve">: </w:t>
      </w:r>
      <w:r w:rsidR="00094111">
        <w:t xml:space="preserve">Support for </w:t>
      </w:r>
      <w:r w:rsidRPr="00520095">
        <w:t>Achievement</w:t>
      </w:r>
      <w:r w:rsidR="006933C1">
        <w:t xml:space="preserve"> </w:t>
      </w:r>
      <w:r w:rsidR="00094111">
        <w:t>as</w:t>
      </w:r>
      <w:r w:rsidRPr="00520095">
        <w:t xml:space="preserve"> a</w:t>
      </w:r>
      <w:r w:rsidR="00094111">
        <w:t xml:space="preserve"> TES</w:t>
      </w:r>
      <w:r w:rsidRPr="00520095">
        <w:t xml:space="preserve"> priority</w:t>
      </w:r>
    </w:p>
    <w:p w:rsidR="001515CA" w:rsidP="00E363C6" w:rsidRDefault="00D5184C" w14:paraId="2FBF305A" w14:textId="4C98D514">
      <w:r>
        <w:rPr>
          <w:noProof/>
        </w:rPr>
        <w:drawing>
          <wp:inline distT="0" distB="0" distL="0" distR="0" wp14:anchorId="1E333670" wp14:editId="427C4C81">
            <wp:extent cx="5940000" cy="2700000"/>
            <wp:effectExtent l="0" t="0" r="3810" b="5715"/>
            <wp:docPr id="1649848138" name="Chart 1">
              <a:extLst xmlns:a="http://schemas.openxmlformats.org/drawingml/2006/main">
                <a:ext uri="{FF2B5EF4-FFF2-40B4-BE49-F238E27FC236}">
                  <a16:creationId xmlns:a16="http://schemas.microsoft.com/office/drawing/2014/main" id="{34281914-8467-948C-EC1B-9F78DB801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A0EC2" w:rsidP="007A0EC2" w:rsidRDefault="007A0EC2" w14:paraId="57D847F1" w14:textId="6E22316E">
      <w:r w:rsidRPr="007A0EC2">
        <w:t>As shown above in</w:t>
      </w:r>
      <w:r>
        <w:t xml:space="preserve"> </w:t>
      </w:r>
      <w:r>
        <w:fldChar w:fldCharType="begin"/>
      </w:r>
      <w:r>
        <w:instrText xml:space="preserve"> REF _Ref210918975 \h </w:instrText>
      </w:r>
      <w:r>
        <w:fldChar w:fldCharType="separate"/>
      </w:r>
      <w:r w:rsidR="00ED2C25">
        <w:t xml:space="preserve">Figure </w:t>
      </w:r>
      <w:r w:rsidR="00ED2C25">
        <w:rPr>
          <w:noProof/>
        </w:rPr>
        <w:t>2</w:t>
      </w:r>
      <w:r>
        <w:fldChar w:fldCharType="end"/>
      </w:r>
      <w:r w:rsidRPr="007A0EC2">
        <w:t xml:space="preserve">, there was a high level of support from submitters for Achievement as a priority for tertiary education. Thirty-nine submitters strongly agreed that Achievement should be a priority for the TES, and a further 21 agreed with its </w:t>
      </w:r>
      <w:r w:rsidRPr="007A0EC2">
        <w:t>inclusion. Support was particularly strong amongst TEO submitters.</w:t>
      </w:r>
      <w:r w:rsidR="00F06E68">
        <w:t xml:space="preserve"> No submitters indicated that Achievement should not be a priority. </w:t>
      </w:r>
    </w:p>
    <w:p w:rsidRPr="007A0EC2" w:rsidR="003F2837" w:rsidP="003F2837" w:rsidRDefault="003F2837" w14:paraId="6997CCF0" w14:textId="26CEEE30">
      <w:r w:rsidRPr="007A0EC2">
        <w:t>Thirty comments were received providing general support for the Achievement priority, stating that it is a central to the strategy. Overall submitters noted that there is a need to broaden the current definition of success from only completion rates to include smaller measures, for example, micro</w:t>
      </w:r>
      <w:r w:rsidR="00AF563D">
        <w:t>-</w:t>
      </w:r>
      <w:r w:rsidRPr="007A0EC2">
        <w:t xml:space="preserve">credentials and </w:t>
      </w:r>
      <w:r w:rsidR="00D557CE">
        <w:t xml:space="preserve">to </w:t>
      </w:r>
      <w:r w:rsidRPr="007A0EC2">
        <w:t xml:space="preserve">ensure there is alignment between the system and education pathways. </w:t>
      </w:r>
    </w:p>
    <w:p w:rsidRPr="007A0EC2" w:rsidR="007A0EC2" w:rsidP="007A0EC2" w:rsidRDefault="007A0EC2" w14:paraId="1F4CCF94" w14:textId="77777777">
      <w:r w:rsidRPr="007A0EC2">
        <w:t>Of the 68 submissions received, 53 submitters made comments relating to the Achievement priority. Seven submitters suggested alternative wording to the priority.</w:t>
      </w:r>
    </w:p>
    <w:p w:rsidRPr="007A0EC2" w:rsidR="007A0EC2" w:rsidP="007A0EC2" w:rsidRDefault="007A0EC2" w14:paraId="60C4313D" w14:textId="6B9462B4">
      <w:r w:rsidRPr="007A0EC2">
        <w:t>Four suggestions for rewording included defining achievement more broadly to include more than qualification completion, for example, completion rates, skills acquisition and application, employment readiness and outcomes and distance travelled. Two submissions commented that the definition should include civic and societal impact, cultural awareness and intellectual development. One submitter provided alternative wording for the priority:</w:t>
      </w:r>
    </w:p>
    <w:p w:rsidRPr="007A0EC2" w:rsidR="007A0EC2" w:rsidP="007A0EC2" w:rsidRDefault="007A0EC2" w14:paraId="61A1CE25" w14:textId="77777777">
      <w:pPr>
        <w:pStyle w:val="Quote"/>
      </w:pPr>
      <w:r w:rsidRPr="007A0EC2">
        <w:t xml:space="preserve">Ensure all students, trainees and </w:t>
      </w:r>
      <w:r w:rsidRPr="007A0EC2">
        <w:rPr>
          <w:b/>
        </w:rPr>
        <w:t>other tertiary learners</w:t>
      </w:r>
      <w:r w:rsidRPr="007A0EC2">
        <w:t xml:space="preserve"> achieve qualifications </w:t>
      </w:r>
      <w:r w:rsidRPr="007A0EC2">
        <w:rPr>
          <w:b/>
        </w:rPr>
        <w:t>or educational outcomes that enable them to progress</w:t>
      </w:r>
      <w:r w:rsidRPr="007A0EC2">
        <w:t xml:space="preserve"> to good careers and economic security, with a focus on strong pathways between school, tertiary education, and work. </w:t>
      </w:r>
      <w:r w:rsidRPr="003F2837">
        <w:rPr>
          <w:i w:val="0"/>
          <w:iCs w:val="0"/>
        </w:rPr>
        <w:t>(Ace Aotearoa)</w:t>
      </w:r>
    </w:p>
    <w:p w:rsidRPr="00467411" w:rsidR="00012CE1" w:rsidP="00012CE1" w:rsidRDefault="00012CE1" w14:paraId="022B8C12" w14:textId="77777777">
      <w:pPr>
        <w:pStyle w:val="Heading4"/>
      </w:pPr>
      <w:r>
        <w:t xml:space="preserve">Tertiary Education Organisations and their </w:t>
      </w:r>
      <w:r w:rsidRPr="00012CE1">
        <w:t>representative bodies</w:t>
      </w:r>
    </w:p>
    <w:p w:rsidRPr="00CD6CD1" w:rsidR="00CD6CD1" w:rsidP="00CD6CD1" w:rsidRDefault="00C8117F" w14:paraId="4EF0F546" w14:textId="3668D5FA">
      <w:r>
        <w:t>Twenty-three TEO submitters (e</w:t>
      </w:r>
      <w:r w:rsidRPr="00CD6CD1" w:rsidR="00CD6CD1">
        <w:t>ight universities</w:t>
      </w:r>
      <w:r>
        <w:t xml:space="preserve">, </w:t>
      </w:r>
      <w:r w:rsidRPr="007E65C1">
        <w:t xml:space="preserve">eight </w:t>
      </w:r>
      <w:proofErr w:type="spellStart"/>
      <w:r w:rsidRPr="007E65C1">
        <w:t>Te</w:t>
      </w:r>
      <w:proofErr w:type="spellEnd"/>
      <w:r w:rsidRPr="007E65C1">
        <w:t xml:space="preserve"> </w:t>
      </w:r>
      <w:proofErr w:type="spellStart"/>
      <w:r w:rsidRPr="007E65C1">
        <w:t>Pūkenga</w:t>
      </w:r>
      <w:proofErr w:type="spellEnd"/>
      <w:r w:rsidRPr="007E65C1">
        <w:t xml:space="preserve"> divisions, three PTEs, three </w:t>
      </w:r>
      <w:r>
        <w:t xml:space="preserve">tertiary sector entities </w:t>
      </w:r>
      <w:r w:rsidRPr="007E65C1">
        <w:t xml:space="preserve">and one </w:t>
      </w:r>
      <w:r>
        <w:t>w</w:t>
      </w:r>
      <w:r w:rsidRPr="007E65C1">
        <w:t>ānanga</w:t>
      </w:r>
      <w:r>
        <w:t>)</w:t>
      </w:r>
      <w:r w:rsidRPr="00CD6CD1" w:rsidR="00CD6CD1">
        <w:t xml:space="preserve"> provided comments on this question with two stating that student achievement should remain a central priority and many of the priorities are already reflected in their own strategic priorities. There was support </w:t>
      </w:r>
      <w:r w:rsidR="005E4798">
        <w:t>for</w:t>
      </w:r>
      <w:r w:rsidRPr="00CD6CD1" w:rsidR="00CD6CD1">
        <w:t xml:space="preserve"> the priority including value added by tertiary education and the ‘distance travelled’ outcome measure</w:t>
      </w:r>
      <w:r w:rsidR="00BB0004">
        <w:t>.</w:t>
      </w:r>
      <w:r w:rsidRPr="00CD6CD1" w:rsidR="00CD6CD1">
        <w:t xml:space="preserve"> </w:t>
      </w:r>
    </w:p>
    <w:p w:rsidRPr="00CD6CD1" w:rsidR="00CD6CD1" w:rsidP="00CD6CD1" w:rsidRDefault="00CD6CD1" w14:paraId="0CFE5CB1" w14:textId="4D29AD82">
      <w:pPr>
        <w:pStyle w:val="Quote"/>
      </w:pPr>
      <w:r w:rsidRPr="00CD6CD1">
        <w:t xml:space="preserve">…supportive of the development of a ‘distance travelled’ outcome measure, this needs to be an agreed measure that is equally applicable across all parts of the sector and </w:t>
      </w:r>
      <w:proofErr w:type="gramStart"/>
      <w:r w:rsidRPr="00CD6CD1">
        <w:t>takes into account</w:t>
      </w:r>
      <w:proofErr w:type="gramEnd"/>
      <w:r w:rsidRPr="00CD6CD1">
        <w:t xml:space="preserve"> the different backgrounds of students.</w:t>
      </w:r>
      <w:r w:rsidR="005E4798">
        <w:t xml:space="preserve"> </w:t>
      </w:r>
      <w:r w:rsidRPr="005E4798" w:rsidR="005E4798">
        <w:rPr>
          <w:i w:val="0"/>
          <w:iCs w:val="0"/>
        </w:rPr>
        <w:t>(University of Waikato)</w:t>
      </w:r>
    </w:p>
    <w:p w:rsidRPr="00CD6CD1" w:rsidR="00CD6CD1" w:rsidP="00CD6CD1" w:rsidRDefault="00CD6CD1" w14:paraId="1536B91C" w14:textId="16F3A538">
      <w:r w:rsidRPr="00CD6CD1">
        <w:t>It was also noted by one university that there is a recognised need for stronger alignment between tertiary provision and employer needs</w:t>
      </w:r>
      <w:r w:rsidR="00C21A9C">
        <w:t>,</w:t>
      </w:r>
      <w:r w:rsidRPr="00CD6CD1">
        <w:t xml:space="preserve"> and that the strategy needs to be flexible to allow for all learners</w:t>
      </w:r>
      <w:r w:rsidR="002A2221">
        <w:t>.</w:t>
      </w:r>
    </w:p>
    <w:p w:rsidRPr="00CD6CD1" w:rsidR="00CD6CD1" w:rsidP="00CD6CD1" w:rsidRDefault="00CD6CD1" w14:paraId="6F683399" w14:textId="10594E9E">
      <w:pPr>
        <w:pStyle w:val="Quote"/>
      </w:pPr>
      <w:r w:rsidRPr="00CD6CD1">
        <w:t>…stronger alignment between tertiary provision and employer needs, especially for accredited programmes. The Strategy should preserve flexibility and exploration for learners - especially school leavers who routinely refine or change pathways as they mature and encounter new disciplines.</w:t>
      </w:r>
      <w:r w:rsidR="005E4798">
        <w:t xml:space="preserve"> </w:t>
      </w:r>
      <w:r w:rsidRPr="005E4798" w:rsidR="005E4798">
        <w:rPr>
          <w:i w:val="0"/>
          <w:iCs w:val="0"/>
        </w:rPr>
        <w:t>(University of Auckland)</w:t>
      </w:r>
    </w:p>
    <w:p w:rsidRPr="007E65C1" w:rsidR="007E65C1" w:rsidP="007E65C1" w:rsidRDefault="00871B88" w14:paraId="1E8E4B3E" w14:textId="152BC93A">
      <w:r>
        <w:t xml:space="preserve">A wānanga </w:t>
      </w:r>
      <w:r w:rsidR="00B8380C">
        <w:t>submitter suggested</w:t>
      </w:r>
      <w:r w:rsidRPr="007E65C1" w:rsidR="007E65C1">
        <w:t xml:space="preserve"> it should be broadened to include other measures for success</w:t>
      </w:r>
      <w:r w:rsidR="00336CB2">
        <w:t>:</w:t>
      </w:r>
      <w:r w:rsidRPr="007E65C1" w:rsidR="007E65C1">
        <w:t xml:space="preserve"> </w:t>
      </w:r>
    </w:p>
    <w:p w:rsidRPr="007E65C1" w:rsidR="007E65C1" w:rsidP="00C65470" w:rsidRDefault="007E65C1" w14:paraId="53E93F2C" w14:textId="77777777">
      <w:pPr>
        <w:pStyle w:val="Quote"/>
        <w:spacing w:line="240" w:lineRule="auto"/>
        <w:ind w:left="862" w:right="862"/>
        <w:contextualSpacing/>
      </w:pPr>
      <w:r w:rsidRPr="007E65C1">
        <w:t xml:space="preserve">Achievement must be defined more broadly than qualification completions. For many of our </w:t>
      </w:r>
      <w:proofErr w:type="spellStart"/>
      <w:r w:rsidRPr="007E65C1">
        <w:t>tauira</w:t>
      </w:r>
      <w:proofErr w:type="spellEnd"/>
      <w:r w:rsidRPr="007E65C1">
        <w:t>, success includes</w:t>
      </w:r>
      <w:r w:rsidR="00B8380C">
        <w:t>:</w:t>
      </w:r>
    </w:p>
    <w:p w:rsidRPr="007E65C1" w:rsidR="007E65C1" w:rsidP="00C65470" w:rsidRDefault="007E65C1" w14:paraId="362956EC" w14:textId="77777777">
      <w:pPr>
        <w:pStyle w:val="Quote"/>
        <w:spacing w:line="240" w:lineRule="auto"/>
        <w:ind w:left="862" w:right="862"/>
        <w:contextualSpacing/>
      </w:pPr>
      <w:r w:rsidRPr="007E65C1">
        <w:t>• Building confidence and identity.</w:t>
      </w:r>
    </w:p>
    <w:p w:rsidRPr="007E65C1" w:rsidR="007E65C1" w:rsidP="00C65470" w:rsidRDefault="007E65C1" w14:paraId="6AF870B3" w14:textId="77777777">
      <w:pPr>
        <w:pStyle w:val="Quote"/>
        <w:spacing w:line="240" w:lineRule="auto"/>
        <w:ind w:left="862" w:right="862"/>
        <w:contextualSpacing/>
      </w:pPr>
      <w:r w:rsidRPr="007E65C1">
        <w:t xml:space="preserve">• Learning </w:t>
      </w:r>
      <w:proofErr w:type="spellStart"/>
      <w:r w:rsidRPr="007E65C1">
        <w:t>te</w:t>
      </w:r>
      <w:proofErr w:type="spellEnd"/>
      <w:r w:rsidRPr="007E65C1">
        <w:t xml:space="preserve"> </w:t>
      </w:r>
      <w:proofErr w:type="spellStart"/>
      <w:r w:rsidRPr="007E65C1">
        <w:t>reo</w:t>
      </w:r>
      <w:proofErr w:type="spellEnd"/>
      <w:r w:rsidRPr="007E65C1">
        <w:t xml:space="preserve"> and tikanga.</w:t>
      </w:r>
    </w:p>
    <w:p w:rsidRPr="007E65C1" w:rsidR="007E65C1" w:rsidP="00C65470" w:rsidRDefault="007E65C1" w14:paraId="5808827B" w14:textId="307F9400">
      <w:pPr>
        <w:pStyle w:val="Quote"/>
        <w:spacing w:line="240" w:lineRule="auto"/>
        <w:ind w:left="862" w:right="862"/>
        <w:contextualSpacing/>
      </w:pPr>
      <w:r w:rsidRPr="007E65C1">
        <w:t>• Entry to higher-level study or employment aligned with iwi and regional economies.</w:t>
      </w:r>
      <w:r w:rsidR="00B8380C">
        <w:t xml:space="preserve"> </w:t>
      </w:r>
      <w:r w:rsidRPr="00B8380C" w:rsidR="00B8380C">
        <w:rPr>
          <w:i w:val="0"/>
          <w:iCs w:val="0"/>
        </w:rPr>
        <w:t>(Te Wānanga o Aotearoa)</w:t>
      </w:r>
    </w:p>
    <w:p w:rsidRPr="007E65C1" w:rsidR="007E65C1" w:rsidP="007E65C1" w:rsidRDefault="007E65C1" w14:paraId="59828179" w14:textId="729974B4">
      <w:r w:rsidRPr="007E65C1">
        <w:t>Two submitters stated that it is essential to raising educational attainment and relevance</w:t>
      </w:r>
      <w:r w:rsidR="00FA2ED9">
        <w:t>,</w:t>
      </w:r>
      <w:r w:rsidRPr="007E65C1">
        <w:t xml:space="preserve"> and that </w:t>
      </w:r>
      <w:r w:rsidR="00423526">
        <w:t>q</w:t>
      </w:r>
      <w:r w:rsidRPr="007E65C1">
        <w:t>ualification completion is likely to remain a base metric for learner and provider success.</w:t>
      </w:r>
    </w:p>
    <w:p w:rsidRPr="007E65C1" w:rsidR="007E65C1" w:rsidP="007E65C1" w:rsidRDefault="007E65C1" w14:paraId="7EADE229" w14:textId="4BD36AD2">
      <w:r w:rsidRPr="007E65C1">
        <w:t xml:space="preserve">One </w:t>
      </w:r>
      <w:r w:rsidR="00423526">
        <w:t>submitter</w:t>
      </w:r>
      <w:r w:rsidRPr="007E65C1">
        <w:t xml:space="preserve"> supported the notion that there are benefits to individuals and to society in tertiary education even without qualification completion</w:t>
      </w:r>
      <w:r w:rsidR="007A7D48">
        <w:t>,</w:t>
      </w:r>
      <w:r w:rsidRPr="007E65C1">
        <w:t xml:space="preserve"> and they agreed with the statement </w:t>
      </w:r>
      <w:r w:rsidRPr="00F72EFE">
        <w:rPr>
          <w:i/>
          <w:iCs/>
        </w:rPr>
        <w:t>“Completion metrics alone can mask progress made by students and trainees from disadvantaged backgrounds. Measuring how far a learner progresses from their starting point can provide a fairer and more informative view of provider performance”</w:t>
      </w:r>
      <w:r w:rsidR="00442F50">
        <w:rPr>
          <w:i/>
          <w:iCs/>
        </w:rPr>
        <w:t>.</w:t>
      </w:r>
    </w:p>
    <w:p w:rsidRPr="007E65C1" w:rsidR="007E65C1" w:rsidP="007E65C1" w:rsidRDefault="00200E7E" w14:paraId="6FCA2B9D" w14:textId="5A4E068C">
      <w:r>
        <w:t xml:space="preserve">One submitter </w:t>
      </w:r>
      <w:r w:rsidRPr="007E65C1" w:rsidR="007E65C1">
        <w:t>suggested that there was broader alignment required for the system to be a success</w:t>
      </w:r>
      <w:r w:rsidR="00442F50">
        <w:t>:</w:t>
      </w:r>
      <w:r w:rsidRPr="007E65C1" w:rsidR="007E65C1">
        <w:t xml:space="preserve"> </w:t>
      </w:r>
    </w:p>
    <w:p w:rsidRPr="00200E7E" w:rsidR="007E65C1" w:rsidP="007E65C1" w:rsidRDefault="007E65C1" w14:paraId="39F81574" w14:textId="04124EB4">
      <w:pPr>
        <w:pStyle w:val="Quote"/>
        <w:rPr>
          <w:i w:val="0"/>
          <w:iCs w:val="0"/>
        </w:rPr>
      </w:pPr>
      <w:r w:rsidRPr="007E65C1">
        <w:t xml:space="preserve">Achievement is a critical priority but requires the broader eco-system to calibrate for success. </w:t>
      </w:r>
      <w:r w:rsidRPr="00200E7E" w:rsidR="00200E7E">
        <w:rPr>
          <w:i w:val="0"/>
          <w:iCs w:val="0"/>
        </w:rPr>
        <w:t>(</w:t>
      </w:r>
      <w:proofErr w:type="spellStart"/>
      <w:r w:rsidRPr="00200E7E" w:rsidR="00200E7E">
        <w:rPr>
          <w:i w:val="0"/>
          <w:iCs w:val="0"/>
        </w:rPr>
        <w:t>Competenz</w:t>
      </w:r>
      <w:proofErr w:type="spellEnd"/>
      <w:r w:rsidRPr="00200E7E" w:rsidR="00200E7E">
        <w:rPr>
          <w:i w:val="0"/>
          <w:iCs w:val="0"/>
        </w:rPr>
        <w:t>)</w:t>
      </w:r>
    </w:p>
    <w:p w:rsidRPr="007E65C1" w:rsidR="007E65C1" w:rsidP="006933C1" w:rsidRDefault="007E65C1" w14:paraId="7D5BE0DF" w14:textId="1BF4DD19">
      <w:pPr>
        <w:pStyle w:val="Heading4"/>
      </w:pPr>
      <w:r w:rsidRPr="007E65C1">
        <w:t>Educator</w:t>
      </w:r>
      <w:r w:rsidR="00E46079">
        <w:t>s</w:t>
      </w:r>
      <w:r w:rsidRPr="007E65C1">
        <w:t>/Student</w:t>
      </w:r>
      <w:r w:rsidR="00E46079">
        <w:t>s</w:t>
      </w:r>
    </w:p>
    <w:p w:rsidRPr="007E65C1" w:rsidR="007E65C1" w:rsidP="007E65C1" w:rsidRDefault="007E65C1" w14:paraId="48CED421" w14:textId="5BF5F76E">
      <w:pPr>
        <w:rPr>
          <w:bCs/>
        </w:rPr>
      </w:pPr>
      <w:r w:rsidRPr="007E65C1">
        <w:rPr>
          <w:bCs/>
        </w:rPr>
        <w:t xml:space="preserve">Two educator groups and three student </w:t>
      </w:r>
      <w:r w:rsidR="00374D21">
        <w:rPr>
          <w:bCs/>
        </w:rPr>
        <w:t>associations</w:t>
      </w:r>
      <w:r w:rsidRPr="007E65C1">
        <w:rPr>
          <w:bCs/>
        </w:rPr>
        <w:t xml:space="preserve"> provided comments on success measures needing to be expanded to include other forms of achievement, for example, unit standards and micro</w:t>
      </w:r>
      <w:r w:rsidR="00B6417E">
        <w:rPr>
          <w:bCs/>
        </w:rPr>
        <w:t>-</w:t>
      </w:r>
      <w:r w:rsidRPr="007E65C1">
        <w:rPr>
          <w:bCs/>
        </w:rPr>
        <w:t xml:space="preserve">credentials. </w:t>
      </w:r>
      <w:r w:rsidR="00374D21">
        <w:rPr>
          <w:bCs/>
        </w:rPr>
        <w:t>One student association explained</w:t>
      </w:r>
      <w:r w:rsidR="00B6417E">
        <w:rPr>
          <w:bCs/>
        </w:rPr>
        <w:t>:</w:t>
      </w:r>
    </w:p>
    <w:p w:rsidRPr="007E65C1" w:rsidR="007E65C1" w:rsidP="007E65C1" w:rsidRDefault="007E65C1" w14:paraId="41ACDF6A" w14:textId="77777777">
      <w:pPr>
        <w:pStyle w:val="Quote"/>
      </w:pPr>
      <w:r w:rsidRPr="007E65C1">
        <w:t>Achievement should not be narrowly defined by completion rates or employment outcomes. True achievement includes equity across demographics, student wellbeing and the development of student capacities and competence.</w:t>
      </w:r>
    </w:p>
    <w:p w:rsidRPr="007E65C1" w:rsidR="007E65C1" w:rsidP="007E65C1" w:rsidRDefault="007E65C1" w14:paraId="2003AECA" w14:textId="485D3EAD">
      <w:r w:rsidRPr="007E65C1">
        <w:rPr>
          <w:bCs/>
        </w:rPr>
        <w:t xml:space="preserve">Submitters also stated that if qualification </w:t>
      </w:r>
      <w:r w:rsidR="00B6417E">
        <w:rPr>
          <w:bCs/>
        </w:rPr>
        <w:t xml:space="preserve">completion </w:t>
      </w:r>
      <w:r w:rsidRPr="007E65C1">
        <w:rPr>
          <w:bCs/>
        </w:rPr>
        <w:t>is the measure, it will undervalue creativity and other benefits of education that extend beyond the workplace</w:t>
      </w:r>
      <w:r w:rsidR="0038594B">
        <w:rPr>
          <w:bCs/>
        </w:rPr>
        <w:t>.</w:t>
      </w:r>
      <w:r w:rsidRPr="007E65C1">
        <w:rPr>
          <w:bCs/>
        </w:rPr>
        <w:t xml:space="preserve"> </w:t>
      </w:r>
      <w:r w:rsidR="009B7D4C">
        <w:rPr>
          <w:bCs/>
        </w:rPr>
        <w:t xml:space="preserve">Further, they said </w:t>
      </w:r>
      <w:r w:rsidRPr="007E65C1">
        <w:rPr>
          <w:bCs/>
        </w:rPr>
        <w:t xml:space="preserve">that achievement is also closely aligned </w:t>
      </w:r>
      <w:r w:rsidR="00FF4889">
        <w:rPr>
          <w:bCs/>
        </w:rPr>
        <w:t>with</w:t>
      </w:r>
      <w:r w:rsidRPr="007E65C1">
        <w:rPr>
          <w:bCs/>
        </w:rPr>
        <w:t xml:space="preserve"> staff wellbeing and work conditions and </w:t>
      </w:r>
      <w:r w:rsidR="00FF4889">
        <w:rPr>
          <w:bCs/>
        </w:rPr>
        <w:t xml:space="preserve">that </w:t>
      </w:r>
      <w:r w:rsidRPr="007E65C1">
        <w:rPr>
          <w:bCs/>
        </w:rPr>
        <w:t xml:space="preserve">there is a need to address </w:t>
      </w:r>
      <w:r w:rsidR="00FF4889">
        <w:rPr>
          <w:bCs/>
        </w:rPr>
        <w:t>this</w:t>
      </w:r>
      <w:r w:rsidRPr="007E65C1">
        <w:rPr>
          <w:bCs/>
        </w:rPr>
        <w:t xml:space="preserve"> through investment and policy settings.</w:t>
      </w:r>
    </w:p>
    <w:p w:rsidRPr="007E65C1" w:rsidR="007E65C1" w:rsidP="007E65C1" w:rsidRDefault="0002090B" w14:paraId="48554796" w14:textId="7AECC3A3">
      <w:pPr>
        <w:rPr>
          <w:bCs/>
        </w:rPr>
      </w:pPr>
      <w:r>
        <w:rPr>
          <w:bCs/>
        </w:rPr>
        <w:t>One educator group</w:t>
      </w:r>
      <w:r w:rsidRPr="007E65C1" w:rsidR="007E65C1">
        <w:rPr>
          <w:bCs/>
        </w:rPr>
        <w:t xml:space="preserve"> noted that aligning tertiary achievement and labour market outcomes is too narrow to be applied across the whole system</w:t>
      </w:r>
      <w:r w:rsidR="007512E8">
        <w:rPr>
          <w:bCs/>
        </w:rPr>
        <w:t>:</w:t>
      </w:r>
    </w:p>
    <w:p w:rsidRPr="007E65C1" w:rsidR="007E65C1" w:rsidP="007E65C1" w:rsidRDefault="00E4233F" w14:paraId="0AA814EB" w14:textId="4BB70D6B">
      <w:pPr>
        <w:pStyle w:val="Quote"/>
      </w:pPr>
      <w:r w:rsidRPr="007E65C1">
        <w:t>…. aligning</w:t>
      </w:r>
      <w:r w:rsidRPr="007E65C1" w:rsidR="007E65C1">
        <w:t xml:space="preserve"> tertiary achievement and labour market outcomes makes most sense in vocational </w:t>
      </w:r>
      <w:proofErr w:type="gramStart"/>
      <w:r w:rsidRPr="007E65C1" w:rsidR="007E65C1">
        <w:t>education, but</w:t>
      </w:r>
      <w:proofErr w:type="gramEnd"/>
      <w:r w:rsidRPr="007E65C1" w:rsidR="007E65C1">
        <w:t xml:space="preserve"> is not necessarily a very useful objective for many university-level courses of study.</w:t>
      </w:r>
      <w:r w:rsidR="00FB39AE">
        <w:t xml:space="preserve"> </w:t>
      </w:r>
      <w:r w:rsidRPr="00FB39AE" w:rsidR="00FB39AE">
        <w:rPr>
          <w:i w:val="0"/>
          <w:iCs w:val="0"/>
        </w:rPr>
        <w:t>(NZCTU)</w:t>
      </w:r>
    </w:p>
    <w:p w:rsidRPr="007E65C1" w:rsidR="007E65C1" w:rsidP="006933C1" w:rsidRDefault="007E65C1" w14:paraId="6D374386" w14:textId="1BD2C2D4">
      <w:pPr>
        <w:pStyle w:val="Heading4"/>
      </w:pPr>
      <w:r w:rsidRPr="007E65C1">
        <w:t xml:space="preserve">Industry </w:t>
      </w:r>
    </w:p>
    <w:p w:rsidRPr="007E65C1" w:rsidR="007E65C1" w:rsidP="007E65C1" w:rsidRDefault="007E65C1" w14:paraId="7C2668CE" w14:textId="68FE52A3">
      <w:r w:rsidRPr="007E65C1">
        <w:t xml:space="preserve">Eleven industry groups submitted comments with three agreeing that achievement should be a priority in the TES. </w:t>
      </w:r>
    </w:p>
    <w:p w:rsidRPr="007E65C1" w:rsidR="007E65C1" w:rsidP="007E65C1" w:rsidRDefault="007E65C1" w14:paraId="688FB439" w14:textId="77777777">
      <w:pPr>
        <w:pStyle w:val="Quote"/>
      </w:pPr>
      <w:proofErr w:type="spellStart"/>
      <w:r w:rsidRPr="007E65C1">
        <w:t>BusinessNZ</w:t>
      </w:r>
      <w:proofErr w:type="spellEnd"/>
      <w:r w:rsidRPr="007E65C1">
        <w:t xml:space="preserve"> agrees that achievement must be a central priority for the tertiary education system. We acknowledge the emphasis in the draft TES that achievement extends beyond enrolment to successful completion and the acquisition of meaningful skills and qualifications.</w:t>
      </w:r>
    </w:p>
    <w:p w:rsidRPr="007E65C1" w:rsidR="007E65C1" w:rsidP="007E65C1" w:rsidRDefault="007E65C1" w14:paraId="6C01E59E" w14:textId="791DC141">
      <w:r w:rsidRPr="007E65C1">
        <w:t>Nine submitters suggested that success measures need to be broadened, to include a system that recognises when all learning has taken place and short skill qualifications, for example, when micro</w:t>
      </w:r>
      <w:r w:rsidR="00FF4889">
        <w:t>-</w:t>
      </w:r>
      <w:r w:rsidRPr="007E65C1">
        <w:t xml:space="preserve">credentials have been achieved. </w:t>
      </w:r>
    </w:p>
    <w:p w:rsidRPr="007E65C1" w:rsidR="007E65C1" w:rsidP="007E65C1" w:rsidRDefault="007E65C1" w14:paraId="1FD2C25B" w14:textId="3AAF01F0">
      <w:pPr>
        <w:pStyle w:val="Quote"/>
      </w:pPr>
      <w:r w:rsidRPr="007E65C1">
        <w:t>While we agree, we also need a system that recognises when learning has taken place and skills gained without quite as much reliance on assessment, a fine balance.</w:t>
      </w:r>
      <w:r w:rsidR="00297EDB">
        <w:t xml:space="preserve"> </w:t>
      </w:r>
      <w:r w:rsidRPr="00297EDB" w:rsidR="00297EDB">
        <w:rPr>
          <w:i w:val="0"/>
          <w:iCs w:val="0"/>
        </w:rPr>
        <w:t>(Dairy NZ)</w:t>
      </w:r>
    </w:p>
    <w:p w:rsidRPr="007E65C1" w:rsidR="007E65C1" w:rsidP="007E65C1" w:rsidRDefault="007E65C1" w14:paraId="7376DC85" w14:textId="77777777">
      <w:pPr>
        <w:rPr>
          <w:i/>
        </w:rPr>
      </w:pPr>
      <w:r w:rsidRPr="007E65C1">
        <w:t>One submitter noted that performance of a provider should also extend to employment outcomes, regulatory compliance and industry satisfaction.</w:t>
      </w:r>
    </w:p>
    <w:p w:rsidRPr="007E65C1" w:rsidR="007E65C1" w:rsidP="006933C1" w:rsidRDefault="007E65C1" w14:paraId="31F6D4C0" w14:textId="65BFD6F8">
      <w:pPr>
        <w:pStyle w:val="Heading4"/>
      </w:pPr>
      <w:r w:rsidRPr="007E65C1">
        <w:t xml:space="preserve">Research </w:t>
      </w:r>
      <w:r w:rsidR="006D31D8">
        <w:t>organisations</w:t>
      </w:r>
    </w:p>
    <w:p w:rsidRPr="007E65C1" w:rsidR="007E65C1" w:rsidP="007E65C1" w:rsidRDefault="007E65C1" w14:paraId="654C9C18" w14:textId="74D48A6F">
      <w:r w:rsidRPr="007E65C1">
        <w:t>Three submitters supported the priority, with one submitter noting that it will look different across providers in the tertiary education sector and one submitter suggesting that fees should be paid for those who work in N</w:t>
      </w:r>
      <w:r w:rsidR="00297EDB">
        <w:t>ew Zealand</w:t>
      </w:r>
      <w:r w:rsidRPr="007E65C1">
        <w:t xml:space="preserve"> after graduation.</w:t>
      </w:r>
    </w:p>
    <w:p w:rsidRPr="00C9531B" w:rsidR="00C9531B" w:rsidP="00F06E68" w:rsidRDefault="00C9531B" w14:paraId="3F8E0D60" w14:textId="77777777">
      <w:pPr>
        <w:pStyle w:val="Heading3"/>
      </w:pPr>
      <w:bookmarkStart w:name="_Toc211314474" w:id="22"/>
      <w:r w:rsidRPr="00C9531B">
        <w:t>To what extent will the expected changes and contributing activities effectively achieve the priority?</w:t>
      </w:r>
      <w:bookmarkEnd w:id="22"/>
    </w:p>
    <w:p w:rsidR="00C9531B" w:rsidP="00C9531B" w:rsidRDefault="00C9531B" w14:paraId="62C999C8" w14:textId="774B2C31">
      <w:pPr>
        <w:pStyle w:val="Caption"/>
        <w:keepNext/>
      </w:pPr>
      <w:bookmarkStart w:name="_Ref210919263" w:id="23"/>
      <w:r>
        <w:t xml:space="preserve">Figure </w:t>
      </w:r>
      <w:r>
        <w:fldChar w:fldCharType="begin"/>
      </w:r>
      <w:r>
        <w:instrText>SEQ Figure \* ARABIC</w:instrText>
      </w:r>
      <w:r>
        <w:fldChar w:fldCharType="separate"/>
      </w:r>
      <w:r w:rsidR="00ED2C25">
        <w:rPr>
          <w:noProof/>
        </w:rPr>
        <w:t>3</w:t>
      </w:r>
      <w:r>
        <w:fldChar w:fldCharType="end"/>
      </w:r>
      <w:bookmarkEnd w:id="23"/>
      <w:r>
        <w:t xml:space="preserve">: </w:t>
      </w:r>
      <w:r w:rsidRPr="00137B3A" w:rsidR="005F09B0">
        <w:t>Will the activities support achievement of this priority</w:t>
      </w:r>
      <w:r w:rsidRPr="00F462C7">
        <w:t>?</w:t>
      </w:r>
    </w:p>
    <w:p w:rsidRPr="00C9531B" w:rsidR="00C9531B" w:rsidP="00C9531B" w:rsidRDefault="002B027F" w14:paraId="798ECE35" w14:textId="6A657674">
      <w:pPr>
        <w:rPr>
          <w:b/>
        </w:rPr>
      </w:pPr>
      <w:r>
        <w:rPr>
          <w:noProof/>
        </w:rPr>
        <w:drawing>
          <wp:inline distT="0" distB="0" distL="0" distR="0" wp14:anchorId="517E3FF8" wp14:editId="74879362">
            <wp:extent cx="5940000" cy="1980000"/>
            <wp:effectExtent l="0" t="0" r="3810" b="1270"/>
            <wp:docPr id="760314326" name="Chart 1">
              <a:extLst xmlns:a="http://schemas.openxmlformats.org/drawingml/2006/main">
                <a:ext uri="{FF2B5EF4-FFF2-40B4-BE49-F238E27FC236}">
                  <a16:creationId xmlns:a16="http://schemas.microsoft.com/office/drawing/2014/main" id="{7AC30230-F849-29D2-60CE-0546407C6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C6136" w:rsidP="00C9531B" w:rsidRDefault="00C9531B" w14:paraId="75053BB3" w14:textId="4D72E878">
      <w:r w:rsidRPr="00C9531B">
        <w:t>As shown in</w:t>
      </w:r>
      <w:r w:rsidR="00F40933">
        <w:t xml:space="preserve"> </w:t>
      </w:r>
      <w:r w:rsidR="00F40933">
        <w:fldChar w:fldCharType="begin"/>
      </w:r>
      <w:r w:rsidR="00F40933">
        <w:instrText xml:space="preserve"> REF _Ref210919263 \h </w:instrText>
      </w:r>
      <w:r w:rsidR="00F40933">
        <w:fldChar w:fldCharType="separate"/>
      </w:r>
      <w:r w:rsidR="00ED2C25">
        <w:t xml:space="preserve">Figure </w:t>
      </w:r>
      <w:r w:rsidR="00ED2C25">
        <w:rPr>
          <w:noProof/>
        </w:rPr>
        <w:t>3</w:t>
      </w:r>
      <w:r w:rsidR="00F40933">
        <w:fldChar w:fldCharType="end"/>
      </w:r>
      <w:r w:rsidRPr="00C9531B">
        <w:t xml:space="preserve">, </w:t>
      </w:r>
      <w:r w:rsidR="009A3921">
        <w:t>19</w:t>
      </w:r>
      <w:r w:rsidRPr="00C9531B">
        <w:t xml:space="preserve"> submitters agreed that the changes and activities included in the draft TES would effectively support achievement of this priority. </w:t>
      </w:r>
      <w:r w:rsidR="009C6136">
        <w:t xml:space="preserve">A further 11 were neutral and two disagreed. </w:t>
      </w:r>
    </w:p>
    <w:p w:rsidRPr="00C9531B" w:rsidR="00C9531B" w:rsidP="00C9531B" w:rsidRDefault="00C9531B" w14:paraId="7689C43B" w14:textId="12A4095E">
      <w:r w:rsidRPr="00C9531B">
        <w:t xml:space="preserve">Thirty-six submitters </w:t>
      </w:r>
      <w:r w:rsidR="009C6136">
        <w:t>(</w:t>
      </w:r>
      <w:r w:rsidR="00881C17">
        <w:t>19</w:t>
      </w:r>
      <w:r w:rsidR="009C6136">
        <w:t xml:space="preserve"> TEOs, 11 </w:t>
      </w:r>
      <w:r w:rsidR="00E83858">
        <w:t>industry submitters</w:t>
      </w:r>
      <w:r w:rsidR="00881C17">
        <w:t>,</w:t>
      </w:r>
      <w:r w:rsidR="00D03689">
        <w:t xml:space="preserve"> </w:t>
      </w:r>
      <w:r w:rsidR="009C6136">
        <w:t>three research organisations</w:t>
      </w:r>
      <w:r w:rsidR="00210080">
        <w:t>, and two educator/student</w:t>
      </w:r>
      <w:r w:rsidR="00507FE6">
        <w:t>s</w:t>
      </w:r>
      <w:r w:rsidR="009C6136">
        <w:t xml:space="preserve">) </w:t>
      </w:r>
      <w:r w:rsidRPr="00C9531B">
        <w:t>commented on whether the expected changes and activities were enough the achieve the priority.</w:t>
      </w:r>
    </w:p>
    <w:p w:rsidRPr="00467411" w:rsidR="00012CE1" w:rsidP="00012CE1" w:rsidRDefault="00012CE1" w14:paraId="77B7E6D2" w14:textId="77777777">
      <w:pPr>
        <w:pStyle w:val="Heading4"/>
      </w:pPr>
      <w:r>
        <w:t xml:space="preserve">Tertiary Education Organisations and their </w:t>
      </w:r>
      <w:r w:rsidRPr="00012CE1">
        <w:t>representative bodies</w:t>
      </w:r>
    </w:p>
    <w:p w:rsidRPr="005A6637" w:rsidR="005A6637" w:rsidP="005A6637" w:rsidRDefault="00E83858" w14:paraId="4F85FDD6" w14:textId="3E8777FE">
      <w:pPr>
        <w:rPr>
          <w:bCs/>
        </w:rPr>
      </w:pPr>
      <w:r>
        <w:rPr>
          <w:bCs/>
        </w:rPr>
        <w:t>Nineteen TEO submitters (</w:t>
      </w:r>
      <w:r w:rsidRPr="005A6637">
        <w:t xml:space="preserve">six </w:t>
      </w:r>
      <w:proofErr w:type="spellStart"/>
      <w:r w:rsidRPr="005A6637">
        <w:t>Te</w:t>
      </w:r>
      <w:proofErr w:type="spellEnd"/>
      <w:r w:rsidRPr="005A6637">
        <w:t xml:space="preserve"> </w:t>
      </w:r>
      <w:proofErr w:type="spellStart"/>
      <w:r w:rsidRPr="005A6637">
        <w:t>Pūkenga</w:t>
      </w:r>
      <w:proofErr w:type="spellEnd"/>
      <w:r w:rsidRPr="005A6637">
        <w:t xml:space="preserve"> divisions, </w:t>
      </w:r>
      <w:r w:rsidR="000619EA">
        <w:rPr>
          <w:bCs/>
        </w:rPr>
        <w:t>f</w:t>
      </w:r>
      <w:r w:rsidRPr="005A6637" w:rsidR="000619EA">
        <w:rPr>
          <w:bCs/>
        </w:rPr>
        <w:t>ive universities</w:t>
      </w:r>
      <w:r w:rsidR="000619EA">
        <w:rPr>
          <w:bCs/>
        </w:rPr>
        <w:t xml:space="preserve">, </w:t>
      </w:r>
      <w:r w:rsidRPr="005A6637" w:rsidR="000619EA">
        <w:t xml:space="preserve">four </w:t>
      </w:r>
      <w:r w:rsidR="000619EA">
        <w:t>tertiary sector entities,</w:t>
      </w:r>
      <w:r w:rsidRPr="005A6637" w:rsidR="000619EA">
        <w:t xml:space="preserve"> </w:t>
      </w:r>
      <w:r w:rsidRPr="005A6637">
        <w:t xml:space="preserve">three PTEs, </w:t>
      </w:r>
      <w:r w:rsidR="00B67448">
        <w:t xml:space="preserve">and </w:t>
      </w:r>
      <w:r w:rsidRPr="005A6637">
        <w:t xml:space="preserve">one </w:t>
      </w:r>
      <w:r>
        <w:t>w</w:t>
      </w:r>
      <w:r w:rsidRPr="005A6637">
        <w:t xml:space="preserve">ānanga) </w:t>
      </w:r>
      <w:r w:rsidRPr="005A6637" w:rsidR="005A6637">
        <w:rPr>
          <w:bCs/>
        </w:rPr>
        <w:t xml:space="preserve">provided suggestions on how the achievement measures can be strengthened. </w:t>
      </w:r>
      <w:r w:rsidRPr="004675BD" w:rsidR="004675BD">
        <w:rPr>
          <w:bCs/>
        </w:rPr>
        <w:t>Submitters emphasised the need for equitable access to education and training for underserved groups, particularly Māori and Pacific learners; called for further research on ‘distance travelled’ measures given their cost and complexity; and highlighted that the framework should recognise learners’ journeys are not always linear.</w:t>
      </w:r>
    </w:p>
    <w:p w:rsidRPr="005A6637" w:rsidR="005A6637" w:rsidP="00300785" w:rsidRDefault="005A6637" w14:paraId="6267ED28" w14:textId="5093741C">
      <w:pPr>
        <w:pStyle w:val="Quote"/>
      </w:pPr>
      <w:r w:rsidRPr="005A6637">
        <w:t xml:space="preserve">Develop indicators of Pacific learner belonging, cultural affirmation, and institutional accountability for equity. Success must be measured not only by completion rates and labour market outcomes but also by Pacific values of collective achievement, cultural identity, and service to community. </w:t>
      </w:r>
      <w:r w:rsidRPr="00C61228" w:rsidR="00C61228">
        <w:rPr>
          <w:i w:val="0"/>
          <w:iCs w:val="0"/>
        </w:rPr>
        <w:t>(</w:t>
      </w:r>
      <w:r w:rsidRPr="00C61228" w:rsidR="00C61228">
        <w:rPr>
          <w:bCs/>
          <w:i w:val="0"/>
          <w:iCs w:val="0"/>
        </w:rPr>
        <w:t>Komiti Pasifika)</w:t>
      </w:r>
    </w:p>
    <w:p w:rsidRPr="005A6637" w:rsidR="005A6637" w:rsidP="005A6637" w:rsidRDefault="007007B5" w14:paraId="4801FF62" w14:textId="6C0ACD3D">
      <w:pPr>
        <w:rPr>
          <w:bCs/>
        </w:rPr>
      </w:pPr>
      <w:r>
        <w:t xml:space="preserve">One submitter </w:t>
      </w:r>
      <w:r w:rsidRPr="005A6637" w:rsidR="005A6637">
        <w:t>commented that foundation education programmes could be strengthened:</w:t>
      </w:r>
    </w:p>
    <w:p w:rsidRPr="005A6637" w:rsidR="005A6637" w:rsidP="00300785" w:rsidRDefault="005A6637" w14:paraId="0FAF2301" w14:textId="0C79E2BA">
      <w:pPr>
        <w:pStyle w:val="Quote"/>
      </w:pPr>
      <w:r w:rsidRPr="005A6637">
        <w:t xml:space="preserve">Strengthen foundation education programmes centred on enabling ongoing employment/workforce attachment and work experience for youth at risk of long-term poor employment outcomes. </w:t>
      </w:r>
      <w:r w:rsidRPr="007007B5" w:rsidR="007007B5">
        <w:rPr>
          <w:i w:val="0"/>
          <w:iCs w:val="0"/>
        </w:rPr>
        <w:t>(Universities NZ)</w:t>
      </w:r>
    </w:p>
    <w:p w:rsidRPr="005A6637" w:rsidR="005A6637" w:rsidP="005A6637" w:rsidRDefault="00E63FBC" w14:paraId="4CE4E842" w14:textId="79416650">
      <w:r>
        <w:t>Other comments from TEOs</w:t>
      </w:r>
      <w:r w:rsidRPr="005A6637" w:rsidR="005A6637">
        <w:t xml:space="preserve"> suggest</w:t>
      </w:r>
      <w:r>
        <w:t>ed</w:t>
      </w:r>
      <w:r w:rsidRPr="005A6637" w:rsidR="005A6637">
        <w:t xml:space="preserve"> that wider access to tertiary training is necessary for underserved groups</w:t>
      </w:r>
      <w:r w:rsidR="000F36D5">
        <w:t xml:space="preserve">, including </w:t>
      </w:r>
      <w:r w:rsidRPr="005A6637" w:rsidR="005A6637">
        <w:t xml:space="preserve">neurodiverse, disabled, Māori, </w:t>
      </w:r>
      <w:r w:rsidR="006403C1">
        <w:t>Pacific peoples</w:t>
      </w:r>
      <w:r w:rsidRPr="005A6637" w:rsidR="005A6637">
        <w:t xml:space="preserve"> and those from low-income backgrounds</w:t>
      </w:r>
      <w:r w:rsidR="000F36D5">
        <w:t>. Further</w:t>
      </w:r>
      <w:r w:rsidR="00916094">
        <w:t xml:space="preserve"> comments suggested</w:t>
      </w:r>
      <w:r w:rsidRPr="005A6637" w:rsidR="005A6637">
        <w:t xml:space="preserve"> broade</w:t>
      </w:r>
      <w:r w:rsidR="002E1190">
        <w:t xml:space="preserve">ning </w:t>
      </w:r>
      <w:r w:rsidR="003413CA">
        <w:t>the</w:t>
      </w:r>
      <w:r w:rsidRPr="005A6637" w:rsidR="005A6637">
        <w:t xml:space="preserve"> recognition of achievement, for example</w:t>
      </w:r>
      <w:r w:rsidR="002E1190">
        <w:t xml:space="preserve"> including</w:t>
      </w:r>
      <w:r w:rsidRPr="005A6637" w:rsidR="005A6637">
        <w:t xml:space="preserve"> </w:t>
      </w:r>
      <w:r w:rsidR="002E1190">
        <w:t xml:space="preserve">the </w:t>
      </w:r>
      <w:r w:rsidRPr="005A6637" w:rsidR="005A6637">
        <w:t>acquisition of relevant new skills</w:t>
      </w:r>
      <w:r w:rsidR="002E1190">
        <w:t>,</w:t>
      </w:r>
      <w:r w:rsidRPr="005A6637" w:rsidR="005A6637">
        <w:t xml:space="preserve"> and system improvements including strengthening connections with employers</w:t>
      </w:r>
      <w:r w:rsidR="00891764">
        <w:t>.</w:t>
      </w:r>
    </w:p>
    <w:p w:rsidRPr="005A6637" w:rsidR="005A6637" w:rsidP="005A6637" w:rsidRDefault="005A6637" w14:paraId="04AF0D76" w14:textId="20967818">
      <w:pPr>
        <w:pStyle w:val="Quote"/>
        <w:rPr>
          <w:i w:val="0"/>
          <w:iCs w:val="0"/>
        </w:rPr>
      </w:pPr>
      <w:r w:rsidRPr="005A6637">
        <w:t>Current proposals risk being too narrow, focused on completions without recognising holistic success or incremental achievements.</w:t>
      </w:r>
      <w:r>
        <w:rPr>
          <w:i w:val="0"/>
          <w:iCs w:val="0"/>
        </w:rPr>
        <w:t xml:space="preserve"> </w:t>
      </w:r>
      <w:r w:rsidRPr="008321D3">
        <w:t>(Te Wānanga o Aotearoa)</w:t>
      </w:r>
    </w:p>
    <w:p w:rsidRPr="005A6637" w:rsidR="005A6637" w:rsidP="005A6637" w:rsidRDefault="005A6637" w14:paraId="16889BD2" w14:textId="329F6749">
      <w:pPr>
        <w:pStyle w:val="Quote"/>
        <w:rPr>
          <w:i w:val="0"/>
          <w:iCs w:val="0"/>
        </w:rPr>
      </w:pPr>
      <w:r w:rsidRPr="005A6637">
        <w:t>The example of providers demonstrating "evidence-based approaches to learner success that are appropriate to their learner cohorts and educational setting, including by identifying and addressing risks and barriers to retention, achievement, completion, and employment" should be strengthened as an expectation rather than an example</w:t>
      </w:r>
      <w:r w:rsidRPr="008321D3">
        <w:rPr>
          <w:i w:val="0"/>
          <w:iCs w:val="0"/>
        </w:rPr>
        <w:t>. (</w:t>
      </w:r>
      <w:r w:rsidRPr="008321D3">
        <w:rPr>
          <w:bCs/>
          <w:i w:val="0"/>
          <w:iCs w:val="0"/>
        </w:rPr>
        <w:t>Open Polytechnic)</w:t>
      </w:r>
    </w:p>
    <w:p w:rsidRPr="005A6637" w:rsidR="005A6637" w:rsidP="00F06E68" w:rsidRDefault="005A6637" w14:paraId="11CE955E" w14:textId="0D89F990">
      <w:pPr>
        <w:pStyle w:val="Heading4"/>
      </w:pPr>
      <w:r w:rsidRPr="005A6637">
        <w:t>Educator</w:t>
      </w:r>
      <w:r w:rsidR="00E46079">
        <w:t>s</w:t>
      </w:r>
      <w:r w:rsidRPr="005A6637">
        <w:t>/Student</w:t>
      </w:r>
      <w:r w:rsidR="00E46079">
        <w:t>s</w:t>
      </w:r>
    </w:p>
    <w:p w:rsidRPr="005A6637" w:rsidR="005A6637" w:rsidP="005A6637" w:rsidRDefault="005A6637" w14:paraId="3D44F4F7" w14:textId="795BF147">
      <w:pPr>
        <w:rPr>
          <w:bCs/>
        </w:rPr>
      </w:pPr>
      <w:r w:rsidRPr="005A6637">
        <w:rPr>
          <w:bCs/>
        </w:rPr>
        <w:t xml:space="preserve">Two educator groups and one </w:t>
      </w:r>
      <w:r w:rsidR="00A15490">
        <w:rPr>
          <w:bCs/>
        </w:rPr>
        <w:t>student association made</w:t>
      </w:r>
      <w:r w:rsidRPr="005A6637">
        <w:rPr>
          <w:bCs/>
        </w:rPr>
        <w:t xml:space="preserve"> </w:t>
      </w:r>
      <w:r w:rsidR="00A15490">
        <w:rPr>
          <w:bCs/>
        </w:rPr>
        <w:t>s</w:t>
      </w:r>
      <w:r w:rsidRPr="005A6637">
        <w:rPr>
          <w:bCs/>
        </w:rPr>
        <w:t>uggestions for improvement includ</w:t>
      </w:r>
      <w:r w:rsidR="003413CA">
        <w:rPr>
          <w:bCs/>
        </w:rPr>
        <w:t>ing</w:t>
      </w:r>
      <w:r w:rsidRPr="005A6637">
        <w:rPr>
          <w:bCs/>
        </w:rPr>
        <w:t xml:space="preserve"> addressing barriers to student success. </w:t>
      </w:r>
    </w:p>
    <w:p w:rsidRPr="005A6637" w:rsidR="005A6637" w:rsidP="00222425" w:rsidRDefault="005A6637" w14:paraId="19767BF4" w14:textId="0F0DF618">
      <w:pPr>
        <w:pStyle w:val="Quote"/>
      </w:pPr>
      <w:r w:rsidRPr="005A6637">
        <w:t>Address systemic barriers to student success — including financial hardship, racism, ableism, and inadequate support — through stable public investment.</w:t>
      </w:r>
      <w:r w:rsidR="00222425">
        <w:t xml:space="preserve"> </w:t>
      </w:r>
      <w:r w:rsidRPr="00222425" w:rsidR="00222425">
        <w:rPr>
          <w:i w:val="0"/>
          <w:iCs w:val="0"/>
        </w:rPr>
        <w:t>(</w:t>
      </w:r>
      <w:r w:rsidRPr="00222425" w:rsidR="00222425">
        <w:rPr>
          <w:bCs/>
          <w:i w:val="0"/>
          <w:iCs w:val="0"/>
        </w:rPr>
        <w:t>TEU)</w:t>
      </w:r>
    </w:p>
    <w:p w:rsidRPr="005A6637" w:rsidR="005A6637" w:rsidP="005A6637" w:rsidRDefault="00674F41" w14:paraId="717DF968" w14:textId="62A2CAA1">
      <w:r>
        <w:rPr>
          <w:bCs/>
        </w:rPr>
        <w:t xml:space="preserve">One </w:t>
      </w:r>
      <w:r w:rsidR="00222425">
        <w:rPr>
          <w:bCs/>
        </w:rPr>
        <w:t>submitter</w:t>
      </w:r>
      <w:r w:rsidRPr="005A6637" w:rsidR="005A6637">
        <w:rPr>
          <w:bCs/>
        </w:rPr>
        <w:t xml:space="preserve"> noted there are wider achievement measures that need to be considered:</w:t>
      </w:r>
    </w:p>
    <w:p w:rsidRPr="005A6637" w:rsidR="005A6637" w:rsidP="005A6637" w:rsidRDefault="005A6637" w14:paraId="08D60CB6" w14:textId="261BA3FC">
      <w:pPr>
        <w:pStyle w:val="Quote"/>
      </w:pPr>
      <w:r w:rsidRPr="005A6637">
        <w:t>….in addition to qualification completion and job attainment, achievement is also measured in terms of academic progress and the development of students’ intellectual, civic, and cultural capabilities.</w:t>
      </w:r>
      <w:r w:rsidR="00222425">
        <w:t xml:space="preserve"> </w:t>
      </w:r>
      <w:r w:rsidRPr="00222425" w:rsidR="00222425">
        <w:rPr>
          <w:i w:val="0"/>
          <w:iCs w:val="0"/>
        </w:rPr>
        <w:t>(NZCTU)</w:t>
      </w:r>
    </w:p>
    <w:p w:rsidRPr="005A6637" w:rsidR="005A6637" w:rsidP="00F06E68" w:rsidRDefault="005A6637" w14:paraId="16B25466" w14:textId="27AF866E">
      <w:pPr>
        <w:pStyle w:val="Heading4"/>
      </w:pPr>
      <w:r w:rsidRPr="005A6637">
        <w:t>Industry</w:t>
      </w:r>
    </w:p>
    <w:p w:rsidRPr="005A6637" w:rsidR="005A6637" w:rsidP="005A6637" w:rsidRDefault="00B80D52" w14:paraId="525C7BF6" w14:textId="285A0C71">
      <w:pPr>
        <w:rPr>
          <w:bCs/>
        </w:rPr>
      </w:pPr>
      <w:r>
        <w:rPr>
          <w:bCs/>
        </w:rPr>
        <w:t>Eleven</w:t>
      </w:r>
      <w:r w:rsidRPr="005A6637" w:rsidR="005A6637">
        <w:rPr>
          <w:bCs/>
        </w:rPr>
        <w:t xml:space="preserve"> submitters made comments on how the priority could be strengthened, including putting robust feedback loops in place to ensure the outcomes reflect real labour market performance, increased funding and pastoral care for learners, and recognising different achievement measures, for example, learners moving into meaningful employment. </w:t>
      </w:r>
    </w:p>
    <w:p w:rsidRPr="005A6637" w:rsidR="005A6637" w:rsidP="005A6637" w:rsidRDefault="005A6637" w14:paraId="410C5AF8" w14:textId="0C0AC6FB">
      <w:pPr>
        <w:pStyle w:val="Quote"/>
      </w:pPr>
      <w:r w:rsidRPr="005A6637">
        <w:t>We suggest that the first step to tertiary achievement is not enrolment, rather the transition from schooling to tertiary study. The strategy would benefit from improved focus on the transition from schooling and how to support learners-this is important for underserved communities.</w:t>
      </w:r>
      <w:r w:rsidR="00385E33">
        <w:t xml:space="preserve"> </w:t>
      </w:r>
      <w:r w:rsidRPr="00385E33" w:rsidR="00385E33">
        <w:rPr>
          <w:i w:val="0"/>
          <w:iCs w:val="0"/>
        </w:rPr>
        <w:t>(</w:t>
      </w:r>
      <w:r w:rsidRPr="00385E33" w:rsidR="00385E33">
        <w:rPr>
          <w:bCs/>
          <w:i w:val="0"/>
          <w:iCs w:val="0"/>
        </w:rPr>
        <w:t>Engineering N</w:t>
      </w:r>
      <w:r w:rsidR="00657FEB">
        <w:rPr>
          <w:bCs/>
          <w:i w:val="0"/>
          <w:iCs w:val="0"/>
        </w:rPr>
        <w:t xml:space="preserve">ew </w:t>
      </w:r>
      <w:r w:rsidRPr="00385E33" w:rsidR="00385E33">
        <w:rPr>
          <w:bCs/>
          <w:i w:val="0"/>
          <w:iCs w:val="0"/>
        </w:rPr>
        <w:t>Z</w:t>
      </w:r>
      <w:r w:rsidR="00657FEB">
        <w:rPr>
          <w:bCs/>
          <w:i w:val="0"/>
          <w:iCs w:val="0"/>
        </w:rPr>
        <w:t>ealand</w:t>
      </w:r>
      <w:r w:rsidRPr="00385E33" w:rsidR="00385E33">
        <w:rPr>
          <w:bCs/>
          <w:i w:val="0"/>
          <w:iCs w:val="0"/>
        </w:rPr>
        <w:t>)</w:t>
      </w:r>
    </w:p>
    <w:p w:rsidRPr="005A6637" w:rsidR="005A6637" w:rsidP="00F06E68" w:rsidRDefault="005A6637" w14:paraId="120AA454" w14:textId="4BC56BE7">
      <w:pPr>
        <w:pStyle w:val="Heading4"/>
      </w:pPr>
      <w:r w:rsidRPr="005A6637">
        <w:t xml:space="preserve">Research </w:t>
      </w:r>
      <w:r w:rsidR="006D31D8">
        <w:t>organisations</w:t>
      </w:r>
    </w:p>
    <w:p w:rsidRPr="005A6637" w:rsidR="005A6637" w:rsidP="005A6637" w:rsidRDefault="005A6637" w14:paraId="3D4EE1E3" w14:textId="757CB217">
      <w:pPr>
        <w:rPr>
          <w:bCs/>
        </w:rPr>
      </w:pPr>
      <w:r w:rsidRPr="005A6637">
        <w:rPr>
          <w:bCs/>
        </w:rPr>
        <w:t xml:space="preserve">Three organisations provided comments, with </w:t>
      </w:r>
      <w:r w:rsidR="009141E3">
        <w:rPr>
          <w:bCs/>
        </w:rPr>
        <w:t xml:space="preserve">one </w:t>
      </w:r>
      <w:r w:rsidRPr="005A6637">
        <w:rPr>
          <w:bCs/>
        </w:rPr>
        <w:t xml:space="preserve">suggesting </w:t>
      </w:r>
      <w:r w:rsidR="00643A79">
        <w:rPr>
          <w:bCs/>
        </w:rPr>
        <w:t>greater</w:t>
      </w:r>
      <w:r w:rsidRPr="005A6637">
        <w:rPr>
          <w:bCs/>
        </w:rPr>
        <w:t xml:space="preserve"> recognition of students who start at a disadvantage, </w:t>
      </w:r>
      <w:r w:rsidR="00643A79">
        <w:rPr>
          <w:bCs/>
        </w:rPr>
        <w:t xml:space="preserve">for example by </w:t>
      </w:r>
      <w:r w:rsidR="004D3C3B">
        <w:rPr>
          <w:bCs/>
        </w:rPr>
        <w:t xml:space="preserve">providing these students </w:t>
      </w:r>
      <w:r w:rsidRPr="005A6637">
        <w:rPr>
          <w:bCs/>
        </w:rPr>
        <w:t>with more support</w:t>
      </w:r>
      <w:r w:rsidR="004065BF">
        <w:rPr>
          <w:bCs/>
        </w:rPr>
        <w:t>:</w:t>
      </w:r>
    </w:p>
    <w:p w:rsidRPr="005A6637" w:rsidR="005A6637" w:rsidP="005A6637" w:rsidRDefault="005A6637" w14:paraId="163CA439" w14:textId="3CA4E199">
      <w:pPr>
        <w:pStyle w:val="Quote"/>
      </w:pPr>
      <w:r w:rsidRPr="005A6637">
        <w:t xml:space="preserve">…much more recognition that students who start their studies behind the average level of preparedness, in general because of inequities in secondary-level education, should be provided with more time, resource, and support to cover the larger distance needed </w:t>
      </w:r>
      <w:proofErr w:type="gramStart"/>
      <w:r w:rsidRPr="005A6637">
        <w:t>in order to</w:t>
      </w:r>
      <w:proofErr w:type="gramEnd"/>
      <w:r w:rsidRPr="005A6637">
        <w:t xml:space="preserve"> maximise outcomes and value of tertiary education investment.</w:t>
      </w:r>
      <w:r w:rsidR="009141E3">
        <w:t xml:space="preserve"> </w:t>
      </w:r>
      <w:r w:rsidRPr="009141E3" w:rsidR="009141E3">
        <w:rPr>
          <w:i w:val="0"/>
          <w:iCs w:val="0"/>
        </w:rPr>
        <w:t>(</w:t>
      </w:r>
      <w:r w:rsidRPr="009141E3" w:rsidR="009141E3">
        <w:rPr>
          <w:bCs/>
          <w:i w:val="0"/>
          <w:iCs w:val="0"/>
        </w:rPr>
        <w:t>MacDiarmid Institute)</w:t>
      </w:r>
    </w:p>
    <w:p w:rsidRPr="005A6637" w:rsidR="005A6637" w:rsidP="00F06E68" w:rsidRDefault="005A6637" w14:paraId="2F74E19F" w14:textId="77777777">
      <w:pPr>
        <w:pStyle w:val="Heading3"/>
      </w:pPr>
      <w:bookmarkStart w:name="_Toc211314475" w:id="24"/>
      <w:r w:rsidRPr="005A6637">
        <w:t>Do you have suggestions for additional activities to support this priority?</w:t>
      </w:r>
      <w:bookmarkEnd w:id="24"/>
    </w:p>
    <w:p w:rsidRPr="005A6637" w:rsidR="005A6637" w:rsidP="005A6637" w:rsidRDefault="005A6637" w14:paraId="32004C1B" w14:textId="598E5F10">
      <w:r w:rsidRPr="005A6637">
        <w:t>Thirty-</w:t>
      </w:r>
      <w:r w:rsidR="009C2417">
        <w:t>five</w:t>
      </w:r>
      <w:r w:rsidRPr="005A6637">
        <w:t xml:space="preserve"> submitters </w:t>
      </w:r>
      <w:r w:rsidR="00A3078F">
        <w:t>(</w:t>
      </w:r>
      <w:r w:rsidR="00621336">
        <w:t>16</w:t>
      </w:r>
      <w:r w:rsidR="00F35DAB">
        <w:t xml:space="preserve"> TEOs,</w:t>
      </w:r>
      <w:r w:rsidR="006A00D6">
        <w:t xml:space="preserve"> eleven industry submitters,</w:t>
      </w:r>
      <w:r w:rsidR="00F35DAB">
        <w:t xml:space="preserve"> </w:t>
      </w:r>
      <w:r w:rsidR="00247FFC">
        <w:t xml:space="preserve">four educators/students, </w:t>
      </w:r>
      <w:r w:rsidR="006A00D6">
        <w:t>three research organisations</w:t>
      </w:r>
      <w:r w:rsidR="00810274">
        <w:t>,</w:t>
      </w:r>
      <w:r w:rsidR="006A00D6">
        <w:t xml:space="preserve"> </w:t>
      </w:r>
      <w:r w:rsidR="00AB1003">
        <w:t xml:space="preserve">and </w:t>
      </w:r>
      <w:r w:rsidR="00247FFC">
        <w:t>the TEC Board</w:t>
      </w:r>
      <w:r w:rsidR="00EF4E82">
        <w:t xml:space="preserve">) </w:t>
      </w:r>
      <w:r w:rsidRPr="005A6637">
        <w:t>made suggestions for additional activities that could support this priority.</w:t>
      </w:r>
    </w:p>
    <w:p w:rsidRPr="005A6637" w:rsidR="005A6637" w:rsidP="00F06E68" w:rsidRDefault="006D31D8" w14:paraId="50747C41" w14:textId="12621ED6">
      <w:pPr>
        <w:pStyle w:val="Heading4"/>
      </w:pPr>
      <w:r>
        <w:t>Tertiary Education Organisations</w:t>
      </w:r>
      <w:r w:rsidR="003201A2">
        <w:t xml:space="preserve"> and their representative bodies</w:t>
      </w:r>
    </w:p>
    <w:p w:rsidRPr="005A6637" w:rsidR="005A6637" w:rsidP="005A6637" w:rsidRDefault="00811919" w14:paraId="1FCF984A" w14:textId="3072CAF1">
      <w:r>
        <w:t>Sixteen TEO submitters (f</w:t>
      </w:r>
      <w:r w:rsidRPr="005A6637" w:rsidR="005A6637">
        <w:t>ive universities</w:t>
      </w:r>
      <w:r>
        <w:t xml:space="preserve">, </w:t>
      </w:r>
      <w:r w:rsidRPr="005A6637">
        <w:t xml:space="preserve">four PTEs, four </w:t>
      </w:r>
      <w:proofErr w:type="spellStart"/>
      <w:r w:rsidRPr="005A6637">
        <w:t>Te</w:t>
      </w:r>
      <w:proofErr w:type="spellEnd"/>
      <w:r w:rsidRPr="005A6637">
        <w:t xml:space="preserve"> </w:t>
      </w:r>
      <w:proofErr w:type="spellStart"/>
      <w:r w:rsidRPr="005A6637">
        <w:t>Pūkenga</w:t>
      </w:r>
      <w:proofErr w:type="spellEnd"/>
      <w:r>
        <w:t xml:space="preserve"> divisions</w:t>
      </w:r>
      <w:r w:rsidRPr="005A6637">
        <w:t xml:space="preserve">, two </w:t>
      </w:r>
      <w:r>
        <w:t>tertiary sector entities</w:t>
      </w:r>
      <w:r w:rsidRPr="005A6637">
        <w:t xml:space="preserve"> and one </w:t>
      </w:r>
      <w:r>
        <w:t>w</w:t>
      </w:r>
      <w:r w:rsidRPr="005A6637">
        <w:t>ānanga</w:t>
      </w:r>
      <w:r>
        <w:t>)</w:t>
      </w:r>
      <w:r w:rsidRPr="005A6637" w:rsidR="005A6637">
        <w:t xml:space="preserve"> made suggestions for additional activities</w:t>
      </w:r>
      <w:r w:rsidR="00134816">
        <w:t xml:space="preserve"> for this priority</w:t>
      </w:r>
      <w:r w:rsidRPr="005A6637" w:rsidR="005A6637">
        <w:t>. These included supporting frameworks that look at how students are supported through to postgraduate qualification</w:t>
      </w:r>
      <w:r w:rsidR="00A444F1">
        <w:t>s</w:t>
      </w:r>
      <w:r w:rsidRPr="005A6637" w:rsidR="005A6637">
        <w:t xml:space="preserve"> that develop research skills, and further work on how learner achievement is measured</w:t>
      </w:r>
      <w:r w:rsidR="00014CE3">
        <w:t xml:space="preserve">. </w:t>
      </w:r>
    </w:p>
    <w:p w:rsidRPr="00D12326" w:rsidR="00257632" w:rsidP="004A5362" w:rsidRDefault="005A6637" w14:paraId="32491C4A" w14:textId="57AFFB51">
      <w:pPr>
        <w:pStyle w:val="Quote"/>
      </w:pPr>
      <w:r w:rsidRPr="005A6637">
        <w:t>Continue to evolve how learner achievement is measured, including a better allowance for modern modes of learning, such as micro-credentials, part-time learning, and learning at multiple providers.</w:t>
      </w:r>
      <w:r w:rsidR="00F947A0">
        <w:t xml:space="preserve"> </w:t>
      </w:r>
      <w:r w:rsidRPr="004A5362" w:rsidR="004A5362">
        <w:t>Overseas other incentives are in place to support things like degree apprenticeships.</w:t>
      </w:r>
      <w:r w:rsidR="00F947A0">
        <w:t xml:space="preserve"> </w:t>
      </w:r>
      <w:r w:rsidRPr="00F947A0" w:rsidR="00F947A0">
        <w:rPr>
          <w:i w:val="0"/>
          <w:iCs w:val="0"/>
        </w:rPr>
        <w:t>(University of Canterbury)</w:t>
      </w:r>
    </w:p>
    <w:p w:rsidRPr="005A6637" w:rsidR="005A6637" w:rsidP="005A6637" w:rsidRDefault="00134816" w14:paraId="6A1F5EA7" w14:textId="13825C5E">
      <w:pPr>
        <w:rPr>
          <w:i/>
        </w:rPr>
      </w:pPr>
      <w:r>
        <w:t>Other comments from</w:t>
      </w:r>
      <w:r w:rsidRPr="005A6637" w:rsidR="005A6637">
        <w:t xml:space="preserve"> TEOs </w:t>
      </w:r>
      <w:r>
        <w:t>for</w:t>
      </w:r>
      <w:r w:rsidRPr="005A6637" w:rsidR="005A6637">
        <w:t xml:space="preserve"> additional achievement measures</w:t>
      </w:r>
      <w:r>
        <w:t xml:space="preserve"> </w:t>
      </w:r>
      <w:r w:rsidRPr="005A6637" w:rsidR="005A6637">
        <w:t>focused on ensuring equity and removing barriers for learners</w:t>
      </w:r>
      <w:r w:rsidR="00625301">
        <w:t xml:space="preserve">, as well as </w:t>
      </w:r>
      <w:r w:rsidRPr="005A6637" w:rsidR="005A6637">
        <w:t>targeting investment</w:t>
      </w:r>
      <w:r w:rsidR="00075F75">
        <w:t xml:space="preserve"> by </w:t>
      </w:r>
      <w:r w:rsidRPr="005A6637" w:rsidR="005A6637">
        <w:t xml:space="preserve">funding skills and not just qualifications and acknowledging alternative measures of achievement. Te Wānanga o Aotearoa noted there was a need to </w:t>
      </w:r>
      <w:r w:rsidRPr="005A6637" w:rsidR="005A6637">
        <w:rPr>
          <w:i/>
          <w:iCs/>
        </w:rPr>
        <w:t>“Embed measures of whānau and community outcomes, not only graduate employment.”</w:t>
      </w:r>
    </w:p>
    <w:p w:rsidRPr="005A6637" w:rsidR="005A6637" w:rsidP="005A6637" w:rsidRDefault="005A6637" w14:paraId="507F126B" w14:textId="40959A35">
      <w:r w:rsidRPr="005A6637">
        <w:t>Three</w:t>
      </w:r>
      <w:r w:rsidR="00791901">
        <w:t xml:space="preserve"> submitters mentioned</w:t>
      </w:r>
      <w:r w:rsidRPr="005A6637">
        <w:t xml:space="preserve"> wraparound and pastoral support for learners should be included in the priority and this support would help with learner retention</w:t>
      </w:r>
      <w:r w:rsidR="0009043E">
        <w:t>.</w:t>
      </w:r>
      <w:r w:rsidRPr="005A6637">
        <w:t xml:space="preserve"> </w:t>
      </w:r>
    </w:p>
    <w:p w:rsidRPr="005A6637" w:rsidR="005A6637" w:rsidP="005A6637" w:rsidRDefault="005A6637" w14:paraId="35F28656" w14:textId="30EBC6D5">
      <w:pPr>
        <w:pStyle w:val="Quote"/>
      </w:pPr>
      <w:r w:rsidRPr="005A6637">
        <w:t xml:space="preserve">Support wrap around pastoral care, mentoring, and onboarding programmes to lift retention. This can be achieved partly through </w:t>
      </w:r>
      <w:r w:rsidRPr="005A6637" w:rsidR="00791901">
        <w:t>work-based</w:t>
      </w:r>
      <w:r w:rsidRPr="005A6637">
        <w:t xml:space="preserve"> training or off-job training with those in the food and fibre workforce.</w:t>
      </w:r>
      <w:r w:rsidR="00791901">
        <w:t xml:space="preserve"> </w:t>
      </w:r>
      <w:r w:rsidRPr="00791901" w:rsidR="00791901">
        <w:rPr>
          <w:i w:val="0"/>
          <w:iCs w:val="0"/>
        </w:rPr>
        <w:t>(Fruition)</w:t>
      </w:r>
    </w:p>
    <w:p w:rsidRPr="005A6637" w:rsidR="005A6637" w:rsidP="00F06E68" w:rsidRDefault="005A6637" w14:paraId="34186790" w14:textId="164429E7">
      <w:pPr>
        <w:pStyle w:val="Heading4"/>
      </w:pPr>
      <w:r w:rsidRPr="005A6637">
        <w:t>Educator</w:t>
      </w:r>
      <w:r w:rsidR="00E46079">
        <w:t>s</w:t>
      </w:r>
      <w:r w:rsidRPr="005A6637">
        <w:t>/Student</w:t>
      </w:r>
      <w:r w:rsidR="00E46079">
        <w:t>s</w:t>
      </w:r>
    </w:p>
    <w:p w:rsidRPr="005A6637" w:rsidR="005A6637" w:rsidP="005A6637" w:rsidRDefault="005A6637" w14:paraId="2749BC62" w14:textId="26DD1D5D">
      <w:pPr>
        <w:rPr>
          <w:bCs/>
        </w:rPr>
      </w:pPr>
      <w:r w:rsidRPr="005A6637">
        <w:rPr>
          <w:bCs/>
        </w:rPr>
        <w:t xml:space="preserve">Four </w:t>
      </w:r>
      <w:r w:rsidR="00590C8A">
        <w:rPr>
          <w:bCs/>
        </w:rPr>
        <w:t xml:space="preserve">of these </w:t>
      </w:r>
      <w:r w:rsidRPr="005A6637">
        <w:rPr>
          <w:bCs/>
        </w:rPr>
        <w:t>submitters made comments, with suggestions of increased funding to support equity in accessing education and increasing achievement rates, involving learners in the development of the TES strategy and having student experience being a measurement of achievement</w:t>
      </w:r>
      <w:r w:rsidR="00773938">
        <w:rPr>
          <w:bCs/>
        </w:rPr>
        <w:t>:</w:t>
      </w:r>
      <w:r w:rsidRPr="005A6637">
        <w:rPr>
          <w:bCs/>
        </w:rPr>
        <w:t xml:space="preserve"> </w:t>
      </w:r>
    </w:p>
    <w:p w:rsidRPr="005A6637" w:rsidR="005A6637" w:rsidP="005A6637" w:rsidRDefault="005A6637" w14:paraId="52CCB080" w14:textId="34F86864">
      <w:pPr>
        <w:pStyle w:val="Quote"/>
      </w:pPr>
      <w:r w:rsidRPr="005A6637">
        <w:t xml:space="preserve">Māori, Pacific peoples, learners living with disabilities, and other marginalised students continue to face disproportionately low rates of completion, but these disparities cannot be overcome simply through institutional accountability or performance metrics. </w:t>
      </w:r>
      <w:r w:rsidR="001D7B03">
        <w:t>…</w:t>
      </w:r>
      <w:r w:rsidRPr="005A6637">
        <w:t xml:space="preserve"> This requires a commitment to properly funding students in their learning journey and institutions in providing adequate pastoral and academic support.</w:t>
      </w:r>
      <w:r w:rsidR="000C65A9">
        <w:t xml:space="preserve"> </w:t>
      </w:r>
      <w:r w:rsidRPr="000C65A9" w:rsidR="000C65A9">
        <w:rPr>
          <w:i w:val="0"/>
          <w:iCs w:val="0"/>
        </w:rPr>
        <w:t>(TEU)</w:t>
      </w:r>
    </w:p>
    <w:p w:rsidR="00A1107F" w:rsidP="00A1107F" w:rsidRDefault="00A1107F" w14:paraId="255A2682" w14:textId="77777777">
      <w:pPr>
        <w:pStyle w:val="Heading4"/>
      </w:pPr>
      <w:r>
        <w:t>Other</w:t>
      </w:r>
    </w:p>
    <w:p w:rsidRPr="00D12326" w:rsidR="00A1107F" w:rsidP="00A1107F" w:rsidRDefault="00A1107F" w14:paraId="0E84167B" w14:textId="454D28D1">
      <w:r>
        <w:t>The TEC Board</w:t>
      </w:r>
      <w:r w:rsidR="00F417D4">
        <w:t xml:space="preserve"> </w:t>
      </w:r>
      <w:r w:rsidR="00E3092D">
        <w:t xml:space="preserve">referred </w:t>
      </w:r>
      <w:r w:rsidR="003522A4">
        <w:t xml:space="preserve">to </w:t>
      </w:r>
      <w:r w:rsidR="00E3092D">
        <w:t xml:space="preserve">the difficulties of securing work-based or work-integrated learning in an economy </w:t>
      </w:r>
      <w:r w:rsidR="008761D9">
        <w:t>where</w:t>
      </w:r>
      <w:r w:rsidR="00E3092D">
        <w:t xml:space="preserve"> most businesses </w:t>
      </w:r>
      <w:r w:rsidR="004C2899">
        <w:t xml:space="preserve">have relatively </w:t>
      </w:r>
      <w:r w:rsidR="008761D9">
        <w:t>small numbers of employees</w:t>
      </w:r>
      <w:r w:rsidR="00773938">
        <w:t>:</w:t>
      </w:r>
    </w:p>
    <w:p w:rsidR="00A1107F" w:rsidP="00A1107F" w:rsidRDefault="00A1107F" w14:paraId="4FCA7793" w14:textId="7C5F2A92">
      <w:pPr>
        <w:pStyle w:val="Quote"/>
      </w:pPr>
      <w:r w:rsidRPr="004A5362">
        <w:t>Engaging in work-based and work-integrated learning has substantial benefits for employers but also requires upfront investment of time and resources. This can be prohibitive for many employers, especially in the small to medium enterprises that comprise much of our economy.</w:t>
      </w:r>
    </w:p>
    <w:p w:rsidRPr="005A6637" w:rsidR="005A6637" w:rsidP="00F06E68" w:rsidRDefault="005A6637" w14:paraId="119C017C" w14:textId="0B2CC692">
      <w:pPr>
        <w:pStyle w:val="Heading4"/>
      </w:pPr>
      <w:r w:rsidRPr="005A6637">
        <w:t>Industry</w:t>
      </w:r>
    </w:p>
    <w:p w:rsidRPr="005A6637" w:rsidR="005A6637" w:rsidP="005A6637" w:rsidRDefault="005A6637" w14:paraId="28F1A380" w14:textId="292DE6AB">
      <w:r w:rsidRPr="005A6637">
        <w:t xml:space="preserve">Eleven </w:t>
      </w:r>
      <w:r w:rsidR="004D62BD">
        <w:t xml:space="preserve">industry </w:t>
      </w:r>
      <w:r w:rsidRPr="005A6637">
        <w:t>submitters provided suggestions for additional achievement activities. These included making inclusive achievements strategies, ensuring they are targeting all groups where the need exists, creating flexible and work-integrated learning paths and strengthening regional connections with informal learning pathways</w:t>
      </w:r>
      <w:r w:rsidR="003522A4">
        <w:t>.</w:t>
      </w:r>
    </w:p>
    <w:p w:rsidRPr="005A6637" w:rsidR="005A6637" w:rsidP="005A6637" w:rsidRDefault="00A1460C" w14:paraId="591A3AD8" w14:textId="611B45F0">
      <w:r>
        <w:t>One submitter</w:t>
      </w:r>
      <w:r w:rsidRPr="005A6637" w:rsidR="005A6637">
        <w:t xml:space="preserve"> suggested that employers should be integrated into programme design and delivery and be backed by feedback loops:</w:t>
      </w:r>
    </w:p>
    <w:p w:rsidRPr="005A6637" w:rsidR="005A6637" w:rsidP="005A6637" w:rsidRDefault="005A6637" w14:paraId="5E504609" w14:textId="77777777">
      <w:pPr>
        <w:pStyle w:val="Quote"/>
      </w:pPr>
      <w:proofErr w:type="spellStart"/>
      <w:r w:rsidRPr="005A6637">
        <w:t>BusinessNZ</w:t>
      </w:r>
      <w:proofErr w:type="spellEnd"/>
      <w:r w:rsidRPr="005A6637">
        <w:t xml:space="preserve"> particularly welcomes the commitment to expand work-based learning and integrate employers more directly into programme design and delivery. To ensure this shift is effective, the Strategy must be backed by robust feedback loops from industry into government agencies and the Tertiary Education Commission, so that investment decisions and programme approvals reflect current and emerging skill demands.</w:t>
      </w:r>
    </w:p>
    <w:p w:rsidRPr="005A6637" w:rsidR="005A6637" w:rsidP="00F06E68" w:rsidRDefault="005A6637" w14:paraId="489BB1BE" w14:textId="51CB6295">
      <w:pPr>
        <w:pStyle w:val="Heading4"/>
      </w:pPr>
      <w:r w:rsidRPr="005A6637">
        <w:t xml:space="preserve">Research </w:t>
      </w:r>
      <w:r w:rsidR="006D31D8">
        <w:t>organisations</w:t>
      </w:r>
    </w:p>
    <w:p w:rsidR="005A6637" w:rsidP="005A6637" w:rsidRDefault="005A6637" w14:paraId="17FEA423" w14:textId="126EE134">
      <w:r w:rsidRPr="005A6637">
        <w:t>Three research organisations provided suggestions</w:t>
      </w:r>
      <w:r w:rsidR="003522A4">
        <w:t>. Suggestions</w:t>
      </w:r>
      <w:r w:rsidRPr="005A6637">
        <w:t xml:space="preserve"> included </w:t>
      </w:r>
      <w:r w:rsidR="003522A4">
        <w:t xml:space="preserve">that </w:t>
      </w:r>
      <w:r w:rsidRPr="005A6637">
        <w:t>completion should be considered secondary to progress made, greater use of research organisations outside universities as providers of end-user-based education and upgrading additional peer mentoring and support.</w:t>
      </w:r>
    </w:p>
    <w:p w:rsidR="00D76C43" w:rsidRDefault="00D76C43" w14:paraId="75BFA010" w14:textId="536C7D53">
      <w:r>
        <w:br w:type="page"/>
      </w:r>
    </w:p>
    <w:p w:rsidR="00291506" w:rsidP="00F06E68" w:rsidRDefault="00291506" w14:paraId="48A0FBFD" w14:textId="77777777">
      <w:pPr>
        <w:pStyle w:val="Heading2"/>
      </w:pPr>
      <w:bookmarkStart w:name="_Toc211314476" w:id="25"/>
      <w:bookmarkStart w:name="_Toc211348943" w:id="26"/>
      <w:r>
        <w:t>Economic Impact and Innovation</w:t>
      </w:r>
      <w:bookmarkEnd w:id="25"/>
      <w:bookmarkEnd w:id="26"/>
    </w:p>
    <w:p w:rsidR="00291506" w:rsidP="00291506" w:rsidRDefault="00291506" w14:paraId="62EFFAEA" w14:textId="77777777">
      <w:r>
        <w:t>Submitters were asked the following questions:</w:t>
      </w:r>
    </w:p>
    <w:p w:rsidRPr="00402C1F" w:rsidR="00291506" w:rsidP="0000645D" w:rsidRDefault="00291506" w14:paraId="2B79D354" w14:textId="77777777">
      <w:pPr>
        <w:pStyle w:val="ListParagraph"/>
        <w:numPr>
          <w:ilvl w:val="0"/>
          <w:numId w:val="12"/>
        </w:numPr>
        <w:spacing w:before="240" w:after="240"/>
        <w:jc w:val="both"/>
        <w:rPr>
          <w:i/>
          <w:iCs/>
        </w:rPr>
      </w:pPr>
      <w:r w:rsidRPr="00402C1F">
        <w:rPr>
          <w:i/>
          <w:iCs/>
        </w:rPr>
        <w:t xml:space="preserve">To what extent do you agree that Economic Impact and Innovation should be a priority in the TES? </w:t>
      </w:r>
    </w:p>
    <w:p w:rsidRPr="00402C1F" w:rsidR="00291506" w:rsidP="0000645D" w:rsidRDefault="00291506" w14:paraId="7BACFBB4" w14:textId="77777777">
      <w:pPr>
        <w:pStyle w:val="ListParagraph"/>
        <w:numPr>
          <w:ilvl w:val="0"/>
          <w:numId w:val="12"/>
        </w:numPr>
        <w:spacing w:before="240" w:after="240"/>
        <w:jc w:val="both"/>
        <w:rPr>
          <w:i/>
          <w:iCs/>
        </w:rPr>
      </w:pPr>
      <w:r w:rsidRPr="00402C1F">
        <w:rPr>
          <w:i/>
          <w:iCs/>
        </w:rPr>
        <w:t xml:space="preserve">To what extent will the expected changes and contributing activities effectively achieve the priority? </w:t>
      </w:r>
    </w:p>
    <w:p w:rsidRPr="00627E7E" w:rsidR="00291506" w:rsidP="0000645D" w:rsidRDefault="00291506" w14:paraId="36411F74" w14:textId="77777777">
      <w:pPr>
        <w:pStyle w:val="ListParagraph"/>
        <w:numPr>
          <w:ilvl w:val="0"/>
          <w:numId w:val="12"/>
        </w:numPr>
        <w:spacing w:before="240" w:after="240"/>
        <w:jc w:val="both"/>
      </w:pPr>
      <w:r w:rsidRPr="00402C1F">
        <w:rPr>
          <w:i/>
          <w:iCs/>
        </w:rPr>
        <w:t>Do you have suggestions for additional activities to support this priority?</w:t>
      </w:r>
    </w:p>
    <w:p w:rsidRPr="002F750E" w:rsidR="00291506" w:rsidP="00F06E68" w:rsidRDefault="00291506" w14:paraId="7B6070BD" w14:textId="77777777">
      <w:pPr>
        <w:pStyle w:val="Heading3"/>
      </w:pPr>
      <w:bookmarkStart w:name="_Toc211314477" w:id="27"/>
      <w:r w:rsidRPr="002F750E">
        <w:t>To what extent do you agree that Economic Impact and Innovation should be a priority in the TES?</w:t>
      </w:r>
      <w:bookmarkEnd w:id="27"/>
    </w:p>
    <w:p w:rsidR="005312BE" w:rsidP="005312BE" w:rsidRDefault="005312BE" w14:paraId="08F787F2" w14:textId="0D42478C">
      <w:pPr>
        <w:pStyle w:val="Caption"/>
        <w:keepNext/>
      </w:pPr>
      <w:bookmarkStart w:name="_Hlk210832829" w:id="28"/>
      <w:r>
        <w:t xml:space="preserve">Figure </w:t>
      </w:r>
      <w:r>
        <w:fldChar w:fldCharType="begin"/>
      </w:r>
      <w:r>
        <w:instrText>SEQ Figure \* ARABIC</w:instrText>
      </w:r>
      <w:r>
        <w:fldChar w:fldCharType="separate"/>
      </w:r>
      <w:r w:rsidR="00ED2C25">
        <w:rPr>
          <w:noProof/>
        </w:rPr>
        <w:t>4</w:t>
      </w:r>
      <w:r>
        <w:fldChar w:fldCharType="end"/>
      </w:r>
      <w:r>
        <w:t xml:space="preserve">: </w:t>
      </w:r>
      <w:r w:rsidRPr="008C6292">
        <w:t xml:space="preserve">Support for Economic Impact and Innovation </w:t>
      </w:r>
      <w:r w:rsidR="00CB7A7B">
        <w:t>as</w:t>
      </w:r>
      <w:r w:rsidRPr="008C6292">
        <w:t xml:space="preserve"> a </w:t>
      </w:r>
      <w:r w:rsidR="00094111">
        <w:t>TES priority</w:t>
      </w:r>
    </w:p>
    <w:p w:rsidR="00291506" w:rsidP="00291506" w:rsidRDefault="00070CBB" w14:paraId="40A62F27" w14:textId="1567879E">
      <w:pPr>
        <w:ind w:right="-43"/>
      </w:pPr>
      <w:r>
        <w:rPr>
          <w:noProof/>
        </w:rPr>
        <w:drawing>
          <wp:inline distT="0" distB="0" distL="0" distR="0" wp14:anchorId="3FCA807B" wp14:editId="4F29FB49">
            <wp:extent cx="5940000" cy="2700000"/>
            <wp:effectExtent l="0" t="0" r="3810" b="5715"/>
            <wp:docPr id="1201138390" name="Chart 1">
              <a:extLst xmlns:a="http://schemas.openxmlformats.org/drawingml/2006/main">
                <a:ext uri="{FF2B5EF4-FFF2-40B4-BE49-F238E27FC236}">
                  <a16:creationId xmlns:a16="http://schemas.microsoft.com/office/drawing/2014/main" id="{C8AAE731-0182-FE1E-E28B-D2D44782AF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E2B99" w:rsidP="00F322DC" w:rsidRDefault="00F322DC" w14:paraId="700BE2BA" w14:textId="77777777">
      <w:r>
        <w:t xml:space="preserve">Of the 68 submissions received, 57 submitters made comments relating to the Economic Impact and Innovation priority. </w:t>
      </w:r>
    </w:p>
    <w:p w:rsidR="00291506" w:rsidP="00AD2A5D" w:rsidRDefault="00F322DC" w14:paraId="3AE7B59B" w14:textId="1573DE3A">
      <w:r>
        <w:t>Six submitters suggested alternative wording to the priority.</w:t>
      </w:r>
      <w:r w:rsidR="00EE2B99">
        <w:t xml:space="preserve"> </w:t>
      </w:r>
      <w:r w:rsidR="00291506">
        <w:t>Nineteen</w:t>
      </w:r>
      <w:r w:rsidRPr="001545D5" w:rsidR="00291506">
        <w:t xml:space="preserve"> comments provid</w:t>
      </w:r>
      <w:r w:rsidR="00B700E0">
        <w:t>ed</w:t>
      </w:r>
      <w:r w:rsidRPr="001545D5" w:rsidR="00291506">
        <w:t xml:space="preserve"> general support for the Economic Impact and Innovation priority</w:t>
      </w:r>
      <w:r w:rsidRPr="00D944F7" w:rsidR="00291506">
        <w:t xml:space="preserve">, with submitters commenting they welcome the focus on the economy and commercial research. It was also noted by </w:t>
      </w:r>
      <w:r w:rsidR="00CC2F30">
        <w:t>the University of Canterbury</w:t>
      </w:r>
      <w:r w:rsidRPr="00D944F7" w:rsidR="00291506">
        <w:t xml:space="preserve"> </w:t>
      </w:r>
      <w:r w:rsidR="004F6426">
        <w:t>that</w:t>
      </w:r>
      <w:r w:rsidRPr="00D944F7" w:rsidR="00291506">
        <w:t xml:space="preserve"> this will have a flow on effect for society</w:t>
      </w:r>
      <w:r w:rsidR="00AD2A5D">
        <w:t xml:space="preserve"> </w:t>
      </w:r>
      <w:r w:rsidRPr="005B2F58" w:rsidR="00AD2A5D">
        <w:rPr>
          <w:i/>
          <w:iCs/>
        </w:rPr>
        <w:t>“</w:t>
      </w:r>
      <w:r w:rsidRPr="005B2F58" w:rsidR="005B2F58">
        <w:rPr>
          <w:i/>
          <w:iCs/>
        </w:rPr>
        <w:t>…t</w:t>
      </w:r>
      <w:r w:rsidRPr="005B2F58" w:rsidR="00291506">
        <w:rPr>
          <w:i/>
          <w:iCs/>
        </w:rPr>
        <w:t>his delivers wider societal benefits and lifts the relevance and impact of the system over time.</w:t>
      </w:r>
      <w:r w:rsidRPr="005B2F58" w:rsidR="005B2F58">
        <w:rPr>
          <w:i/>
          <w:iCs/>
        </w:rPr>
        <w:t>”</w:t>
      </w:r>
    </w:p>
    <w:p w:rsidRPr="004A6774" w:rsidR="00F06E68" w:rsidP="004A6774" w:rsidRDefault="00337C1B" w14:paraId="3D0854C9" w14:textId="2ECCED1B">
      <w:pPr>
        <w:rPr>
          <w:i/>
          <w:iCs/>
        </w:rPr>
      </w:pPr>
      <w:r>
        <w:t>Three</w:t>
      </w:r>
      <w:r w:rsidR="00F06E68">
        <w:t xml:space="preserve"> suggestions for rewording included defining the achievement more broadly to include more than economic impact, for example, the knowledge, social and cultural impact to balance out the objectives.</w:t>
      </w:r>
    </w:p>
    <w:p w:rsidRPr="00467411" w:rsidR="00012CE1" w:rsidP="00012CE1" w:rsidRDefault="00012CE1" w14:paraId="43BF0F2C" w14:textId="77777777">
      <w:pPr>
        <w:pStyle w:val="Heading4"/>
      </w:pPr>
      <w:r>
        <w:t xml:space="preserve">Tertiary Education Organisations and their </w:t>
      </w:r>
      <w:r w:rsidRPr="00012CE1">
        <w:t>representative bodies</w:t>
      </w:r>
    </w:p>
    <w:p w:rsidR="00291506" w:rsidP="00291506" w:rsidRDefault="005D3F29" w14:paraId="2E889AE8" w14:textId="391C28C2">
      <w:pPr>
        <w:ind w:right="-43"/>
      </w:pPr>
      <w:r>
        <w:t>Twenty-one TEO submitters (s</w:t>
      </w:r>
      <w:r w:rsidR="00291506">
        <w:t>even</w:t>
      </w:r>
      <w:r w:rsidRPr="000C3EEB" w:rsidR="00291506">
        <w:t xml:space="preserve"> universities</w:t>
      </w:r>
      <w:r>
        <w:t>,</w:t>
      </w:r>
      <w:r w:rsidRPr="005D3F29">
        <w:t xml:space="preserve"> </w:t>
      </w:r>
      <w:r>
        <w:t xml:space="preserve">six </w:t>
      </w:r>
      <w:proofErr w:type="spellStart"/>
      <w:r w:rsidRPr="00D331DF">
        <w:t>Te</w:t>
      </w:r>
      <w:proofErr w:type="spellEnd"/>
      <w:r w:rsidRPr="00D331DF">
        <w:t xml:space="preserve"> </w:t>
      </w:r>
      <w:proofErr w:type="spellStart"/>
      <w:r w:rsidRPr="00D331DF">
        <w:t>Pūkenga</w:t>
      </w:r>
      <w:proofErr w:type="spellEnd"/>
      <w:r w:rsidRPr="00D331DF">
        <w:t xml:space="preserve"> divisions</w:t>
      </w:r>
      <w:r>
        <w:t>, five</w:t>
      </w:r>
      <w:r w:rsidRPr="00D331DF">
        <w:t xml:space="preserve"> PTEs</w:t>
      </w:r>
      <w:r>
        <w:t>,</w:t>
      </w:r>
      <w:r w:rsidRPr="00D331DF">
        <w:t xml:space="preserve"> </w:t>
      </w:r>
      <w:r>
        <w:t>two tertiary sector entities</w:t>
      </w:r>
      <w:r w:rsidR="00974ED5">
        <w:t>,</w:t>
      </w:r>
      <w:r>
        <w:t xml:space="preserve"> and one w</w:t>
      </w:r>
      <w:r w:rsidRPr="008507A3">
        <w:t>ānanga</w:t>
      </w:r>
      <w:r w:rsidR="00974ED5">
        <w:t>)</w:t>
      </w:r>
      <w:r w:rsidRPr="000C3EEB" w:rsidR="00291506">
        <w:t xml:space="preserve"> provided comments on this question </w:t>
      </w:r>
      <w:r w:rsidR="00291506">
        <w:t xml:space="preserve">generally supporting the priority. Suggestions were made that the Strategy should explicitly treat </w:t>
      </w:r>
      <w:r w:rsidRPr="0072347C" w:rsidR="00291506">
        <w:t>research as a strategic, long-</w:t>
      </w:r>
      <w:r w:rsidR="00291506">
        <w:t>term</w:t>
      </w:r>
      <w:r w:rsidRPr="0072347C" w:rsidR="00291506">
        <w:t xml:space="preserve"> investment, not just an immediate revenue generato</w:t>
      </w:r>
      <w:r w:rsidR="00291506">
        <w:t>r and rais</w:t>
      </w:r>
      <w:r w:rsidR="00651C49">
        <w:t>e</w:t>
      </w:r>
      <w:r w:rsidR="00291506">
        <w:t xml:space="preserve"> the importance of knowledge transfer. </w:t>
      </w:r>
      <w:r w:rsidR="00C15760">
        <w:t xml:space="preserve">One submitter </w:t>
      </w:r>
      <w:r w:rsidR="00291506">
        <w:t xml:space="preserve">noted there </w:t>
      </w:r>
      <w:r w:rsidR="00376357">
        <w:t>is</w:t>
      </w:r>
      <w:r w:rsidR="00291506">
        <w:t xml:space="preserve"> a need to balance economic priorities with social and environmental impact:</w:t>
      </w:r>
    </w:p>
    <w:p w:rsidRPr="00C15760" w:rsidR="00291506" w:rsidP="000451F5" w:rsidRDefault="00291506" w14:paraId="49AB919E" w14:textId="1E1FAD6C">
      <w:pPr>
        <w:pStyle w:val="Quote"/>
        <w:rPr>
          <w:i w:val="0"/>
          <w:iCs w:val="0"/>
        </w:rPr>
      </w:pPr>
      <w:r w:rsidRPr="00735E69">
        <w:t>An approach that supported the aims of the TES would value social and environmental impact alongside the economic.</w:t>
      </w:r>
      <w:r w:rsidR="00C15760">
        <w:t xml:space="preserve"> </w:t>
      </w:r>
      <w:r w:rsidR="00C15760">
        <w:rPr>
          <w:i w:val="0"/>
          <w:iCs w:val="0"/>
        </w:rPr>
        <w:t>(AUT)</w:t>
      </w:r>
    </w:p>
    <w:p w:rsidR="00291506" w:rsidP="00291506" w:rsidRDefault="00907418" w14:paraId="4EA28843" w14:textId="0027A7D3">
      <w:pPr>
        <w:ind w:right="-43"/>
      </w:pPr>
      <w:r>
        <w:t xml:space="preserve">Other </w:t>
      </w:r>
      <w:r w:rsidRPr="00D331DF" w:rsidR="00291506">
        <w:t xml:space="preserve">TEO </w:t>
      </w:r>
      <w:r>
        <w:t>c</w:t>
      </w:r>
      <w:r w:rsidR="00291506">
        <w:t xml:space="preserve">omments </w:t>
      </w:r>
      <w:r w:rsidR="006A79A9">
        <w:t>noted</w:t>
      </w:r>
      <w:r w:rsidR="00291506">
        <w:t xml:space="preserve"> access for underserved communities should be a focus, as well as </w:t>
      </w:r>
      <w:r w:rsidR="004E29CD">
        <w:t xml:space="preserve">suggestions for </w:t>
      </w:r>
      <w:r w:rsidR="00291506">
        <w:t xml:space="preserve">redefining the measures/indicators for monitoring the priority. </w:t>
      </w:r>
      <w:r w:rsidR="005D4B7B">
        <w:t xml:space="preserve">Two submitters provided </w:t>
      </w:r>
      <w:r w:rsidR="00BF7ED9">
        <w:t>different</w:t>
      </w:r>
      <w:r w:rsidR="00196B5D">
        <w:t xml:space="preserve"> perspectives</w:t>
      </w:r>
      <w:r w:rsidR="003C1C1A">
        <w:t>:</w:t>
      </w:r>
    </w:p>
    <w:p w:rsidRPr="008247E7" w:rsidR="00291506" w:rsidP="000451F5" w:rsidRDefault="00291506" w14:paraId="4C524463" w14:textId="4EF478E2">
      <w:pPr>
        <w:pStyle w:val="Quote"/>
        <w:rPr>
          <w:i w:val="0"/>
          <w:iCs w:val="0"/>
        </w:rPr>
      </w:pPr>
      <w:r w:rsidRPr="009066C7">
        <w:t xml:space="preserve">However, “innovation” should include: </w:t>
      </w:r>
      <w:proofErr w:type="spellStart"/>
      <w:r w:rsidRPr="009066C7">
        <w:t>Mātauranga</w:t>
      </w:r>
      <w:proofErr w:type="spellEnd"/>
      <w:r w:rsidRPr="009066C7">
        <w:t>-based solutions for climate, sustainability, and cultural revitalisation. Exportable wellbeing models such as Tau Ora, contributing to productivity and DEI/ESG agendas. Indigenous-led international programmes that support the $6B export education target and global partnerships.</w:t>
      </w:r>
      <w:r w:rsidR="008247E7">
        <w:t xml:space="preserve"> </w:t>
      </w:r>
      <w:r w:rsidRPr="008247E7" w:rsidR="008247E7">
        <w:rPr>
          <w:i w:val="0"/>
          <w:iCs w:val="0"/>
        </w:rPr>
        <w:t>(Te Wānanga o Aotearoa)</w:t>
      </w:r>
    </w:p>
    <w:p w:rsidRPr="00BE79E3" w:rsidR="00291506" w:rsidP="000451F5" w:rsidRDefault="00C6322F" w14:paraId="74674E5C" w14:textId="20FB46AF">
      <w:pPr>
        <w:pStyle w:val="Quote"/>
      </w:pPr>
      <w:r>
        <w:t>...</w:t>
      </w:r>
      <w:r w:rsidRPr="00BE79E3" w:rsidR="00853B3F">
        <w:t>we</w:t>
      </w:r>
      <w:r w:rsidRPr="00BE79E3" w:rsidR="00291506">
        <w:t xml:space="preserve"> acknowledge the need for providers to respond to the changing needs of industry, but proliferation should not come at the expense of quality and sustainability. Our sectors will be better served with a smaller number knowledgeable, reputable, responsive providers focussed on high quality learner support and learner achievement, and operating sustainably</w:t>
      </w:r>
      <w:r w:rsidR="008247E7">
        <w:t xml:space="preserve">. </w:t>
      </w:r>
      <w:r w:rsidRPr="008247E7" w:rsidR="008247E7">
        <w:rPr>
          <w:i w:val="0"/>
          <w:iCs w:val="0"/>
        </w:rPr>
        <w:t>(</w:t>
      </w:r>
      <w:proofErr w:type="spellStart"/>
      <w:r w:rsidRPr="008247E7" w:rsidR="008247E7">
        <w:rPr>
          <w:i w:val="0"/>
          <w:iCs w:val="0"/>
        </w:rPr>
        <w:t>Competenz</w:t>
      </w:r>
      <w:proofErr w:type="spellEnd"/>
      <w:r w:rsidRPr="008247E7" w:rsidR="008247E7">
        <w:rPr>
          <w:i w:val="0"/>
          <w:iCs w:val="0"/>
        </w:rPr>
        <w:t>)</w:t>
      </w:r>
    </w:p>
    <w:p w:rsidRPr="0033793D" w:rsidR="00291506" w:rsidP="00F06E68" w:rsidRDefault="00291506" w14:paraId="3A361369" w14:textId="77777777">
      <w:pPr>
        <w:pStyle w:val="Heading4"/>
      </w:pPr>
      <w:r w:rsidRPr="0033793D">
        <w:t>Educator/Student Voice</w:t>
      </w:r>
    </w:p>
    <w:p w:rsidR="00291506" w:rsidP="00291506" w:rsidRDefault="00291506" w14:paraId="479383E0" w14:textId="418ABC3F">
      <w:pPr>
        <w:ind w:right="-43"/>
        <w:rPr>
          <w:bCs/>
        </w:rPr>
      </w:pPr>
      <w:r>
        <w:rPr>
          <w:bCs/>
        </w:rPr>
        <w:t>Six</w:t>
      </w:r>
      <w:r w:rsidRPr="00D17F0A">
        <w:rPr>
          <w:bCs/>
        </w:rPr>
        <w:t xml:space="preserve"> </w:t>
      </w:r>
      <w:r>
        <w:rPr>
          <w:bCs/>
        </w:rPr>
        <w:t>submitters</w:t>
      </w:r>
      <w:r w:rsidRPr="00D17F0A">
        <w:rPr>
          <w:bCs/>
        </w:rPr>
        <w:t xml:space="preserve"> </w:t>
      </w:r>
      <w:r>
        <w:rPr>
          <w:bCs/>
        </w:rPr>
        <w:t xml:space="preserve">commented on the priority, with one submitter stating they support initiatives to lift </w:t>
      </w:r>
      <w:r w:rsidR="00893261">
        <w:rPr>
          <w:bCs/>
        </w:rPr>
        <w:t>research and development</w:t>
      </w:r>
      <w:r>
        <w:rPr>
          <w:bCs/>
        </w:rPr>
        <w:t xml:space="preserve"> in New Zealand. Two submitters commented on the need to b</w:t>
      </w:r>
      <w:r w:rsidRPr="00D5471E">
        <w:rPr>
          <w:bCs/>
        </w:rPr>
        <w:t xml:space="preserve">alance economic objectives with </w:t>
      </w:r>
      <w:r>
        <w:rPr>
          <w:bCs/>
        </w:rPr>
        <w:t>social, cultural and environmental innovation.</w:t>
      </w:r>
    </w:p>
    <w:p w:rsidR="004B4658" w:rsidP="00291506" w:rsidRDefault="00893261" w14:paraId="4CC342FA" w14:textId="21D94B20">
      <w:pPr>
        <w:ind w:right="-43"/>
        <w:rPr>
          <w:bCs/>
        </w:rPr>
      </w:pPr>
      <w:r>
        <w:rPr>
          <w:bCs/>
        </w:rPr>
        <w:t>One student association</w:t>
      </w:r>
      <w:r w:rsidR="004C4D66">
        <w:rPr>
          <w:bCs/>
        </w:rPr>
        <w:t xml:space="preserve"> identified </w:t>
      </w:r>
      <w:r w:rsidR="00FD7796">
        <w:rPr>
          <w:bCs/>
        </w:rPr>
        <w:t>Artificial Intelligence (</w:t>
      </w:r>
      <w:r w:rsidR="004C4D66">
        <w:rPr>
          <w:bCs/>
        </w:rPr>
        <w:t>AI</w:t>
      </w:r>
      <w:r w:rsidR="00FD7796">
        <w:rPr>
          <w:bCs/>
        </w:rPr>
        <w:t>)</w:t>
      </w:r>
      <w:r w:rsidR="004C4D66">
        <w:rPr>
          <w:bCs/>
        </w:rPr>
        <w:t xml:space="preserve"> as a particular </w:t>
      </w:r>
      <w:r w:rsidR="004B4658">
        <w:rPr>
          <w:bCs/>
        </w:rPr>
        <w:t>consideration for this priority</w:t>
      </w:r>
      <w:r w:rsidR="006D1321">
        <w:rPr>
          <w:bCs/>
        </w:rPr>
        <w:t>:</w:t>
      </w:r>
      <w:r w:rsidR="00291506">
        <w:rPr>
          <w:bCs/>
        </w:rPr>
        <w:t xml:space="preserve"> </w:t>
      </w:r>
    </w:p>
    <w:p w:rsidRPr="00D5471E" w:rsidR="00291506" w:rsidP="004B4658" w:rsidRDefault="00291506" w14:paraId="01371553" w14:textId="1069917F">
      <w:pPr>
        <w:pStyle w:val="Quote"/>
      </w:pPr>
      <w:r w:rsidRPr="00FC6691">
        <w:t xml:space="preserve">More on focus should be on innovation in the wake of AI as we </w:t>
      </w:r>
      <w:proofErr w:type="gramStart"/>
      <w:r w:rsidRPr="00FC6691">
        <w:t>have to</w:t>
      </w:r>
      <w:proofErr w:type="gramEnd"/>
      <w:r w:rsidRPr="00FC6691">
        <w:t xml:space="preserve"> look at how AI impacts validity of tertiary education qualifications</w:t>
      </w:r>
      <w:r>
        <w:t>.</w:t>
      </w:r>
    </w:p>
    <w:p w:rsidRPr="00335235" w:rsidR="00291506" w:rsidP="00F06E68" w:rsidRDefault="00291506" w14:paraId="3939C8AD" w14:textId="167D9214">
      <w:pPr>
        <w:pStyle w:val="Heading4"/>
      </w:pPr>
      <w:r w:rsidRPr="0033793D">
        <w:t>Industry</w:t>
      </w:r>
      <w:r w:rsidRPr="00335235">
        <w:t xml:space="preserve"> </w:t>
      </w:r>
    </w:p>
    <w:p w:rsidR="00291506" w:rsidP="00291506" w:rsidRDefault="00291506" w14:paraId="78D45F2D" w14:textId="3A31F1C8">
      <w:pPr>
        <w:ind w:right="-43"/>
      </w:pPr>
      <w:r>
        <w:t xml:space="preserve">Twelve submitters commented they supported the priority stating they welcomed graduates having job-ready skills and the emphasis on research. Four submitters commented that many groups contribute to innovation and impact. </w:t>
      </w:r>
    </w:p>
    <w:p w:rsidRPr="00314808" w:rsidR="00291506" w:rsidP="000451F5" w:rsidRDefault="00291506" w14:paraId="06542DD9" w14:textId="04163E79">
      <w:pPr>
        <w:pStyle w:val="Quote"/>
      </w:pPr>
      <w:r w:rsidRPr="00314808">
        <w:t xml:space="preserve">It is important to note that some of this innovation and impact emerges in diverse workspaces - often in entrepreneurial areas of work and in those situations driven by portfolio work. </w:t>
      </w:r>
      <w:r w:rsidRPr="002F268C" w:rsidR="002F268C">
        <w:rPr>
          <w:i w:val="0"/>
          <w:iCs w:val="0"/>
        </w:rPr>
        <w:t>(Creative Waikato)</w:t>
      </w:r>
    </w:p>
    <w:p w:rsidRPr="00CA3C6E" w:rsidR="00291506" w:rsidP="00F06E68" w:rsidRDefault="00291506" w14:paraId="666F91E8" w14:textId="0872645A">
      <w:pPr>
        <w:pStyle w:val="Heading4"/>
      </w:pPr>
      <w:r w:rsidRPr="0033793D">
        <w:t>Research</w:t>
      </w:r>
      <w:r w:rsidRPr="00CA3C6E">
        <w:t xml:space="preserve"> </w:t>
      </w:r>
      <w:r w:rsidR="00DD52DD">
        <w:t>org</w:t>
      </w:r>
      <w:r w:rsidR="00403E5C">
        <w:t>a</w:t>
      </w:r>
      <w:r w:rsidR="00DD52DD">
        <w:t>nisations</w:t>
      </w:r>
    </w:p>
    <w:p w:rsidR="00291506" w:rsidP="00291506" w:rsidRDefault="00291506" w14:paraId="613D5456" w14:textId="601947BD">
      <w:r>
        <w:t>Four</w:t>
      </w:r>
      <w:r w:rsidRPr="00CA3C6E">
        <w:t xml:space="preserve"> submitters supported the priority, with one submitter noting </w:t>
      </w:r>
      <w:r>
        <w:t xml:space="preserve">it </w:t>
      </w:r>
      <w:r w:rsidR="007E16BE">
        <w:t>is</w:t>
      </w:r>
      <w:r>
        <w:t xml:space="preserve"> important that the focus on economic outcomes does not come at the expense of our existing institutions and expertise. </w:t>
      </w:r>
    </w:p>
    <w:p w:rsidRPr="005B2F58" w:rsidR="00291506" w:rsidP="000451F5" w:rsidRDefault="00291506" w14:paraId="08D94608" w14:textId="1269EC87">
      <w:pPr>
        <w:pStyle w:val="Quote"/>
        <w:rPr>
          <w:i w:val="0"/>
          <w:iCs w:val="0"/>
        </w:rPr>
      </w:pPr>
      <w:r w:rsidRPr="00D43106">
        <w:t>The issue is implementation and assessment of success. Industry engagement by tertiary providers is key to responding to labour market signals, but also to developing and growing ecosystems in new disciplines, especially advanced technologies.</w:t>
      </w:r>
      <w:r w:rsidR="005B2F58">
        <w:t xml:space="preserve"> </w:t>
      </w:r>
      <w:r w:rsidR="005B2F58">
        <w:rPr>
          <w:i w:val="0"/>
          <w:iCs w:val="0"/>
        </w:rPr>
        <w:t>(</w:t>
      </w:r>
      <w:proofErr w:type="spellStart"/>
      <w:r w:rsidRPr="005B2F58" w:rsidR="005B2F58">
        <w:rPr>
          <w:i w:val="0"/>
          <w:iCs w:val="0"/>
        </w:rPr>
        <w:t>Te</w:t>
      </w:r>
      <w:proofErr w:type="spellEnd"/>
      <w:r w:rsidRPr="005B2F58" w:rsidR="005B2F58">
        <w:rPr>
          <w:i w:val="0"/>
          <w:iCs w:val="0"/>
        </w:rPr>
        <w:t xml:space="preserve"> </w:t>
      </w:r>
      <w:proofErr w:type="spellStart"/>
      <w:r w:rsidRPr="005B2F58" w:rsidR="005B2F58">
        <w:rPr>
          <w:i w:val="0"/>
          <w:iCs w:val="0"/>
        </w:rPr>
        <w:t>Whai</w:t>
      </w:r>
      <w:proofErr w:type="spellEnd"/>
      <w:r w:rsidRPr="005B2F58" w:rsidR="005B2F58">
        <w:rPr>
          <w:i w:val="0"/>
          <w:iCs w:val="0"/>
        </w:rPr>
        <w:t xml:space="preserve"> Ao)</w:t>
      </w:r>
    </w:p>
    <w:p w:rsidR="00291506" w:rsidP="00F06E68" w:rsidRDefault="00291506" w14:paraId="6062940D" w14:textId="3501C12F">
      <w:pPr>
        <w:pStyle w:val="Heading3"/>
      </w:pPr>
      <w:bookmarkStart w:name="_Toc211314478" w:id="29"/>
      <w:bookmarkEnd w:id="28"/>
      <w:r w:rsidRPr="00961C22">
        <w:t>To what extent will the expected changes and contributing activities effectively achieve the priority?</w:t>
      </w:r>
      <w:bookmarkEnd w:id="29"/>
      <w:r w:rsidRPr="00961C22">
        <w:t xml:space="preserve"> </w:t>
      </w:r>
    </w:p>
    <w:p w:rsidR="005312BE" w:rsidP="005312BE" w:rsidRDefault="005312BE" w14:paraId="35636715" w14:textId="57FC5061">
      <w:pPr>
        <w:pStyle w:val="Caption"/>
        <w:keepNext/>
      </w:pPr>
      <w:r>
        <w:t xml:space="preserve">Figure </w:t>
      </w:r>
      <w:r>
        <w:fldChar w:fldCharType="begin"/>
      </w:r>
      <w:r>
        <w:instrText>SEQ Figure \* ARABIC</w:instrText>
      </w:r>
      <w:r>
        <w:fldChar w:fldCharType="separate"/>
      </w:r>
      <w:r w:rsidR="00ED2C25">
        <w:rPr>
          <w:noProof/>
        </w:rPr>
        <w:t>5</w:t>
      </w:r>
      <w:r>
        <w:fldChar w:fldCharType="end"/>
      </w:r>
      <w:r>
        <w:t xml:space="preserve">: </w:t>
      </w:r>
      <w:r w:rsidRPr="00137B3A">
        <w:t>Will the activities support achievement of this priority?</w:t>
      </w:r>
    </w:p>
    <w:p w:rsidRPr="00BF1094" w:rsidR="00291506" w:rsidP="00291506" w:rsidRDefault="001630E7" w14:paraId="40D6A94A" w14:textId="1ADEC163">
      <w:pPr>
        <w:rPr>
          <w:b/>
          <w:bCs/>
          <w:highlight w:val="yellow"/>
        </w:rPr>
      </w:pPr>
      <w:r>
        <w:rPr>
          <w:noProof/>
        </w:rPr>
        <w:drawing>
          <wp:inline distT="0" distB="0" distL="0" distR="0" wp14:anchorId="6EADBD5E" wp14:editId="2F8EC007">
            <wp:extent cx="5940000" cy="1980000"/>
            <wp:effectExtent l="0" t="0" r="3810" b="1270"/>
            <wp:docPr id="1020476272" name="Chart 1">
              <a:extLst xmlns:a="http://schemas.openxmlformats.org/drawingml/2006/main">
                <a:ext uri="{FF2B5EF4-FFF2-40B4-BE49-F238E27FC236}">
                  <a16:creationId xmlns:a16="http://schemas.microsoft.com/office/drawing/2014/main" id="{9B555176-4053-81AC-4F89-BBA045BBBF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2776D0" w:rsidR="00291506" w:rsidP="00291506" w:rsidRDefault="00291506" w14:paraId="06294B50" w14:textId="7A0C9CB9">
      <w:r w:rsidRPr="002776D0">
        <w:t>Thirty-</w:t>
      </w:r>
      <w:r w:rsidR="008B73B0">
        <w:t>six</w:t>
      </w:r>
      <w:r w:rsidRPr="002776D0">
        <w:t xml:space="preserve"> submitters </w:t>
      </w:r>
      <w:r w:rsidR="00305C37">
        <w:t>(</w:t>
      </w:r>
      <w:r w:rsidR="00403E5C">
        <w:t>18</w:t>
      </w:r>
      <w:r w:rsidR="00305C37">
        <w:t xml:space="preserve"> TEOs, </w:t>
      </w:r>
      <w:r w:rsidR="00BC1634">
        <w:t>nine industry</w:t>
      </w:r>
      <w:r w:rsidR="007156A0">
        <w:t xml:space="preserve">, </w:t>
      </w:r>
      <w:r w:rsidR="00305C37">
        <w:t xml:space="preserve">five educators/students, </w:t>
      </w:r>
      <w:r w:rsidR="007156A0">
        <w:t xml:space="preserve">three research organisations, and </w:t>
      </w:r>
      <w:r w:rsidR="008E4323">
        <w:t>the TEC Board</w:t>
      </w:r>
      <w:r w:rsidR="007156A0">
        <w:t>)</w:t>
      </w:r>
      <w:r w:rsidR="008E4323">
        <w:t xml:space="preserve"> </w:t>
      </w:r>
      <w:r w:rsidRPr="002776D0">
        <w:t>commented on whether the expected changes and activities were enough the achieve the priority.</w:t>
      </w:r>
    </w:p>
    <w:p w:rsidRPr="00467411" w:rsidR="00012CE1" w:rsidP="00012CE1" w:rsidRDefault="00012CE1" w14:paraId="62115566" w14:textId="77777777">
      <w:pPr>
        <w:pStyle w:val="Heading4"/>
      </w:pPr>
      <w:r>
        <w:t xml:space="preserve">Tertiary Education Organisations and their </w:t>
      </w:r>
      <w:r w:rsidRPr="00012CE1">
        <w:t>representative bodies</w:t>
      </w:r>
    </w:p>
    <w:p w:rsidR="00291506" w:rsidP="00291506" w:rsidRDefault="006B0144" w14:paraId="625DF153" w14:textId="032D1935">
      <w:pPr>
        <w:ind w:right="98"/>
        <w:rPr>
          <w:bCs/>
        </w:rPr>
      </w:pPr>
      <w:r>
        <w:rPr>
          <w:bCs/>
        </w:rPr>
        <w:t>Eighteen TEOs (e</w:t>
      </w:r>
      <w:r w:rsidR="00291506">
        <w:rPr>
          <w:bCs/>
        </w:rPr>
        <w:t>ight</w:t>
      </w:r>
      <w:r w:rsidRPr="00943560" w:rsidR="00291506">
        <w:rPr>
          <w:bCs/>
        </w:rPr>
        <w:t xml:space="preserve"> universities</w:t>
      </w:r>
      <w:r>
        <w:rPr>
          <w:bCs/>
        </w:rPr>
        <w:t xml:space="preserve">, </w:t>
      </w:r>
      <w:r>
        <w:t>four</w:t>
      </w:r>
      <w:r w:rsidRPr="00617AE1">
        <w:t xml:space="preserve"> </w:t>
      </w:r>
      <w:proofErr w:type="spellStart"/>
      <w:r w:rsidRPr="00617AE1">
        <w:t>Te</w:t>
      </w:r>
      <w:proofErr w:type="spellEnd"/>
      <w:r w:rsidRPr="00617AE1">
        <w:t xml:space="preserve"> </w:t>
      </w:r>
      <w:proofErr w:type="spellStart"/>
      <w:r w:rsidRPr="00617AE1">
        <w:t>Pūkenga</w:t>
      </w:r>
      <w:proofErr w:type="spellEnd"/>
      <w:r w:rsidRPr="00617AE1">
        <w:t xml:space="preserve"> divisions, four </w:t>
      </w:r>
      <w:r>
        <w:t>tertiary sector entities, and</w:t>
      </w:r>
      <w:r w:rsidRPr="00617AE1">
        <w:t xml:space="preserve"> </w:t>
      </w:r>
      <w:r>
        <w:t>two</w:t>
      </w:r>
      <w:r w:rsidRPr="00617AE1">
        <w:t xml:space="preserve"> PTEs</w:t>
      </w:r>
      <w:r>
        <w:t>)</w:t>
      </w:r>
      <w:r w:rsidRPr="00943560" w:rsidR="00291506">
        <w:rPr>
          <w:bCs/>
        </w:rPr>
        <w:t xml:space="preserve"> provided comments on this question with </w:t>
      </w:r>
      <w:r w:rsidR="00291506">
        <w:rPr>
          <w:bCs/>
        </w:rPr>
        <w:t>five submitters noting the focus on research and the need to develop a nuanced approach</w:t>
      </w:r>
      <w:r w:rsidR="00923790">
        <w:rPr>
          <w:bCs/>
        </w:rPr>
        <w:t xml:space="preserve"> to the relationship between research and commercialisation</w:t>
      </w:r>
      <w:r w:rsidR="00291506">
        <w:rPr>
          <w:bCs/>
        </w:rPr>
        <w:t xml:space="preserve">. </w:t>
      </w:r>
    </w:p>
    <w:p w:rsidR="00291506" w:rsidP="000451F5" w:rsidRDefault="00291506" w14:paraId="48FFE42E" w14:textId="3E759EDC">
      <w:pPr>
        <w:pStyle w:val="Quote"/>
      </w:pPr>
      <w:r w:rsidRPr="00AE0B6D">
        <w:t xml:space="preserve">We also think that the prioritisation of commercialisation within the strategy is disproportionate. Much of the research conducted for public benefit is not inherently </w:t>
      </w:r>
      <w:proofErr w:type="spellStart"/>
      <w:r w:rsidRPr="00AE0B6D">
        <w:t>commercialisable</w:t>
      </w:r>
      <w:proofErr w:type="spellEnd"/>
      <w:r w:rsidRPr="00AE0B6D">
        <w:t>, nor should it be narrowly evaluated through an economic lens</w:t>
      </w:r>
      <w:r>
        <w:t>.</w:t>
      </w:r>
      <w:r w:rsidR="00923790">
        <w:t xml:space="preserve"> </w:t>
      </w:r>
      <w:r w:rsidRPr="00923790" w:rsidR="00923790">
        <w:rPr>
          <w:i w:val="0"/>
          <w:iCs w:val="0"/>
        </w:rPr>
        <w:t>(</w:t>
      </w:r>
      <w:r w:rsidRPr="00923790" w:rsidR="00923790">
        <w:rPr>
          <w:bCs/>
          <w:i w:val="0"/>
          <w:iCs w:val="0"/>
        </w:rPr>
        <w:t>Universities NZ)</w:t>
      </w:r>
    </w:p>
    <w:p w:rsidRPr="007E3A0C" w:rsidR="00291506" w:rsidP="00291506" w:rsidRDefault="00291506" w14:paraId="3658AD10" w14:textId="47389442">
      <w:pPr>
        <w:pStyle w:val="Quote"/>
      </w:pPr>
      <w:r w:rsidRPr="007E3A0C">
        <w:t>The emphasis on commercialisation and productivity undervalues Pacific innovation, which often addresses health, social resilience, cultural revitalisation, and sustainability.</w:t>
      </w:r>
      <w:r w:rsidR="00923790">
        <w:t xml:space="preserve"> </w:t>
      </w:r>
      <w:r w:rsidRPr="00923790" w:rsidR="00923790">
        <w:rPr>
          <w:i w:val="0"/>
          <w:iCs w:val="0"/>
        </w:rPr>
        <w:t>(</w:t>
      </w:r>
      <w:r w:rsidRPr="00923790" w:rsidR="00923790">
        <w:rPr>
          <w:bCs/>
          <w:i w:val="0"/>
          <w:iCs w:val="0"/>
        </w:rPr>
        <w:t>Komiti Pasifika)</w:t>
      </w:r>
    </w:p>
    <w:p w:rsidR="00291506" w:rsidP="00291506" w:rsidRDefault="00291506" w14:paraId="390A85B1" w14:textId="02E7E5B1">
      <w:r>
        <w:t xml:space="preserve">Two submitters noted there is a need for funding reform to better support the proposed approach, </w:t>
      </w:r>
      <w:r w:rsidR="007E16BE">
        <w:t xml:space="preserve">and another </w:t>
      </w:r>
      <w:r>
        <w:t>two submitters commented on the need to balance research and commercialisation. Four submitters suggested there is a need to widen the changes, for example, to encompass innovation and improvement for social and cultural outcomes and measuring innovation by going beyond economic outputs.</w:t>
      </w:r>
    </w:p>
    <w:p w:rsidRPr="00531CD9" w:rsidR="00291506" w:rsidP="00291506" w:rsidRDefault="00291506" w14:paraId="63B7993C" w14:textId="73121628">
      <w:pPr>
        <w:pStyle w:val="Quote"/>
      </w:pPr>
      <w:r w:rsidRPr="00C831EA">
        <w:t>The growing Māori economy represents significant opportunities for innovation and growth, particularly in creative industries where cultural knowledge provides competitive advantage in global markets.</w:t>
      </w:r>
      <w:r w:rsidR="00531CD9">
        <w:t xml:space="preserve"> </w:t>
      </w:r>
      <w:r w:rsidRPr="00531CD9" w:rsidR="00531CD9">
        <w:rPr>
          <w:i w:val="0"/>
          <w:iCs w:val="0"/>
        </w:rPr>
        <w:t>(Toi Mai)</w:t>
      </w:r>
    </w:p>
    <w:p w:rsidRPr="006038DB" w:rsidR="00291506" w:rsidP="00F06E68" w:rsidRDefault="00291506" w14:paraId="157E8D02" w14:textId="33A5899C">
      <w:pPr>
        <w:pStyle w:val="Heading4"/>
      </w:pPr>
      <w:r>
        <w:t>Educator</w:t>
      </w:r>
      <w:r w:rsidR="001826CD">
        <w:t>s</w:t>
      </w:r>
      <w:r>
        <w:t>/Student</w:t>
      </w:r>
      <w:r w:rsidR="001826CD">
        <w:t>s</w:t>
      </w:r>
    </w:p>
    <w:p w:rsidR="00291506" w:rsidP="00291506" w:rsidRDefault="008101BB" w14:paraId="32F44305" w14:textId="4DDC4957">
      <w:pPr>
        <w:ind w:right="98"/>
        <w:rPr>
          <w:bCs/>
        </w:rPr>
      </w:pPr>
      <w:r>
        <w:rPr>
          <w:bCs/>
        </w:rPr>
        <w:t>Five</w:t>
      </w:r>
      <w:r w:rsidRPr="006038DB" w:rsidR="00291506">
        <w:rPr>
          <w:bCs/>
        </w:rPr>
        <w:t xml:space="preserve"> </w:t>
      </w:r>
      <w:r w:rsidR="00DF1EDB">
        <w:rPr>
          <w:bCs/>
        </w:rPr>
        <w:t>submitters</w:t>
      </w:r>
      <w:r w:rsidRPr="006038DB" w:rsidR="00291506">
        <w:rPr>
          <w:bCs/>
        </w:rPr>
        <w:t xml:space="preserve"> provided comment</w:t>
      </w:r>
      <w:r w:rsidR="00291506">
        <w:rPr>
          <w:bCs/>
        </w:rPr>
        <w:t xml:space="preserve"> on this question, with three submitters expressing concern around the commercialisation of research.</w:t>
      </w:r>
    </w:p>
    <w:p w:rsidRPr="00531CD9" w:rsidR="00291506" w:rsidP="00291506" w:rsidRDefault="00291506" w14:paraId="5FBBE09F" w14:textId="0BC9ACCB">
      <w:pPr>
        <w:pStyle w:val="Quote"/>
        <w:rPr>
          <w:i w:val="0"/>
          <w:iCs w:val="0"/>
        </w:rPr>
      </w:pPr>
      <w:r w:rsidRPr="008C5F82">
        <w:t xml:space="preserve">Pressure to generate commercial returns can divert resources away from social, artistic, cultural, or indigenous research, and reduce the level of research on Aotearoa and our local needs, as these do not lend themselves easily to </w:t>
      </w:r>
      <w:proofErr w:type="gramStart"/>
      <w:r w:rsidRPr="008C5F82">
        <w:t>monetisation</w:t>
      </w:r>
      <w:proofErr w:type="gramEnd"/>
      <w:r w:rsidRPr="008C5F82">
        <w:t xml:space="preserve"> but they are of immense public value.</w:t>
      </w:r>
      <w:r w:rsidR="00531CD9">
        <w:t xml:space="preserve"> </w:t>
      </w:r>
      <w:r w:rsidR="00531CD9">
        <w:rPr>
          <w:i w:val="0"/>
          <w:iCs w:val="0"/>
        </w:rPr>
        <w:t>(TEU)</w:t>
      </w:r>
    </w:p>
    <w:p w:rsidRPr="00745FE2" w:rsidR="00291506" w:rsidP="00291506" w:rsidRDefault="00291506" w14:paraId="45A50A61" w14:textId="109AA94C">
      <w:pPr>
        <w:ind w:right="1091"/>
      </w:pPr>
      <w:r>
        <w:t xml:space="preserve">The National Disabled Students Association noted there are fiscal constraints that can impact </w:t>
      </w:r>
      <w:r w:rsidR="00BB3695">
        <w:t xml:space="preserve">an </w:t>
      </w:r>
      <w:r>
        <w:t>institution</w:t>
      </w:r>
      <w:r w:rsidR="00BB3695">
        <w:t>’</w:t>
      </w:r>
      <w:r>
        <w:t>s ability to create job-ready graduates.</w:t>
      </w:r>
    </w:p>
    <w:p w:rsidRPr="007264EB" w:rsidR="00291506" w:rsidP="001826CD" w:rsidRDefault="00291506" w14:paraId="678C042D" w14:textId="77777777">
      <w:pPr>
        <w:pStyle w:val="Heading4"/>
      </w:pPr>
      <w:r w:rsidRPr="007264EB">
        <w:t>Other</w:t>
      </w:r>
    </w:p>
    <w:p w:rsidR="008F3F44" w:rsidP="00291506" w:rsidRDefault="008F3F44" w14:paraId="5699C9D1" w14:textId="16D3BBF2">
      <w:pPr>
        <w:ind w:right="240"/>
        <w:rPr>
          <w:bCs/>
        </w:rPr>
      </w:pPr>
      <w:r>
        <w:rPr>
          <w:bCs/>
        </w:rPr>
        <w:t>The TEC Board cautioned against an overly narrow focus on the outcomes of research</w:t>
      </w:r>
      <w:r w:rsidR="00F9505F">
        <w:rPr>
          <w:bCs/>
        </w:rPr>
        <w:t>:</w:t>
      </w:r>
      <w:r>
        <w:rPr>
          <w:bCs/>
        </w:rPr>
        <w:t xml:space="preserve"> </w:t>
      </w:r>
    </w:p>
    <w:p w:rsidRPr="007264EB" w:rsidR="00291506" w:rsidP="008F3F44" w:rsidRDefault="008F3F44" w14:paraId="0189237E" w14:textId="0147B108">
      <w:pPr>
        <w:pStyle w:val="Quote"/>
      </w:pPr>
      <w:r>
        <w:t>A</w:t>
      </w:r>
      <w:r w:rsidRPr="004D2F39" w:rsidR="00291506">
        <w:t xml:space="preserve"> narrow focus on applied research and commercialisation may undermine this impact and constrain innovation. We recommend a combined focus on both applied and fundamental research.</w:t>
      </w:r>
    </w:p>
    <w:p w:rsidRPr="009E2579" w:rsidR="00291506" w:rsidP="001826CD" w:rsidRDefault="00291506" w14:paraId="052356E5" w14:textId="6F06D720">
      <w:pPr>
        <w:pStyle w:val="Heading4"/>
      </w:pPr>
      <w:r w:rsidRPr="009E2579">
        <w:t>Industry</w:t>
      </w:r>
    </w:p>
    <w:p w:rsidR="00291506" w:rsidP="00291506" w:rsidRDefault="00291506" w14:paraId="37C9328F" w14:textId="77777777">
      <w:pPr>
        <w:ind w:right="98"/>
        <w:rPr>
          <w:bCs/>
        </w:rPr>
      </w:pPr>
      <w:r w:rsidRPr="009E2579">
        <w:rPr>
          <w:bCs/>
        </w:rPr>
        <w:t xml:space="preserve">Nine submitters made comments on how the priority could be strengthened, </w:t>
      </w:r>
      <w:r>
        <w:rPr>
          <w:bCs/>
        </w:rPr>
        <w:t>with three submitters stating there is a need for additional funding and transparency on how it is allocated. Four submitters commented on research, with two submitters citing that it needed a longer-term focus and that it should be treated with caution when narrowing research into national priorities.</w:t>
      </w:r>
    </w:p>
    <w:p w:rsidR="00291506" w:rsidP="001826CD" w:rsidRDefault="00291506" w14:paraId="3CA57318" w14:textId="5FCC89DA">
      <w:pPr>
        <w:pStyle w:val="Heading4"/>
      </w:pPr>
      <w:r w:rsidRPr="00250001">
        <w:t xml:space="preserve">Research </w:t>
      </w:r>
      <w:r w:rsidR="00F85253">
        <w:t>organisations</w:t>
      </w:r>
    </w:p>
    <w:p w:rsidR="00291506" w:rsidP="00291506" w:rsidRDefault="00291506" w14:paraId="323D43D3" w14:textId="622607F6">
      <w:pPr>
        <w:ind w:right="1091"/>
        <w:rPr>
          <w:bCs/>
        </w:rPr>
      </w:pPr>
      <w:r w:rsidRPr="00250001">
        <w:rPr>
          <w:bCs/>
        </w:rPr>
        <w:t xml:space="preserve">Three </w:t>
      </w:r>
      <w:r w:rsidR="00F85253">
        <w:rPr>
          <w:bCs/>
        </w:rPr>
        <w:t xml:space="preserve">research </w:t>
      </w:r>
      <w:r w:rsidRPr="00250001">
        <w:rPr>
          <w:bCs/>
        </w:rPr>
        <w:t xml:space="preserve">organisations provided comments, </w:t>
      </w:r>
      <w:r w:rsidR="008D1CC1">
        <w:rPr>
          <w:bCs/>
        </w:rPr>
        <w:t>highlighting</w:t>
      </w:r>
      <w:r>
        <w:rPr>
          <w:bCs/>
        </w:rPr>
        <w:t xml:space="preserve"> there is a need to scale funding, and drive innovation of new </w:t>
      </w:r>
      <w:r w:rsidR="002D3249">
        <w:rPr>
          <w:bCs/>
        </w:rPr>
        <w:t>intellectual property</w:t>
      </w:r>
      <w:r>
        <w:rPr>
          <w:bCs/>
        </w:rPr>
        <w:t xml:space="preserve"> with real commercial value</w:t>
      </w:r>
      <w:r w:rsidR="008C2F87">
        <w:rPr>
          <w:bCs/>
        </w:rPr>
        <w:t>:</w:t>
      </w:r>
    </w:p>
    <w:p w:rsidRPr="00F1671C" w:rsidR="00F1671C" w:rsidP="00F1671C" w:rsidRDefault="00F1671C" w14:paraId="5821E712" w14:textId="3111316D">
      <w:pPr>
        <w:pStyle w:val="Quote"/>
      </w:pPr>
      <w:r w:rsidRPr="00F1671C">
        <w:t xml:space="preserve">We strongly support a TES focus on economic impact and innovation. New Zealand already has a proven commercialisation “bridge” that pairs </w:t>
      </w:r>
      <w:r w:rsidRPr="00F1671C">
        <w:t xml:space="preserve">deep local engagement by institutional TTOs with national programmes - Commercialisation Partner Network (CPN) and </w:t>
      </w:r>
      <w:proofErr w:type="spellStart"/>
      <w:r w:rsidRPr="00F1671C">
        <w:t>PreSeed</w:t>
      </w:r>
      <w:proofErr w:type="spellEnd"/>
      <w:r w:rsidRPr="00F1671C">
        <w:t xml:space="preserve"> Accelerator Fund (PSAF).</w:t>
      </w:r>
      <w:r w:rsidR="00560708">
        <w:t xml:space="preserve"> </w:t>
      </w:r>
      <w:r w:rsidRPr="00560708" w:rsidR="00560708">
        <w:rPr>
          <w:i w:val="0"/>
          <w:iCs w:val="0"/>
        </w:rPr>
        <w:t>(</w:t>
      </w:r>
      <w:proofErr w:type="spellStart"/>
      <w:r w:rsidRPr="00560708" w:rsidR="00560708">
        <w:rPr>
          <w:bCs/>
          <w:i w:val="0"/>
          <w:iCs w:val="0"/>
        </w:rPr>
        <w:t>Kiwinet</w:t>
      </w:r>
      <w:proofErr w:type="spellEnd"/>
      <w:r w:rsidRPr="00560708" w:rsidR="00560708">
        <w:rPr>
          <w:bCs/>
          <w:i w:val="0"/>
          <w:iCs w:val="0"/>
        </w:rPr>
        <w:t>)</w:t>
      </w:r>
    </w:p>
    <w:p w:rsidRPr="00D14391" w:rsidR="00291506" w:rsidP="001826CD" w:rsidRDefault="00291506" w14:paraId="735FC2E7" w14:textId="77777777">
      <w:pPr>
        <w:pStyle w:val="Heading3"/>
      </w:pPr>
      <w:bookmarkStart w:name="_Toc211314479" w:id="30"/>
      <w:r w:rsidRPr="00D14391">
        <w:t>Do you have suggestions for additional activities to support this priority?</w:t>
      </w:r>
      <w:bookmarkEnd w:id="30"/>
    </w:p>
    <w:p w:rsidRPr="00D14391" w:rsidR="00291506" w:rsidP="00291506" w:rsidRDefault="00291506" w14:paraId="3BC4FC2C" w14:textId="55880042">
      <w:r w:rsidRPr="00D14391">
        <w:t>Thirty-</w:t>
      </w:r>
      <w:r>
        <w:t>seven</w:t>
      </w:r>
      <w:r w:rsidRPr="00D14391">
        <w:t xml:space="preserve"> submitters </w:t>
      </w:r>
      <w:r w:rsidR="00D72608">
        <w:t>(</w:t>
      </w:r>
      <w:r w:rsidR="008C2F87">
        <w:t xml:space="preserve">15 industry submitters, </w:t>
      </w:r>
      <w:r w:rsidR="00F85253">
        <w:t>13</w:t>
      </w:r>
      <w:r w:rsidR="00D72608">
        <w:t xml:space="preserve"> TEOs, four educators/students, </w:t>
      </w:r>
      <w:r w:rsidR="00177469">
        <w:t>four research organisations</w:t>
      </w:r>
      <w:r w:rsidR="008D1CC1">
        <w:t>,</w:t>
      </w:r>
      <w:r w:rsidR="008C2F87">
        <w:t xml:space="preserve"> and the MILG</w:t>
      </w:r>
      <w:r w:rsidR="00177469">
        <w:t xml:space="preserve">) </w:t>
      </w:r>
      <w:r w:rsidRPr="00D14391">
        <w:t>made suggestions for additional activities that could support this priority.</w:t>
      </w:r>
    </w:p>
    <w:p w:rsidRPr="00D14391" w:rsidR="00291506" w:rsidP="001826CD" w:rsidRDefault="002556D1" w14:paraId="0F0AFF53" w14:textId="67E7357F">
      <w:pPr>
        <w:pStyle w:val="Heading4"/>
      </w:pPr>
      <w:r>
        <w:t>Tertiary Education Organisations</w:t>
      </w:r>
      <w:r w:rsidR="00BE2558">
        <w:t xml:space="preserve"> and their representative bodies</w:t>
      </w:r>
    </w:p>
    <w:p w:rsidR="00291506" w:rsidP="00291506" w:rsidRDefault="002556D1" w14:paraId="33F1D6BD" w14:textId="4DA44070">
      <w:r>
        <w:t>Thirteen submitters (s</w:t>
      </w:r>
      <w:r w:rsidR="00291506">
        <w:t>ix</w:t>
      </w:r>
      <w:r w:rsidRPr="00D14391" w:rsidR="00291506">
        <w:t xml:space="preserve"> universities</w:t>
      </w:r>
      <w:r>
        <w:t>, three</w:t>
      </w:r>
      <w:r w:rsidRPr="00AC1252">
        <w:t xml:space="preserve"> </w:t>
      </w:r>
      <w:proofErr w:type="spellStart"/>
      <w:r w:rsidRPr="00AC1252">
        <w:t>Te</w:t>
      </w:r>
      <w:proofErr w:type="spellEnd"/>
      <w:r w:rsidRPr="00AC1252">
        <w:t xml:space="preserve"> </w:t>
      </w:r>
      <w:proofErr w:type="spellStart"/>
      <w:r w:rsidRPr="00AC1252">
        <w:t>Pūkenga</w:t>
      </w:r>
      <w:proofErr w:type="spellEnd"/>
      <w:r w:rsidRPr="00AC1252">
        <w:t xml:space="preserve"> </w:t>
      </w:r>
      <w:r>
        <w:t>divisions, two</w:t>
      </w:r>
      <w:r w:rsidRPr="00AC1252">
        <w:t xml:space="preserve"> PTEs, one </w:t>
      </w:r>
      <w:r>
        <w:t>w</w:t>
      </w:r>
      <w:r w:rsidRPr="00AC1252">
        <w:t>ānanga</w:t>
      </w:r>
      <w:r>
        <w:t>, and one</w:t>
      </w:r>
      <w:r w:rsidRPr="00AC1252">
        <w:t xml:space="preserve"> </w:t>
      </w:r>
      <w:r>
        <w:t>tertiary sector entity)</w:t>
      </w:r>
      <w:r w:rsidRPr="00D14391" w:rsidR="00291506">
        <w:t xml:space="preserve"> made suggestions for additional activities. </w:t>
      </w:r>
      <w:r w:rsidR="00291506">
        <w:t>Two submitters noted that AI cannot be underestimated and that efforts need to be made to lift collective capabilities, including defining a national capability framework. Four submitters commented on research, with half of these commenting there is a need for more funding in this area, for example, for technology transfer offices at each university.</w:t>
      </w:r>
    </w:p>
    <w:p w:rsidR="00291506" w:rsidP="00291506" w:rsidRDefault="00291506" w14:paraId="12904CC8" w14:textId="7B7C195A">
      <w:pPr>
        <w:pStyle w:val="Quote"/>
        <w:rPr>
          <w:i w:val="0"/>
          <w:iCs w:val="0"/>
        </w:rPr>
      </w:pPr>
      <w:r w:rsidRPr="007E3F66">
        <w:t xml:space="preserve">We do think that more could be done to acknowledge the legitimacy and value of alternative knowledge systems, notably </w:t>
      </w:r>
      <w:proofErr w:type="spellStart"/>
      <w:r w:rsidRPr="007E3F66">
        <w:t>mātauranga</w:t>
      </w:r>
      <w:proofErr w:type="spellEnd"/>
      <w:r w:rsidRPr="007E3F66">
        <w:t xml:space="preserve"> Māori, within New Zealand’s research landscape.</w:t>
      </w:r>
      <w:r w:rsidR="006C6283">
        <w:t xml:space="preserve"> </w:t>
      </w:r>
      <w:r w:rsidRPr="006C6283" w:rsidR="006C6283">
        <w:rPr>
          <w:i w:val="0"/>
          <w:iCs w:val="0"/>
        </w:rPr>
        <w:t>(Universities NZ)</w:t>
      </w:r>
    </w:p>
    <w:p w:rsidRPr="00B41CB0" w:rsidR="004A6774" w:rsidP="004A6774" w:rsidRDefault="004A6774" w14:paraId="6C952304" w14:textId="77777777">
      <w:r>
        <w:t>One submitter suggested adding in additional text to the priority objective:</w:t>
      </w:r>
    </w:p>
    <w:p w:rsidRPr="004A6774" w:rsidR="004A6774" w:rsidP="004A6774" w:rsidRDefault="004A6774" w14:paraId="360EB07B" w14:textId="04BBA6F2">
      <w:pPr>
        <w:pStyle w:val="Quote"/>
      </w:pPr>
      <w:r>
        <w:t>…</w:t>
      </w:r>
      <w:r w:rsidRPr="006D0E92">
        <w:t>educate a flexible workforce, able to adapt in an agile way to a rapidly changing future workplace in which generative AI plays an increasingly significant role".</w:t>
      </w:r>
      <w:r>
        <w:t xml:space="preserve"> </w:t>
      </w:r>
      <w:r w:rsidRPr="00B00870">
        <w:rPr>
          <w:i w:val="0"/>
          <w:iCs w:val="0"/>
        </w:rPr>
        <w:t>(University</w:t>
      </w:r>
      <w:r w:rsidRPr="005A5A36">
        <w:rPr>
          <w:i w:val="0"/>
          <w:iCs w:val="0"/>
        </w:rPr>
        <w:t xml:space="preserve"> of Waikato</w:t>
      </w:r>
      <w:r>
        <w:rPr>
          <w:i w:val="0"/>
          <w:iCs w:val="0"/>
        </w:rPr>
        <w:t>)</w:t>
      </w:r>
    </w:p>
    <w:p w:rsidR="00291506" w:rsidP="00291506" w:rsidRDefault="002556D1" w14:paraId="1D571F7A" w14:textId="384FA022">
      <w:r>
        <w:t xml:space="preserve">Other suggestions from </w:t>
      </w:r>
      <w:r w:rsidRPr="00AC1252" w:rsidR="00291506">
        <w:t xml:space="preserve">TEOs </w:t>
      </w:r>
      <w:r>
        <w:t>included</w:t>
      </w:r>
      <w:r w:rsidRPr="00AC1252" w:rsidR="00291506">
        <w:t xml:space="preserve"> on additional achievement measures</w:t>
      </w:r>
      <w:r w:rsidR="00291506">
        <w:t xml:space="preserve"> </w:t>
      </w:r>
      <w:r w:rsidR="005010AE">
        <w:t xml:space="preserve">and comments in support of </w:t>
      </w:r>
      <w:r w:rsidR="00291506">
        <w:t xml:space="preserve">the commercialising of research. </w:t>
      </w:r>
    </w:p>
    <w:p w:rsidRPr="00C10EBF" w:rsidR="00291506" w:rsidP="00291506" w:rsidRDefault="00291506" w14:paraId="325F44F1" w14:textId="1FCF3505">
      <w:pPr>
        <w:pStyle w:val="Quote"/>
      </w:pPr>
      <w:r w:rsidRPr="00C10EBF">
        <w:t>Be bold – an overhaul of funding and regulatory functions to align with this priority. Eliminate lag at all levels of the system!!</w:t>
      </w:r>
      <w:r w:rsidR="006C6283">
        <w:t xml:space="preserve"> </w:t>
      </w:r>
      <w:r w:rsidRPr="006C6283" w:rsidR="006C6283">
        <w:rPr>
          <w:i w:val="0"/>
          <w:iCs w:val="0"/>
        </w:rPr>
        <w:t>(Primary ITO)</w:t>
      </w:r>
    </w:p>
    <w:p w:rsidR="00291506" w:rsidP="00291506" w:rsidRDefault="00291506" w14:paraId="0BE49F2E" w14:textId="269A32A5">
      <w:pPr>
        <w:rPr>
          <w:i/>
          <w:iCs/>
        </w:rPr>
      </w:pPr>
      <w:r>
        <w:t xml:space="preserve">Three comments noted that there is a need to build partnerships with iwi, Pacific, industry and employers, with </w:t>
      </w:r>
      <w:r w:rsidRPr="00AD1C06">
        <w:t>Te Wānanga o Aotearoa</w:t>
      </w:r>
      <w:r>
        <w:t xml:space="preserve"> suggesting </w:t>
      </w:r>
      <w:r w:rsidRPr="00AB5095">
        <w:rPr>
          <w:i/>
          <w:iCs/>
        </w:rPr>
        <w:t>“Incentivise iwi–industry partnerships”</w:t>
      </w:r>
      <w:r w:rsidR="00543350">
        <w:rPr>
          <w:i/>
          <w:iCs/>
        </w:rPr>
        <w:t>.</w:t>
      </w:r>
    </w:p>
    <w:p w:rsidRPr="0028375A" w:rsidR="00291506" w:rsidP="00291506" w:rsidRDefault="00291506" w14:paraId="5CBB6214" w14:textId="77777777">
      <w:r>
        <w:t>Ako Aotearoa suggested that digital literacy and capability must be actively supported.</w:t>
      </w:r>
    </w:p>
    <w:p w:rsidRPr="007E3F66" w:rsidR="00291506" w:rsidP="001826CD" w:rsidRDefault="00291506" w14:paraId="1BAE8637" w14:textId="55E986A0">
      <w:pPr>
        <w:pStyle w:val="Heading4"/>
      </w:pPr>
      <w:r>
        <w:t>Educator</w:t>
      </w:r>
      <w:r w:rsidR="001826CD">
        <w:t>s</w:t>
      </w:r>
      <w:r>
        <w:t>/Student</w:t>
      </w:r>
      <w:r w:rsidR="001826CD">
        <w:t>s</w:t>
      </w:r>
    </w:p>
    <w:p w:rsidR="00291506" w:rsidP="00291506" w:rsidRDefault="00291506" w14:paraId="115FA381" w14:textId="5C9F60D3">
      <w:pPr>
        <w:ind w:right="98"/>
        <w:rPr>
          <w:bCs/>
        </w:rPr>
      </w:pPr>
      <w:r>
        <w:rPr>
          <w:bCs/>
        </w:rPr>
        <w:t>Four</w:t>
      </w:r>
      <w:r w:rsidRPr="007E3F66">
        <w:rPr>
          <w:bCs/>
        </w:rPr>
        <w:t xml:space="preserve"> submitters made comments,</w:t>
      </w:r>
      <w:r>
        <w:rPr>
          <w:bCs/>
        </w:rPr>
        <w:t xml:space="preserve"> and all emphasised the importance of partnerships with the </w:t>
      </w:r>
      <w:r w:rsidRPr="00C447A0">
        <w:rPr>
          <w:bCs/>
        </w:rPr>
        <w:t>Māori economy and industry</w:t>
      </w:r>
      <w:r>
        <w:rPr>
          <w:bCs/>
        </w:rPr>
        <w:t xml:space="preserve">. </w:t>
      </w:r>
    </w:p>
    <w:p w:rsidR="00291506" w:rsidP="00291506" w:rsidRDefault="00291506" w14:paraId="1D105632" w14:textId="76A71FE6">
      <w:pPr>
        <w:pStyle w:val="Quote"/>
      </w:pPr>
      <w:r w:rsidRPr="000706C2">
        <w:t xml:space="preserve">Partnerships with the Māori economy must be anchored in </w:t>
      </w:r>
      <w:proofErr w:type="spellStart"/>
      <w:r w:rsidRPr="000706C2">
        <w:t>tino</w:t>
      </w:r>
      <w:proofErr w:type="spellEnd"/>
      <w:r w:rsidRPr="000706C2">
        <w:t xml:space="preserve"> rangatiratanga, rather than framed solely in economic terms.</w:t>
      </w:r>
      <w:r w:rsidR="0098731F">
        <w:t xml:space="preserve"> </w:t>
      </w:r>
      <w:r w:rsidRPr="0098731F" w:rsidR="0098731F">
        <w:rPr>
          <w:i w:val="0"/>
          <w:iCs w:val="0"/>
        </w:rPr>
        <w:t>(TEU)</w:t>
      </w:r>
    </w:p>
    <w:p w:rsidRPr="00311764" w:rsidR="00291506" w:rsidP="009E477A" w:rsidRDefault="00291506" w14:paraId="16C776D6" w14:textId="012AC8F3">
      <w:r>
        <w:t>Submitters also mentioned that “</w:t>
      </w:r>
      <w:r w:rsidRPr="0090218F">
        <w:rPr>
          <w:i/>
          <w:iCs/>
        </w:rPr>
        <w:t>AI leadership must incorporate ethical and ethical frameworks and not simply technical expertise”</w:t>
      </w:r>
      <w:r>
        <w:rPr>
          <w:i/>
          <w:iCs/>
        </w:rPr>
        <w:t xml:space="preserve"> </w:t>
      </w:r>
      <w:r>
        <w:t xml:space="preserve">and </w:t>
      </w:r>
      <w:r w:rsidR="006E50A0">
        <w:t xml:space="preserve">that </w:t>
      </w:r>
      <w:r>
        <w:t xml:space="preserve">any knowledge transfer should be wider than commercial innovation </w:t>
      </w:r>
      <w:r w:rsidR="006E50A0">
        <w:t xml:space="preserve">and </w:t>
      </w:r>
      <w:r>
        <w:t>extend to social and cultural innovation.</w:t>
      </w:r>
    </w:p>
    <w:p w:rsidRPr="001F0412" w:rsidR="00291506" w:rsidP="001826CD" w:rsidRDefault="00291506" w14:paraId="19E512E3" w14:textId="37D08F7C">
      <w:pPr>
        <w:pStyle w:val="Heading4"/>
      </w:pPr>
      <w:r w:rsidRPr="001F0412">
        <w:t xml:space="preserve">Industry </w:t>
      </w:r>
    </w:p>
    <w:p w:rsidR="00291506" w:rsidP="009E477A" w:rsidRDefault="00291506" w14:paraId="041240BF" w14:textId="1DCB0D4D">
      <w:r>
        <w:t xml:space="preserve">Fifteen </w:t>
      </w:r>
      <w:r w:rsidRPr="001F0412">
        <w:t xml:space="preserve">submitters provided suggestions for additional achievement activities. </w:t>
      </w:r>
      <w:r>
        <w:t xml:space="preserve">Two submitters commented that there is a need for investment into digital technology, </w:t>
      </w:r>
      <w:r w:rsidR="005A7559">
        <w:t xml:space="preserve">both </w:t>
      </w:r>
      <w:r>
        <w:t xml:space="preserve">financially and </w:t>
      </w:r>
      <w:r w:rsidR="005A7559">
        <w:t xml:space="preserve">by </w:t>
      </w:r>
      <w:r>
        <w:t>researching the future of work and the skills that will be required.</w:t>
      </w:r>
    </w:p>
    <w:p w:rsidRPr="00F67BC2" w:rsidR="00291506" w:rsidP="009E477A" w:rsidRDefault="00291506" w14:paraId="4B4A8E4B" w14:textId="616BB4E4">
      <w:r>
        <w:t xml:space="preserve">Five submitters commented on research and commercialisation, with one submitter questioning how the priority related to research opportunities in </w:t>
      </w:r>
      <w:r w:rsidR="00052F79">
        <w:t>Vocational Education and Training (</w:t>
      </w:r>
      <w:r>
        <w:t>VET</w:t>
      </w:r>
      <w:r w:rsidR="00052F79">
        <w:t>)</w:t>
      </w:r>
      <w:r>
        <w:t>. One submitter disagreed with the suggestion that research needed to focus on national economic priorities.</w:t>
      </w:r>
    </w:p>
    <w:p w:rsidR="00291506" w:rsidP="00291506" w:rsidRDefault="00291506" w14:paraId="0641A1DA" w14:textId="6C3264D9">
      <w:pPr>
        <w:ind w:right="98"/>
        <w:rPr>
          <w:bCs/>
        </w:rPr>
      </w:pPr>
      <w:r>
        <w:rPr>
          <w:bCs/>
        </w:rPr>
        <w:t xml:space="preserve">Five submitters commented on industry and workforce partnerships, with suggestions that </w:t>
      </w:r>
      <w:r w:rsidR="00504353">
        <w:rPr>
          <w:bCs/>
        </w:rPr>
        <w:t>Industry Skills Boards (</w:t>
      </w:r>
      <w:r>
        <w:rPr>
          <w:bCs/>
        </w:rPr>
        <w:t>ISBs</w:t>
      </w:r>
      <w:r w:rsidR="00504353">
        <w:rPr>
          <w:bCs/>
        </w:rPr>
        <w:t>)</w:t>
      </w:r>
      <w:r>
        <w:rPr>
          <w:bCs/>
        </w:rPr>
        <w:t xml:space="preserve"> will need new tools and processes to be able to engage with industry and TEC, and suggestions </w:t>
      </w:r>
      <w:r w:rsidR="00103D0E">
        <w:rPr>
          <w:bCs/>
        </w:rPr>
        <w:t>to</w:t>
      </w:r>
      <w:r>
        <w:rPr>
          <w:bCs/>
        </w:rPr>
        <w:t xml:space="preserve"> develop an integrated workforce skills strategy. </w:t>
      </w:r>
    </w:p>
    <w:p w:rsidR="00291506" w:rsidP="00291506" w:rsidRDefault="00291506" w14:paraId="1EEACA11" w14:textId="342A1A82">
      <w:pPr>
        <w:pStyle w:val="Quote"/>
      </w:pPr>
      <w:r w:rsidRPr="006B13C8">
        <w:t>An integrated workforce skills strategy would help here to outline what skills we need to build in a less binary way- we’re all aiming to build a productive, inclusive economy for New Zealand’s businesses and our people at the end of the day.</w:t>
      </w:r>
      <w:r w:rsidR="002D2D82">
        <w:t xml:space="preserve"> </w:t>
      </w:r>
      <w:r w:rsidRPr="002D2D82" w:rsidR="002D2D82">
        <w:rPr>
          <w:i w:val="0"/>
          <w:iCs w:val="0"/>
        </w:rPr>
        <w:t>(</w:t>
      </w:r>
      <w:r w:rsidRPr="002D2D82" w:rsidR="002D2D82">
        <w:rPr>
          <w:bCs/>
          <w:i w:val="0"/>
          <w:iCs w:val="0"/>
        </w:rPr>
        <w:t>E</w:t>
      </w:r>
      <w:r w:rsidR="004E2CDB">
        <w:rPr>
          <w:bCs/>
          <w:i w:val="0"/>
          <w:iCs w:val="0"/>
        </w:rPr>
        <w:t xml:space="preserve">mployers and </w:t>
      </w:r>
      <w:r w:rsidRPr="002D2D82" w:rsidR="002D2D82">
        <w:rPr>
          <w:bCs/>
          <w:i w:val="0"/>
          <w:iCs w:val="0"/>
        </w:rPr>
        <w:t>M</w:t>
      </w:r>
      <w:r w:rsidR="004E2CDB">
        <w:rPr>
          <w:bCs/>
          <w:i w:val="0"/>
          <w:iCs w:val="0"/>
        </w:rPr>
        <w:t xml:space="preserve">anufacturers </w:t>
      </w:r>
      <w:r w:rsidRPr="002D2D82" w:rsidR="004E2CDB">
        <w:rPr>
          <w:bCs/>
          <w:i w:val="0"/>
          <w:iCs w:val="0"/>
        </w:rPr>
        <w:t>A</w:t>
      </w:r>
      <w:r w:rsidR="004E2CDB">
        <w:rPr>
          <w:bCs/>
          <w:i w:val="0"/>
          <w:iCs w:val="0"/>
        </w:rPr>
        <w:t>ssociation</w:t>
      </w:r>
      <w:r w:rsidRPr="002D2D82" w:rsidR="002D2D82">
        <w:rPr>
          <w:bCs/>
          <w:i w:val="0"/>
          <w:iCs w:val="0"/>
        </w:rPr>
        <w:t>)</w:t>
      </w:r>
    </w:p>
    <w:p w:rsidRPr="000B1F8F" w:rsidR="00291506" w:rsidP="001826CD" w:rsidRDefault="00291506" w14:paraId="3056A58D" w14:textId="5FC447D4">
      <w:pPr>
        <w:pStyle w:val="Heading4"/>
      </w:pPr>
      <w:r w:rsidRPr="000B1F8F">
        <w:t>Research</w:t>
      </w:r>
      <w:r w:rsidR="005B1278">
        <w:t xml:space="preserve"> organisations</w:t>
      </w:r>
    </w:p>
    <w:p w:rsidR="001826CD" w:rsidP="001826CD" w:rsidRDefault="00291506" w14:paraId="47C52918" w14:textId="0D31CA8F">
      <w:pPr>
        <w:ind w:right="98"/>
      </w:pPr>
      <w:r>
        <w:t xml:space="preserve">Four </w:t>
      </w:r>
      <w:r w:rsidRPr="000B1F8F">
        <w:t>research organisations provided suggestions</w:t>
      </w:r>
      <w:r>
        <w:t>,</w:t>
      </w:r>
      <w:r w:rsidRPr="000B1F8F">
        <w:t xml:space="preserve"> </w:t>
      </w:r>
      <w:r>
        <w:t xml:space="preserve">with two submitters commenting </w:t>
      </w:r>
      <w:r w:rsidR="00AC69CF">
        <w:t xml:space="preserve">that </w:t>
      </w:r>
      <w:r>
        <w:t xml:space="preserve">there needs to be an increased scale of investment for fundamental research. Other suggestions included securing and maintaining formal links between universities and </w:t>
      </w:r>
      <w:r w:rsidR="00ED7605">
        <w:t>Public Research Organisations (</w:t>
      </w:r>
      <w:r>
        <w:t>PROs</w:t>
      </w:r>
      <w:r w:rsidR="00ED7605">
        <w:t>)</w:t>
      </w:r>
      <w:r>
        <w:t>, e</w:t>
      </w:r>
      <w:r w:rsidRPr="00AF17E5">
        <w:t>xpand</w:t>
      </w:r>
      <w:r>
        <w:t>ing</w:t>
      </w:r>
      <w:r w:rsidRPr="00AF17E5">
        <w:t xml:space="preserve"> Applied Doctorate programmes and develop</w:t>
      </w:r>
      <w:r w:rsidR="003457E9">
        <w:t>ing</w:t>
      </w:r>
      <w:r w:rsidRPr="00AF17E5">
        <w:t xml:space="preserve"> a wider range of skills at the postgraduate level to foster market-driven entrepreneurial capabilities.</w:t>
      </w:r>
      <w:r w:rsidR="003D42DE">
        <w:t xml:space="preserve"> </w:t>
      </w:r>
      <w:r w:rsidR="0063198B">
        <w:t xml:space="preserve">A </w:t>
      </w:r>
      <w:proofErr w:type="spellStart"/>
      <w:r w:rsidR="0063198B">
        <w:t>CoRE</w:t>
      </w:r>
      <w:proofErr w:type="spellEnd"/>
      <w:r w:rsidR="0063198B">
        <w:t xml:space="preserve"> submitter explained: </w:t>
      </w:r>
    </w:p>
    <w:p w:rsidR="001826CD" w:rsidP="002F36E6" w:rsidRDefault="002F36E6" w14:paraId="7EE5900C" w14:textId="172D0964">
      <w:pPr>
        <w:pStyle w:val="Quote"/>
      </w:pPr>
      <w:r w:rsidRPr="002F36E6">
        <w:t xml:space="preserve">There </w:t>
      </w:r>
      <w:r w:rsidR="0011454A">
        <w:t>i</w:t>
      </w:r>
      <w:r w:rsidRPr="002F36E6">
        <w:t xml:space="preserve">s a need to build critical mass across the country, in fundamental research areas, and in commercialization support and integration. </w:t>
      </w:r>
      <w:r w:rsidR="005D30ED">
        <w:t xml:space="preserve">… </w:t>
      </w:r>
      <w:r w:rsidRPr="002F36E6">
        <w:t xml:space="preserve">I specifically disagree that ‘reforms to the science and innovation system will reinforce this shift by sharpening priorities, aligning funding, and rewarding commercial </w:t>
      </w:r>
      <w:proofErr w:type="gramStart"/>
      <w:r w:rsidRPr="002F36E6">
        <w:t>outcomes’</w:t>
      </w:r>
      <w:proofErr w:type="gramEnd"/>
      <w:r w:rsidRPr="002F36E6">
        <w:t xml:space="preserve">. Too much focus on priorities undermines academic freedom in research and the fundamental studies that develop IP with real commercial value. </w:t>
      </w:r>
      <w:r w:rsidRPr="0075553C" w:rsidR="0075553C">
        <w:rPr>
          <w:i w:val="0"/>
          <w:iCs w:val="0"/>
        </w:rPr>
        <w:t>(MacDiarmid Institute)</w:t>
      </w:r>
      <w:r w:rsidR="001826CD">
        <w:br w:type="page"/>
      </w:r>
    </w:p>
    <w:p w:rsidRPr="00D76C43" w:rsidR="00D76C43" w:rsidP="00870182" w:rsidRDefault="00D76C43" w14:paraId="5DC72C70" w14:textId="77777777">
      <w:pPr>
        <w:pStyle w:val="Heading2"/>
      </w:pPr>
      <w:bookmarkStart w:name="_Toc211314480" w:id="31"/>
      <w:bookmarkStart w:name="_Toc211348944" w:id="32"/>
      <w:r w:rsidRPr="00D76C43">
        <w:t>Access and Participation</w:t>
      </w:r>
      <w:bookmarkEnd w:id="31"/>
      <w:bookmarkEnd w:id="32"/>
    </w:p>
    <w:p w:rsidRPr="00E53529" w:rsidR="00E53529" w:rsidP="00E53529" w:rsidRDefault="00E53529" w14:paraId="51692D07" w14:textId="77777777">
      <w:r w:rsidRPr="00E53529">
        <w:t>Submitters were asked the following questions:</w:t>
      </w:r>
    </w:p>
    <w:p w:rsidRPr="0063198B" w:rsidR="00E53529" w:rsidP="0000645D" w:rsidRDefault="00E53529" w14:paraId="4AF14E4B" w14:textId="77777777">
      <w:pPr>
        <w:numPr>
          <w:ilvl w:val="0"/>
          <w:numId w:val="12"/>
        </w:numPr>
        <w:rPr>
          <w:i/>
          <w:iCs/>
        </w:rPr>
      </w:pPr>
      <w:r w:rsidRPr="0063198B">
        <w:rPr>
          <w:i/>
          <w:iCs/>
        </w:rPr>
        <w:t xml:space="preserve">To what extent do you agree that Access and Participation should be a priority in the TES? </w:t>
      </w:r>
    </w:p>
    <w:p w:rsidRPr="0063198B" w:rsidR="00E53529" w:rsidP="0000645D" w:rsidRDefault="00E53529" w14:paraId="26556A8A" w14:textId="77777777">
      <w:pPr>
        <w:numPr>
          <w:ilvl w:val="0"/>
          <w:numId w:val="12"/>
        </w:numPr>
        <w:rPr>
          <w:i/>
          <w:iCs/>
        </w:rPr>
      </w:pPr>
      <w:r w:rsidRPr="0063198B">
        <w:rPr>
          <w:i/>
          <w:iCs/>
        </w:rPr>
        <w:t xml:space="preserve">To what extent will the expected changes and contributing activities effectively achieve the priority? </w:t>
      </w:r>
    </w:p>
    <w:p w:rsidRPr="0063198B" w:rsidR="00E53529" w:rsidP="0000645D" w:rsidRDefault="00E53529" w14:paraId="35E4FB10" w14:textId="77777777">
      <w:pPr>
        <w:numPr>
          <w:ilvl w:val="0"/>
          <w:numId w:val="12"/>
        </w:numPr>
      </w:pPr>
      <w:r w:rsidRPr="0063198B">
        <w:rPr>
          <w:i/>
          <w:iCs/>
        </w:rPr>
        <w:t>Do you have suggestions for additional activities to support this priority?</w:t>
      </w:r>
    </w:p>
    <w:p w:rsidR="00E9060F" w:rsidP="00870182" w:rsidRDefault="000A21AC" w14:paraId="04CD53A3" w14:textId="7FC0BB7A">
      <w:pPr>
        <w:pStyle w:val="Heading3"/>
      </w:pPr>
      <w:bookmarkStart w:name="_Toc211314481" w:id="33"/>
      <w:r w:rsidRPr="000A21AC">
        <w:t>To what extent do you agree that Access and Participation should be a priority in the TES?</w:t>
      </w:r>
      <w:bookmarkEnd w:id="33"/>
      <w:r w:rsidRPr="000A21AC">
        <w:t xml:space="preserve"> </w:t>
      </w:r>
    </w:p>
    <w:p w:rsidR="00765B0C" w:rsidP="00765B0C" w:rsidRDefault="00765B0C" w14:paraId="025343BD" w14:textId="70F985F9">
      <w:pPr>
        <w:pStyle w:val="Caption"/>
        <w:keepNext/>
      </w:pPr>
      <w:r>
        <w:t xml:space="preserve">Figure </w:t>
      </w:r>
      <w:r>
        <w:fldChar w:fldCharType="begin"/>
      </w:r>
      <w:r>
        <w:instrText>SEQ Figure \* ARABIC</w:instrText>
      </w:r>
      <w:r>
        <w:fldChar w:fldCharType="separate"/>
      </w:r>
      <w:r w:rsidR="00ED2C25">
        <w:rPr>
          <w:noProof/>
        </w:rPr>
        <w:t>6</w:t>
      </w:r>
      <w:r>
        <w:fldChar w:fldCharType="end"/>
      </w:r>
      <w:r>
        <w:t xml:space="preserve">: </w:t>
      </w:r>
      <w:r w:rsidR="00842672">
        <w:t>Support for</w:t>
      </w:r>
      <w:r w:rsidRPr="003D39A3">
        <w:t xml:space="preserve"> Access and Participation </w:t>
      </w:r>
      <w:r w:rsidR="00842672">
        <w:t>as</w:t>
      </w:r>
      <w:r w:rsidRPr="003D39A3">
        <w:t xml:space="preserve"> a </w:t>
      </w:r>
      <w:r w:rsidR="00842672">
        <w:t xml:space="preserve">TES </w:t>
      </w:r>
      <w:r w:rsidRPr="003D39A3">
        <w:t>priorit</w:t>
      </w:r>
      <w:r w:rsidR="00842672">
        <w:t>y</w:t>
      </w:r>
    </w:p>
    <w:p w:rsidR="00300785" w:rsidRDefault="00614F67" w14:paraId="06DA62FA" w14:textId="6A100AE0">
      <w:r>
        <w:rPr>
          <w:noProof/>
        </w:rPr>
        <w:drawing>
          <wp:inline distT="0" distB="0" distL="0" distR="0" wp14:anchorId="047E13BD" wp14:editId="6428A54D">
            <wp:extent cx="5940000" cy="2700000"/>
            <wp:effectExtent l="0" t="0" r="3810" b="5715"/>
            <wp:docPr id="1536329701" name="Chart 1">
              <a:extLst xmlns:a="http://schemas.openxmlformats.org/drawingml/2006/main">
                <a:ext uri="{FF2B5EF4-FFF2-40B4-BE49-F238E27FC236}">
                  <a16:creationId xmlns:a16="http://schemas.microsoft.com/office/drawing/2014/main" id="{7C98A910-E1BF-7901-5BF4-79EE383225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627010" w:rsidR="00627010" w:rsidP="00627010" w:rsidRDefault="00627010" w14:paraId="5E8D0DCE" w14:textId="77777777">
      <w:r w:rsidRPr="00627010">
        <w:t>Of the 68 submissions received, 46 submitters made comments relating to the Access and Participation priority. Four submitters suggested alternative wording to the priority.</w:t>
      </w:r>
    </w:p>
    <w:p w:rsidRPr="00627010" w:rsidR="00627010" w:rsidP="00627010" w:rsidRDefault="00627010" w14:paraId="64577545" w14:textId="17856896">
      <w:r w:rsidRPr="00627010">
        <w:t xml:space="preserve">Four suggestions for rewording </w:t>
      </w:r>
      <w:r w:rsidR="00D36210">
        <w:t xml:space="preserve">were received. This </w:t>
      </w:r>
      <w:r w:rsidRPr="00627010">
        <w:t xml:space="preserve">included expanding the wording to include all TEO’s, reframing access as an equity and </w:t>
      </w:r>
      <w:proofErr w:type="spellStart"/>
      <w:r w:rsidRPr="00627010">
        <w:t>Te</w:t>
      </w:r>
      <w:proofErr w:type="spellEnd"/>
      <w:r w:rsidRPr="00627010">
        <w:t xml:space="preserve"> </w:t>
      </w:r>
      <w:proofErr w:type="spellStart"/>
      <w:r w:rsidRPr="00627010">
        <w:t>Tiriti</w:t>
      </w:r>
      <w:proofErr w:type="spellEnd"/>
      <w:r w:rsidRPr="00627010">
        <w:t xml:space="preserve"> o Waitangi </w:t>
      </w:r>
      <w:proofErr w:type="gramStart"/>
      <w:r w:rsidRPr="00627010">
        <w:t>obligation</w:t>
      </w:r>
      <w:r w:rsidR="00E63AF9">
        <w:t>,</w:t>
      </w:r>
      <w:r w:rsidRPr="00627010">
        <w:t xml:space="preserve"> and</w:t>
      </w:r>
      <w:proofErr w:type="gramEnd"/>
      <w:r w:rsidRPr="00627010">
        <w:t xml:space="preserve"> updating the words ‘young people’ to be more inclusive</w:t>
      </w:r>
      <w:r w:rsidR="003F3A87">
        <w:t>,</w:t>
      </w:r>
      <w:r w:rsidRPr="00627010">
        <w:t xml:space="preserve"> as we need to recognise the mobility across and between university and vocational education sectors.</w:t>
      </w:r>
    </w:p>
    <w:p w:rsidRPr="00627010" w:rsidR="00627010" w:rsidP="00627010" w:rsidRDefault="00627010" w14:paraId="0BB06176" w14:textId="3534C5E5">
      <w:pPr>
        <w:pStyle w:val="Quote"/>
      </w:pPr>
      <w:r w:rsidRPr="00627010">
        <w:t xml:space="preserve">Enable access to education and training for people from all backgrounds and regions, ensuring more people build relevant skills that contribute to a productive economy, </w:t>
      </w:r>
      <w:r w:rsidRPr="00627010">
        <w:rPr>
          <w:b/>
          <w:bCs/>
        </w:rPr>
        <w:t>and the wellbeing of themselves, their whānau and families, and their community.</w:t>
      </w:r>
      <w:r w:rsidR="00C12FD7">
        <w:rPr>
          <w:b/>
          <w:bCs/>
        </w:rPr>
        <w:t xml:space="preserve"> (</w:t>
      </w:r>
      <w:r w:rsidRPr="00C12FD7" w:rsidR="00C12FD7">
        <w:rPr>
          <w:i w:val="0"/>
          <w:iCs w:val="0"/>
        </w:rPr>
        <w:t>Ace Aotearoa)</w:t>
      </w:r>
    </w:p>
    <w:p w:rsidR="004C7BFC" w:rsidP="00627010" w:rsidRDefault="00627010" w14:paraId="1450A6D3" w14:textId="01E8B360">
      <w:r w:rsidRPr="00627010">
        <w:t xml:space="preserve">Overall, submitters generally supported the Access and Participation priority, with comments confirming the importance of addressing barriers to accessing tertiary education. </w:t>
      </w:r>
      <w:r w:rsidR="007E747A">
        <w:t xml:space="preserve">One submitter </w:t>
      </w:r>
      <w:r w:rsidRPr="00627010">
        <w:t>stated there is a need to</w:t>
      </w:r>
      <w:r w:rsidR="002F69DF">
        <w:t>:</w:t>
      </w:r>
    </w:p>
    <w:p w:rsidRPr="00627010" w:rsidR="00627010" w:rsidP="006E0B2C" w:rsidRDefault="004C7BFC" w14:paraId="0897A5B7" w14:textId="71EF61FD">
      <w:pPr>
        <w:pStyle w:val="Quote"/>
        <w:ind w:right="765"/>
      </w:pPr>
      <w:r>
        <w:t>…</w:t>
      </w:r>
      <w:r w:rsidRPr="00627010" w:rsidR="00627010">
        <w:t>redefine the focus – this time from an input message to a statement of agency and provider accountability for making this happen.</w:t>
      </w:r>
      <w:r w:rsidR="007E747A">
        <w:t xml:space="preserve"> </w:t>
      </w:r>
      <w:r w:rsidRPr="007E747A" w:rsidR="007E747A">
        <w:rPr>
          <w:i w:val="0"/>
          <w:iCs w:val="0"/>
        </w:rPr>
        <w:t>(Primary ITO)</w:t>
      </w:r>
    </w:p>
    <w:p w:rsidRPr="00467411" w:rsidR="00467411" w:rsidP="008E0256" w:rsidRDefault="006D31D8" w14:paraId="1AF6E8AA" w14:textId="19120217">
      <w:pPr>
        <w:pStyle w:val="Heading4"/>
      </w:pPr>
      <w:r>
        <w:t>Tertiary Education Organisations</w:t>
      </w:r>
      <w:r w:rsidR="00012CE1">
        <w:t xml:space="preserve"> and their </w:t>
      </w:r>
      <w:r w:rsidRPr="00012CE1" w:rsidR="00012CE1">
        <w:t>representative bodies</w:t>
      </w:r>
    </w:p>
    <w:p w:rsidRPr="00467411" w:rsidR="00467411" w:rsidP="00467411" w:rsidRDefault="00A67D38" w14:paraId="0D487E01" w14:textId="0DB54E84">
      <w:r>
        <w:t>Twenty-three TEOs (e</w:t>
      </w:r>
      <w:r w:rsidRPr="00467411" w:rsidR="00467411">
        <w:t>ight universities</w:t>
      </w:r>
      <w:r>
        <w:t xml:space="preserve">, </w:t>
      </w:r>
      <w:r w:rsidRPr="00467411">
        <w:t xml:space="preserve">seven </w:t>
      </w:r>
      <w:proofErr w:type="spellStart"/>
      <w:r w:rsidRPr="00467411">
        <w:t>Te</w:t>
      </w:r>
      <w:proofErr w:type="spellEnd"/>
      <w:r w:rsidRPr="00467411">
        <w:t xml:space="preserve"> </w:t>
      </w:r>
      <w:proofErr w:type="spellStart"/>
      <w:r w:rsidRPr="00467411">
        <w:t>Pūkenga</w:t>
      </w:r>
      <w:proofErr w:type="spellEnd"/>
      <w:r w:rsidRPr="00467411">
        <w:t xml:space="preserve"> divisions, four PTEs, three </w:t>
      </w:r>
      <w:r>
        <w:t>tertiary sector entities</w:t>
      </w:r>
      <w:r w:rsidRPr="00467411">
        <w:t xml:space="preserve"> and one </w:t>
      </w:r>
      <w:r>
        <w:t>w</w:t>
      </w:r>
      <w:r w:rsidRPr="00467411">
        <w:t>ānanga</w:t>
      </w:r>
      <w:r>
        <w:t>)</w:t>
      </w:r>
      <w:r w:rsidRPr="00467411" w:rsidR="00467411">
        <w:t xml:space="preserve"> provided comments on this question with five submitters calling out the need for equity and access for underserved populations. The University of Auckland stated that it </w:t>
      </w:r>
      <w:r w:rsidRPr="00467411" w:rsidR="00467411">
        <w:rPr>
          <w:i/>
          <w:iCs/>
        </w:rPr>
        <w:t>“…. supports a dynamic, flexible access model that meets emerging workforce needs while fitting around the realities of working adults</w:t>
      </w:r>
      <w:r w:rsidRPr="00467411" w:rsidR="00467411">
        <w:t>”.</w:t>
      </w:r>
    </w:p>
    <w:p w:rsidRPr="00467411" w:rsidR="00467411" w:rsidP="00467411" w:rsidRDefault="00467411" w14:paraId="3116A157" w14:textId="287773C5">
      <w:r w:rsidRPr="00467411">
        <w:t xml:space="preserve">Three submitters commented that education pathways are not always linear and learning needs are dynamic. </w:t>
      </w:r>
    </w:p>
    <w:p w:rsidRPr="00467411" w:rsidR="00467411" w:rsidP="007E5F9B" w:rsidRDefault="00467411" w14:paraId="4C384A31" w14:textId="68620C6F">
      <w:pPr>
        <w:pStyle w:val="Quote"/>
      </w:pPr>
      <w:r w:rsidRPr="00467411">
        <w:t>Support the movement of students between providers. Pursue development of a New Zealand Government mandated platform for use by all publicly funded providers for credit transfer and upholding the integrity of the qualification system.</w:t>
      </w:r>
      <w:r w:rsidR="004C7BFC">
        <w:t xml:space="preserve"> </w:t>
      </w:r>
      <w:r w:rsidRPr="004C7BFC" w:rsidR="004C7BFC">
        <w:rPr>
          <w:i w:val="0"/>
          <w:iCs w:val="0"/>
        </w:rPr>
        <w:t>(Universities NZ)</w:t>
      </w:r>
    </w:p>
    <w:p w:rsidRPr="00467411" w:rsidR="00467411" w:rsidP="00467411" w:rsidRDefault="007E4150" w14:paraId="0CA996DC" w14:textId="35A8C203">
      <w:r>
        <w:t>E</w:t>
      </w:r>
      <w:r w:rsidRPr="00467411" w:rsidR="00467411">
        <w:t xml:space="preserve">ight </w:t>
      </w:r>
      <w:r>
        <w:t xml:space="preserve">submitter </w:t>
      </w:r>
      <w:r w:rsidRPr="00467411" w:rsidR="00467411">
        <w:t xml:space="preserve">comments </w:t>
      </w:r>
      <w:r>
        <w:t>highlighted</w:t>
      </w:r>
      <w:r w:rsidRPr="00467411" w:rsidR="00467411">
        <w:t xml:space="preserve"> the need for an equitable system that serves all underserved populations including Māori, Pacific and </w:t>
      </w:r>
      <w:r w:rsidR="003457E9">
        <w:t>d</w:t>
      </w:r>
      <w:r w:rsidRPr="00467411" w:rsidR="00467411">
        <w:t xml:space="preserve">isabled people. </w:t>
      </w:r>
    </w:p>
    <w:p w:rsidRPr="00467411" w:rsidR="00467411" w:rsidP="007E5F9B" w:rsidRDefault="00467411" w14:paraId="610D219A" w14:textId="6A6FB8D1">
      <w:pPr>
        <w:pStyle w:val="Quote"/>
      </w:pPr>
      <w:r w:rsidRPr="00467411">
        <w:t>Ensuring equitable access means actively removing barriers and creating opportunities that reflect the diverse needs and aspirations of all learners.</w:t>
      </w:r>
      <w:r w:rsidR="004C7BFC">
        <w:t xml:space="preserve"> (</w:t>
      </w:r>
      <w:r w:rsidRPr="00467411" w:rsidR="004C7BFC">
        <w:t>Ako Aotearoa</w:t>
      </w:r>
      <w:r w:rsidR="004C7BFC">
        <w:t>)</w:t>
      </w:r>
    </w:p>
    <w:p w:rsidRPr="00467411" w:rsidR="00467411" w:rsidP="00467411" w:rsidRDefault="00467411" w14:paraId="4FCF0D2D" w14:textId="77777777">
      <w:r w:rsidRPr="00467411">
        <w:t xml:space="preserve">Six submitters commented that access to tertiary education in regions is vital and one submitter suggested that diverse delivery options and support models are needed. </w:t>
      </w:r>
    </w:p>
    <w:p w:rsidR="004838FB" w:rsidP="00467411" w:rsidRDefault="00467411" w14:paraId="437127F7" w14:textId="0D31AD48">
      <w:r w:rsidRPr="00467411">
        <w:t>Two submitters mentioned the need to support lifelong learning and retraining</w:t>
      </w:r>
      <w:r w:rsidR="00B8087B">
        <w:t>:</w:t>
      </w:r>
      <w:r w:rsidRPr="00467411">
        <w:t xml:space="preserve"> </w:t>
      </w:r>
    </w:p>
    <w:p w:rsidRPr="00467411" w:rsidR="00467411" w:rsidP="004838FB" w:rsidRDefault="004838FB" w14:paraId="55395754" w14:textId="6D3759F1">
      <w:pPr>
        <w:pStyle w:val="Quote"/>
      </w:pPr>
      <w:r>
        <w:t>T</w:t>
      </w:r>
      <w:r w:rsidRPr="00467411" w:rsidR="00467411">
        <w:t>he strategy should include a focus on developing education pathways between tertiary providers and iwi and hapū.</w:t>
      </w:r>
      <w:r w:rsidR="007E747A">
        <w:t xml:space="preserve"> (Wintec)</w:t>
      </w:r>
    </w:p>
    <w:p w:rsidRPr="00467411" w:rsidR="00467411" w:rsidP="008E0256" w:rsidRDefault="00467411" w14:paraId="13D82582" w14:textId="17548764">
      <w:pPr>
        <w:pStyle w:val="Heading4"/>
      </w:pPr>
      <w:r w:rsidRPr="00467411">
        <w:t>Educator</w:t>
      </w:r>
      <w:r w:rsidR="008E0256">
        <w:t>s</w:t>
      </w:r>
      <w:r w:rsidRPr="00467411">
        <w:t>/Student</w:t>
      </w:r>
      <w:r w:rsidR="008E0256">
        <w:t>s</w:t>
      </w:r>
    </w:p>
    <w:p w:rsidRPr="00176D01" w:rsidR="00467411" w:rsidP="00467411" w:rsidRDefault="00467411" w14:paraId="00BB022B" w14:textId="0C76874F">
      <w:pPr>
        <w:rPr>
          <w:bCs/>
        </w:rPr>
      </w:pPr>
      <w:r w:rsidRPr="00467411">
        <w:rPr>
          <w:bCs/>
        </w:rPr>
        <w:t xml:space="preserve">Four educator groups and student unions provided comments noting financial barriers and a need for more agile and responsive delivery models. One submitter </w:t>
      </w:r>
      <w:r w:rsidRPr="00467411" w:rsidR="00AE0437">
        <w:rPr>
          <w:bCs/>
        </w:rPr>
        <w:t>stated,</w:t>
      </w:r>
      <w:r w:rsidRPr="00467411">
        <w:rPr>
          <w:bCs/>
        </w:rPr>
        <w:t xml:space="preserve"> </w:t>
      </w:r>
      <w:r w:rsidRPr="00467411">
        <w:rPr>
          <w:bCs/>
          <w:i/>
          <w:iCs/>
        </w:rPr>
        <w:t xml:space="preserve">“the government has a particular obligation, under </w:t>
      </w:r>
      <w:proofErr w:type="spellStart"/>
      <w:r w:rsidRPr="00467411">
        <w:rPr>
          <w:bCs/>
          <w:i/>
          <w:iCs/>
        </w:rPr>
        <w:t>Te</w:t>
      </w:r>
      <w:proofErr w:type="spellEnd"/>
      <w:r w:rsidRPr="00467411">
        <w:rPr>
          <w:bCs/>
          <w:i/>
          <w:iCs/>
        </w:rPr>
        <w:t xml:space="preserve"> </w:t>
      </w:r>
      <w:proofErr w:type="spellStart"/>
      <w:r w:rsidRPr="00467411">
        <w:rPr>
          <w:bCs/>
          <w:i/>
          <w:iCs/>
        </w:rPr>
        <w:t>Tiriti</w:t>
      </w:r>
      <w:proofErr w:type="spellEnd"/>
      <w:r w:rsidRPr="00467411">
        <w:rPr>
          <w:bCs/>
          <w:i/>
          <w:iCs/>
        </w:rPr>
        <w:t xml:space="preserve"> o Waitangi, to ensure equitable outcomes for Māori”</w:t>
      </w:r>
      <w:r w:rsidR="008B44A0">
        <w:rPr>
          <w:bCs/>
          <w:i/>
          <w:iCs/>
        </w:rPr>
        <w:t>.</w:t>
      </w:r>
      <w:r w:rsidR="00176D01">
        <w:rPr>
          <w:bCs/>
          <w:i/>
          <w:iCs/>
        </w:rPr>
        <w:t xml:space="preserve"> </w:t>
      </w:r>
      <w:r w:rsidR="00176D01">
        <w:rPr>
          <w:bCs/>
        </w:rPr>
        <w:t>Another submitter expanded on this</w:t>
      </w:r>
      <w:r w:rsidR="00493F99">
        <w:rPr>
          <w:bCs/>
        </w:rPr>
        <w:t xml:space="preserve"> connecting the role of regional delivery</w:t>
      </w:r>
      <w:r w:rsidR="00176D01">
        <w:rPr>
          <w:bCs/>
        </w:rPr>
        <w:t xml:space="preserve">: </w:t>
      </w:r>
    </w:p>
    <w:p w:rsidRPr="00467411" w:rsidR="00467411" w:rsidP="007E5F9B" w:rsidRDefault="00467411" w14:paraId="214EE325" w14:textId="44CC4CA1">
      <w:pPr>
        <w:pStyle w:val="Quote"/>
      </w:pPr>
      <w:r w:rsidRPr="00467411">
        <w:t>If regional participation is to be strengthened, polytechnics must be funded and empowered to act as genuine anchors for local skills, cultural development, and community life, not just as training pipelines for industry.</w:t>
      </w:r>
      <w:r w:rsidR="00E74162">
        <w:t xml:space="preserve"> </w:t>
      </w:r>
      <w:r w:rsidRPr="00E74162" w:rsidR="00E74162">
        <w:rPr>
          <w:i w:val="0"/>
          <w:iCs w:val="0"/>
        </w:rPr>
        <w:t>(</w:t>
      </w:r>
      <w:r w:rsidRPr="00E74162" w:rsidR="00E74162">
        <w:rPr>
          <w:bCs/>
          <w:i w:val="0"/>
          <w:iCs w:val="0"/>
        </w:rPr>
        <w:t>TEU)</w:t>
      </w:r>
    </w:p>
    <w:p w:rsidRPr="00467411" w:rsidR="00467411" w:rsidP="008E0256" w:rsidRDefault="00467411" w14:paraId="6A6CCCC5" w14:textId="20DABAE2">
      <w:pPr>
        <w:pStyle w:val="Heading4"/>
      </w:pPr>
      <w:r w:rsidRPr="00467411">
        <w:t xml:space="preserve">Industry </w:t>
      </w:r>
    </w:p>
    <w:p w:rsidRPr="00467411" w:rsidR="008E0256" w:rsidP="00CC3E5A" w:rsidRDefault="00467411" w14:paraId="28471671" w14:textId="00A90904">
      <w:r w:rsidRPr="00467411">
        <w:t>Fourteen industry groups submitted comments. Four of these commented on the disparities for Māori, Pacific, disabled, regional learners and those from low-income backgrounds. One submitter commented that access to technology remains a barrier.</w:t>
      </w:r>
      <w:r w:rsidR="008E0256">
        <w:t xml:space="preserve"> T</w:t>
      </w:r>
      <w:r w:rsidRPr="00467411" w:rsidR="008E0256">
        <w:t xml:space="preserve">hree submitters </w:t>
      </w:r>
      <w:r w:rsidR="008E0256">
        <w:t xml:space="preserve">noted </w:t>
      </w:r>
      <w:r w:rsidRPr="00467411" w:rsidR="008E0256">
        <w:t xml:space="preserve">that lifelong and transitional pathways </w:t>
      </w:r>
      <w:r w:rsidR="007A05D6">
        <w:t>are</w:t>
      </w:r>
      <w:r w:rsidRPr="00467411" w:rsidR="008E0256">
        <w:t xml:space="preserve"> especially important.</w:t>
      </w:r>
    </w:p>
    <w:p w:rsidRPr="00467411" w:rsidR="00467411" w:rsidP="00467411" w:rsidRDefault="00467411" w14:paraId="5C704639" w14:textId="56863EF0">
      <w:r w:rsidRPr="00467411">
        <w:t>Six submitters supported the need for accessibility for regional areas, with one submitter suggesting meaningful engagement with work-integrated learning opportunities</w:t>
      </w:r>
      <w:r w:rsidR="00376EEE">
        <w:t>:</w:t>
      </w:r>
      <w:r w:rsidRPr="00467411">
        <w:t xml:space="preserve"> </w:t>
      </w:r>
    </w:p>
    <w:p w:rsidRPr="008E0256" w:rsidR="00467411" w:rsidP="007E5F9B" w:rsidRDefault="00467411" w14:paraId="5A42DD56" w14:textId="052887DD">
      <w:pPr>
        <w:pStyle w:val="Quote"/>
        <w:rPr>
          <w:i w:val="0"/>
          <w:iCs w:val="0"/>
        </w:rPr>
      </w:pPr>
      <w:r w:rsidRPr="00467411">
        <w:t>Supporting rural and regional communities into ARC roles contributes both to workforce supply and to more culturally competent care for residents.</w:t>
      </w:r>
      <w:r w:rsidR="008E0256">
        <w:t xml:space="preserve"> </w:t>
      </w:r>
      <w:r w:rsidRPr="00583B22" w:rsidR="008E0256">
        <w:rPr>
          <w:i w:val="0"/>
          <w:iCs w:val="0"/>
        </w:rPr>
        <w:t>(Aged Care Association)</w:t>
      </w:r>
    </w:p>
    <w:p w:rsidRPr="00467411" w:rsidR="00467411" w:rsidP="008E0256" w:rsidRDefault="00467411" w14:paraId="63CCC90D" w14:textId="77777777">
      <w:pPr>
        <w:pStyle w:val="Heading4"/>
      </w:pPr>
      <w:r w:rsidRPr="00467411">
        <w:t>Research</w:t>
      </w:r>
    </w:p>
    <w:p w:rsidRPr="00467411" w:rsidR="00467411" w:rsidP="00467411" w:rsidRDefault="00467411" w14:paraId="4249D588" w14:textId="77777777">
      <w:r w:rsidRPr="00467411">
        <w:t>One submitter commented on this priority, confirming support for the importance that has been placed on it.</w:t>
      </w:r>
    </w:p>
    <w:p w:rsidRPr="00467411" w:rsidR="00467411" w:rsidP="00870182" w:rsidRDefault="00467411" w14:paraId="2591AC22" w14:textId="77777777">
      <w:pPr>
        <w:pStyle w:val="Heading3"/>
      </w:pPr>
      <w:bookmarkStart w:name="_Toc211314482" w:id="34"/>
      <w:bookmarkStart w:name="_Hlk210893354" w:id="35"/>
      <w:r w:rsidRPr="00467411">
        <w:t>To what extent will the expected changes and contributing activities effectively achieve the priority?</w:t>
      </w:r>
      <w:bookmarkEnd w:id="34"/>
      <w:r w:rsidRPr="00467411">
        <w:t xml:space="preserve"> </w:t>
      </w:r>
    </w:p>
    <w:p w:rsidR="00891F3D" w:rsidP="00891F3D" w:rsidRDefault="00891F3D" w14:paraId="2C6D5410" w14:textId="653267A2">
      <w:pPr>
        <w:pStyle w:val="Caption"/>
        <w:keepNext/>
      </w:pPr>
      <w:r>
        <w:t xml:space="preserve">Figure </w:t>
      </w:r>
      <w:r>
        <w:fldChar w:fldCharType="begin"/>
      </w:r>
      <w:r>
        <w:instrText>SEQ Figure \* ARABIC</w:instrText>
      </w:r>
      <w:r>
        <w:fldChar w:fldCharType="separate"/>
      </w:r>
      <w:r w:rsidR="00ED2C25">
        <w:rPr>
          <w:noProof/>
        </w:rPr>
        <w:t>7</w:t>
      </w:r>
      <w:r>
        <w:fldChar w:fldCharType="end"/>
      </w:r>
      <w:r>
        <w:t xml:space="preserve">: </w:t>
      </w:r>
      <w:r w:rsidRPr="00A852E1">
        <w:t>Will the activities support achievement of this priority?</w:t>
      </w:r>
    </w:p>
    <w:p w:rsidRPr="00467411" w:rsidR="00891565" w:rsidP="00467411" w:rsidRDefault="00891F3D" w14:paraId="033E8872" w14:textId="50849EB6">
      <w:r>
        <w:rPr>
          <w:noProof/>
        </w:rPr>
        <w:drawing>
          <wp:inline distT="0" distB="0" distL="0" distR="0" wp14:anchorId="6A2DC083" wp14:editId="682F594A">
            <wp:extent cx="5940000" cy="1980000"/>
            <wp:effectExtent l="0" t="0" r="3810" b="1270"/>
            <wp:docPr id="1657955686" name="Chart 1">
              <a:extLst xmlns:a="http://schemas.openxmlformats.org/drawingml/2006/main">
                <a:ext uri="{FF2B5EF4-FFF2-40B4-BE49-F238E27FC236}">
                  <a16:creationId xmlns:a16="http://schemas.microsoft.com/office/drawing/2014/main" id="{960D2935-EE2F-D3D2-E243-FDEC92ED28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BF59FF">
        <w:t>Thirty</w:t>
      </w:r>
      <w:r w:rsidRPr="00467411" w:rsidR="00467411">
        <w:t xml:space="preserve"> submitters </w:t>
      </w:r>
      <w:r w:rsidR="0035638C">
        <w:t>(</w:t>
      </w:r>
      <w:r w:rsidR="00376EEE">
        <w:t xml:space="preserve">12 industry, </w:t>
      </w:r>
      <w:r w:rsidR="004718FD">
        <w:t>12 TEOs</w:t>
      </w:r>
      <w:r w:rsidR="00376EEE">
        <w:t xml:space="preserve">, </w:t>
      </w:r>
      <w:r w:rsidR="0035638C">
        <w:t xml:space="preserve">four educators/students, and two research organisations) </w:t>
      </w:r>
      <w:r w:rsidRPr="00467411" w:rsidR="00467411">
        <w:t>commented on whether the expected changes and activities were enough the achieve the priority.</w:t>
      </w:r>
    </w:p>
    <w:p w:rsidRPr="00467411" w:rsidR="00C91FC1" w:rsidP="00C91FC1" w:rsidRDefault="00C91FC1" w14:paraId="6DDDDD02" w14:textId="77777777">
      <w:pPr>
        <w:pStyle w:val="Heading4"/>
      </w:pPr>
      <w:r>
        <w:t xml:space="preserve">Tertiary Education Organisations and their </w:t>
      </w:r>
      <w:r w:rsidRPr="00012CE1">
        <w:t>representative bodies</w:t>
      </w:r>
    </w:p>
    <w:p w:rsidRPr="00467411" w:rsidR="00467411" w:rsidP="00467411" w:rsidRDefault="00A82943" w14:paraId="4B35EBD1" w14:textId="252080BC">
      <w:pPr>
        <w:rPr>
          <w:bCs/>
        </w:rPr>
      </w:pPr>
      <w:r>
        <w:rPr>
          <w:bCs/>
        </w:rPr>
        <w:t>Twelve TEOs (</w:t>
      </w:r>
      <w:r w:rsidRPr="00467411">
        <w:t xml:space="preserve">five </w:t>
      </w:r>
      <w:proofErr w:type="spellStart"/>
      <w:r w:rsidRPr="00467411">
        <w:t>Te</w:t>
      </w:r>
      <w:proofErr w:type="spellEnd"/>
      <w:r w:rsidRPr="00467411">
        <w:t xml:space="preserve"> </w:t>
      </w:r>
      <w:proofErr w:type="spellStart"/>
      <w:r w:rsidRPr="00467411">
        <w:t>Pūkenga</w:t>
      </w:r>
      <w:proofErr w:type="spellEnd"/>
      <w:r w:rsidRPr="00467411">
        <w:t xml:space="preserve"> divisions, </w:t>
      </w:r>
      <w:r>
        <w:rPr>
          <w:bCs/>
        </w:rPr>
        <w:t>f</w:t>
      </w:r>
      <w:r w:rsidRPr="00467411" w:rsidR="00467411">
        <w:rPr>
          <w:bCs/>
        </w:rPr>
        <w:t>our universities</w:t>
      </w:r>
      <w:r>
        <w:rPr>
          <w:bCs/>
        </w:rPr>
        <w:t xml:space="preserve">, </w:t>
      </w:r>
      <w:r w:rsidRPr="00467411">
        <w:t xml:space="preserve">two PTEs and one </w:t>
      </w:r>
      <w:r>
        <w:t>w</w:t>
      </w:r>
      <w:r w:rsidRPr="00467411">
        <w:t>ānanga</w:t>
      </w:r>
      <w:r>
        <w:t>)</w:t>
      </w:r>
      <w:r w:rsidRPr="00467411" w:rsidR="00467411">
        <w:rPr>
          <w:bCs/>
        </w:rPr>
        <w:t xml:space="preserve"> provided comments, with three submitters noting that there needs to be more funding and equity supports in place, including access to digital infrastructure and connectivity. </w:t>
      </w:r>
      <w:r w:rsidR="00976001">
        <w:rPr>
          <w:bCs/>
        </w:rPr>
        <w:t>One submitter highlighted the costs associated with</w:t>
      </w:r>
      <w:r w:rsidRPr="00467411" w:rsidR="00467411">
        <w:rPr>
          <w:bCs/>
        </w:rPr>
        <w:t xml:space="preserve"> deliver</w:t>
      </w:r>
      <w:r w:rsidR="00976001">
        <w:rPr>
          <w:bCs/>
        </w:rPr>
        <w:t>y</w:t>
      </w:r>
      <w:r w:rsidRPr="00467411" w:rsidR="00467411">
        <w:rPr>
          <w:bCs/>
        </w:rPr>
        <w:t xml:space="preserve"> to regional areas:</w:t>
      </w:r>
    </w:p>
    <w:p w:rsidRPr="00467411" w:rsidR="00467411" w:rsidP="007E5F9B" w:rsidRDefault="00467411" w14:paraId="6EA4915B" w14:textId="0B10D45E">
      <w:pPr>
        <w:pStyle w:val="Quote"/>
      </w:pPr>
      <w:r w:rsidRPr="00467411">
        <w:t xml:space="preserve">Provision aimed at underserved groups is often more costly to deliver as students may need higher levels of academic and pastoral support, and many of these students reside outside central city locations, with </w:t>
      </w:r>
      <w:r w:rsidRPr="00467411">
        <w:t>regional, face-to-face delivery requiring a higher investment.</w:t>
      </w:r>
      <w:r w:rsidR="00976001">
        <w:t xml:space="preserve"> </w:t>
      </w:r>
      <w:r w:rsidRPr="00976001" w:rsidR="00976001">
        <w:rPr>
          <w:i w:val="0"/>
          <w:iCs w:val="0"/>
        </w:rPr>
        <w:t>(</w:t>
      </w:r>
      <w:r w:rsidRPr="00976001" w:rsidR="00976001">
        <w:rPr>
          <w:bCs/>
          <w:i w:val="0"/>
          <w:iCs w:val="0"/>
        </w:rPr>
        <w:t>University of Canterbury)</w:t>
      </w:r>
    </w:p>
    <w:p w:rsidRPr="00467411" w:rsidR="00467411" w:rsidP="00467411" w:rsidRDefault="00464D04" w14:paraId="73E89B4A" w14:textId="3B6B51E3">
      <w:r>
        <w:t>T</w:t>
      </w:r>
      <w:r w:rsidRPr="00467411" w:rsidR="00467411">
        <w:t xml:space="preserve">hree </w:t>
      </w:r>
      <w:r>
        <w:t xml:space="preserve">TEO submitters </w:t>
      </w:r>
      <w:r w:rsidRPr="00467411" w:rsidR="00467411">
        <w:t>suggest</w:t>
      </w:r>
      <w:r>
        <w:t>ed</w:t>
      </w:r>
      <w:r w:rsidRPr="00467411" w:rsidR="00467411">
        <w:t xml:space="preserve"> that strengthening the pathway from secondary to tertiary education is needed. </w:t>
      </w:r>
    </w:p>
    <w:p w:rsidRPr="00467411" w:rsidR="00467411" w:rsidP="007E5F9B" w:rsidRDefault="00467411" w14:paraId="3D9A6303" w14:textId="750CC55B">
      <w:pPr>
        <w:pStyle w:val="Quote"/>
      </w:pPr>
      <w:r w:rsidRPr="00467411">
        <w:t xml:space="preserve">Build on </w:t>
      </w:r>
      <w:r w:rsidR="00C14C84">
        <w:rPr>
          <w:i w:val="0"/>
          <w:iCs w:val="0"/>
        </w:rPr>
        <w:t xml:space="preserve">[Food and Fibre] </w:t>
      </w:r>
      <w:proofErr w:type="spellStart"/>
      <w:r w:rsidRPr="00467411">
        <w:t>CoVE’s</w:t>
      </w:r>
      <w:proofErr w:type="spellEnd"/>
      <w:r w:rsidRPr="00467411">
        <w:t xml:space="preserve"> Pathways and Transitions work by strengthening secondary-tertiary pathways, scaling successful initiatives such as horticulture internships and micro-credentials that create early exposure to industry.</w:t>
      </w:r>
      <w:r w:rsidR="00C14C84">
        <w:t xml:space="preserve"> </w:t>
      </w:r>
      <w:r w:rsidRPr="00C14C84" w:rsidR="00C14C84">
        <w:rPr>
          <w:i w:val="0"/>
          <w:iCs w:val="0"/>
        </w:rPr>
        <w:t>(Fruition)</w:t>
      </w:r>
    </w:p>
    <w:p w:rsidRPr="00467411" w:rsidR="00467411" w:rsidP="00467411" w:rsidRDefault="00467411" w14:paraId="66D5511D" w14:textId="73CFD926">
      <w:pPr>
        <w:rPr>
          <w:iCs/>
        </w:rPr>
      </w:pPr>
      <w:r w:rsidRPr="00467411">
        <w:rPr>
          <w:iCs/>
        </w:rPr>
        <w:t>One submitter commented that emphasis on regional and flexible provision is a good step</w:t>
      </w:r>
      <w:r w:rsidR="00C14C84">
        <w:rPr>
          <w:iCs/>
        </w:rPr>
        <w:t>, but more needs to be considered</w:t>
      </w:r>
      <w:r w:rsidR="00986BA2">
        <w:rPr>
          <w:iCs/>
        </w:rPr>
        <w:t xml:space="preserve"> with the reestablishment of individual polytechnics</w:t>
      </w:r>
      <w:r w:rsidR="00525DBC">
        <w:rPr>
          <w:iCs/>
        </w:rPr>
        <w:t>:</w:t>
      </w:r>
    </w:p>
    <w:p w:rsidRPr="00467411" w:rsidR="00467411" w:rsidP="007E5F9B" w:rsidRDefault="00467411" w14:paraId="2095BC60" w14:textId="476317A2">
      <w:pPr>
        <w:pStyle w:val="Quote"/>
      </w:pPr>
      <w:r w:rsidRPr="00467411">
        <w:t>If regional and rural communities are to be well-served, a national reach giving local opportunity should be specifically incentivised and not simply be considered the mechanism to "rebuild a sustainable network of regional polytechnic provision"</w:t>
      </w:r>
      <w:r w:rsidR="00C14C84">
        <w:t xml:space="preserve">. </w:t>
      </w:r>
      <w:r w:rsidRPr="00C14C84" w:rsidR="00C14C84">
        <w:rPr>
          <w:i w:val="0"/>
          <w:iCs w:val="0"/>
        </w:rPr>
        <w:t>(Open Polytechnic)</w:t>
      </w:r>
    </w:p>
    <w:p w:rsidRPr="00467411" w:rsidR="00467411" w:rsidP="00467411" w:rsidRDefault="00467411" w14:paraId="2B686580" w14:textId="3A347128">
      <w:r w:rsidRPr="00467411">
        <w:t xml:space="preserve">Funding was noted by one submitter, who commented that L1-3 training was constrained by </w:t>
      </w:r>
      <w:r w:rsidRPr="00C20E25" w:rsidR="00C20E25">
        <w:t>Equivalent Full-time Student</w:t>
      </w:r>
      <w:r w:rsidR="00C20E25">
        <w:t>s (</w:t>
      </w:r>
      <w:r w:rsidRPr="00467411">
        <w:t>EFTS</w:t>
      </w:r>
      <w:r w:rsidR="00C20E25">
        <w:t>)</w:t>
      </w:r>
      <w:r w:rsidR="00D45274">
        <w:t xml:space="preserve"> </w:t>
      </w:r>
      <w:r w:rsidRPr="00467411">
        <w:t>and funding caps and need to be addressed to ensure the ability to deliver to underserved learners.</w:t>
      </w:r>
    </w:p>
    <w:p w:rsidRPr="00467411" w:rsidR="00467411" w:rsidP="00870182" w:rsidRDefault="00467411" w14:paraId="5F0AA2EF" w14:textId="637E80EE">
      <w:pPr>
        <w:pStyle w:val="Heading4"/>
      </w:pPr>
      <w:r w:rsidRPr="00467411">
        <w:t>Educator</w:t>
      </w:r>
      <w:r w:rsidR="00870182">
        <w:t>s</w:t>
      </w:r>
      <w:r w:rsidRPr="00467411">
        <w:t>/Student</w:t>
      </w:r>
      <w:r w:rsidR="00870182">
        <w:t>s</w:t>
      </w:r>
    </w:p>
    <w:p w:rsidRPr="00467411" w:rsidR="00467411" w:rsidP="00467411" w:rsidRDefault="00467411" w14:paraId="361996F2" w14:textId="065AD220">
      <w:pPr>
        <w:rPr>
          <w:bCs/>
        </w:rPr>
      </w:pPr>
      <w:r w:rsidRPr="00467411">
        <w:rPr>
          <w:bCs/>
        </w:rPr>
        <w:t xml:space="preserve">Four submitters commented on the need for funding and support for underserved groups. </w:t>
      </w:r>
      <w:r w:rsidR="00195E62">
        <w:rPr>
          <w:bCs/>
        </w:rPr>
        <w:t>One submitter highlighted the role of foundation education</w:t>
      </w:r>
      <w:r w:rsidR="00350B09">
        <w:rPr>
          <w:bCs/>
        </w:rPr>
        <w:t>:</w:t>
      </w:r>
    </w:p>
    <w:p w:rsidRPr="00467411" w:rsidR="00467411" w:rsidP="007E5F9B" w:rsidRDefault="00467411" w14:paraId="0EC09FE1" w14:textId="445A29DE">
      <w:pPr>
        <w:pStyle w:val="Quote"/>
      </w:pPr>
      <w:r w:rsidRPr="00467411">
        <w:t>Foundation education has often been the first to face cuts in times of fiscal restraint, yet it is crucial for enabling young people with limited prior attainment to re-engage in learning.</w:t>
      </w:r>
      <w:r w:rsidR="00195E62">
        <w:t xml:space="preserve"> </w:t>
      </w:r>
      <w:r w:rsidRPr="00195E62" w:rsidR="00195E62">
        <w:rPr>
          <w:i w:val="0"/>
          <w:iCs w:val="0"/>
        </w:rPr>
        <w:t>(TEU)</w:t>
      </w:r>
    </w:p>
    <w:p w:rsidRPr="00467411" w:rsidR="00467411" w:rsidP="00870182" w:rsidRDefault="00467411" w14:paraId="0EC225AD" w14:textId="6938531F">
      <w:pPr>
        <w:pStyle w:val="Heading4"/>
      </w:pPr>
      <w:r w:rsidRPr="00467411">
        <w:t>Industry</w:t>
      </w:r>
    </w:p>
    <w:p w:rsidRPr="00467411" w:rsidR="00467411" w:rsidP="00467411" w:rsidRDefault="00467411" w14:paraId="492C1465" w14:textId="4004A147">
      <w:pPr>
        <w:rPr>
          <w:bCs/>
        </w:rPr>
      </w:pPr>
      <w:r w:rsidRPr="00467411">
        <w:rPr>
          <w:bCs/>
        </w:rPr>
        <w:t xml:space="preserve">Twelve </w:t>
      </w:r>
      <w:r w:rsidR="00AB796A">
        <w:rPr>
          <w:bCs/>
        </w:rPr>
        <w:t xml:space="preserve">industry </w:t>
      </w:r>
      <w:r w:rsidRPr="00467411">
        <w:rPr>
          <w:bCs/>
        </w:rPr>
        <w:t xml:space="preserve">submitters commented on how the priority could be strengthened, with seven noting there </w:t>
      </w:r>
      <w:r w:rsidR="00C20E25">
        <w:rPr>
          <w:bCs/>
        </w:rPr>
        <w:t>is</w:t>
      </w:r>
      <w:r w:rsidRPr="00467411">
        <w:rPr>
          <w:bCs/>
        </w:rPr>
        <w:t xml:space="preserve"> a need for flexibility around training, particularly in the regions. This included comments on work-based learning being an effective model</w:t>
      </w:r>
      <w:r w:rsidR="00350B09">
        <w:rPr>
          <w:bCs/>
        </w:rPr>
        <w:t>:</w:t>
      </w:r>
      <w:r w:rsidRPr="00467411">
        <w:rPr>
          <w:bCs/>
        </w:rPr>
        <w:t xml:space="preserve"> </w:t>
      </w:r>
    </w:p>
    <w:p w:rsidRPr="00467411" w:rsidR="00467411" w:rsidP="007E5F9B" w:rsidRDefault="00467411" w14:paraId="3B174986" w14:textId="11979354">
      <w:pPr>
        <w:pStyle w:val="Quote"/>
      </w:pPr>
      <w:r w:rsidRPr="00467411">
        <w:t xml:space="preserve">There is real opportunity in connecting with community providers, regional advisory groups, and sector bodies to better support the variety of development opportunities.  </w:t>
      </w:r>
      <w:r w:rsidRPr="00AB796A" w:rsidR="00AB796A">
        <w:rPr>
          <w:i w:val="0"/>
          <w:iCs w:val="0"/>
        </w:rPr>
        <w:t>(</w:t>
      </w:r>
      <w:r w:rsidRPr="00AB796A" w:rsidR="00AB796A">
        <w:rPr>
          <w:bCs/>
          <w:i w:val="0"/>
          <w:iCs w:val="0"/>
        </w:rPr>
        <w:t>Creative Waikato)</w:t>
      </w:r>
    </w:p>
    <w:p w:rsidRPr="00467411" w:rsidR="00467411" w:rsidP="00467411" w:rsidRDefault="00467411" w14:paraId="64344288" w14:textId="36F05A8F">
      <w:pPr>
        <w:rPr>
          <w:i/>
          <w:iCs/>
        </w:rPr>
      </w:pPr>
      <w:r w:rsidRPr="00467411">
        <w:t xml:space="preserve">Five organisations commented that there </w:t>
      </w:r>
      <w:r w:rsidR="00C20E25">
        <w:t>is</w:t>
      </w:r>
      <w:r w:rsidRPr="00467411">
        <w:t xml:space="preserve"> a need for stronger pathways from secondary to tertiary education.</w:t>
      </w:r>
      <w:r w:rsidR="00AB796A">
        <w:t xml:space="preserve"> </w:t>
      </w:r>
      <w:r w:rsidRPr="00467411">
        <w:t xml:space="preserve">Four comments related to lack of funding for a provider or learner, with one submitter noting </w:t>
      </w:r>
      <w:r w:rsidRPr="00467411">
        <w:rPr>
          <w:i/>
          <w:iCs/>
        </w:rPr>
        <w:t>“The current framing omits cost barriers and creative-specific infrastructure needs”.</w:t>
      </w:r>
    </w:p>
    <w:p w:rsidRPr="00467411" w:rsidR="00467411" w:rsidP="00BC5C65" w:rsidRDefault="00467411" w14:paraId="43E95697" w14:textId="2AA70054">
      <w:pPr>
        <w:pStyle w:val="Heading4"/>
      </w:pPr>
      <w:r w:rsidRPr="00467411">
        <w:t xml:space="preserve">Research </w:t>
      </w:r>
      <w:r w:rsidR="00CC0C9F">
        <w:t>organisations</w:t>
      </w:r>
    </w:p>
    <w:p w:rsidRPr="00467411" w:rsidR="00467411" w:rsidP="00467411" w:rsidRDefault="00A65631" w14:paraId="69ABAA02" w14:textId="3DCEF0A6">
      <w:pPr>
        <w:rPr>
          <w:bCs/>
          <w:i/>
          <w:iCs/>
        </w:rPr>
      </w:pPr>
      <w:r>
        <w:rPr>
          <w:bCs/>
        </w:rPr>
        <w:t>Two</w:t>
      </w:r>
      <w:r w:rsidRPr="00467411" w:rsidR="00467411">
        <w:rPr>
          <w:bCs/>
        </w:rPr>
        <w:t xml:space="preserve"> submitter</w:t>
      </w:r>
      <w:r>
        <w:rPr>
          <w:bCs/>
        </w:rPr>
        <w:t>s</w:t>
      </w:r>
      <w:r w:rsidRPr="00467411" w:rsidR="00467411">
        <w:rPr>
          <w:bCs/>
        </w:rPr>
        <w:t xml:space="preserve"> provided comment</w:t>
      </w:r>
      <w:r>
        <w:rPr>
          <w:bCs/>
        </w:rPr>
        <w:t>s, with one</w:t>
      </w:r>
      <w:r w:rsidRPr="00467411" w:rsidR="00467411">
        <w:rPr>
          <w:bCs/>
        </w:rPr>
        <w:t xml:space="preserve"> expressing concern that the current activities listed suggest that access and participation are less important for </w:t>
      </w:r>
      <w:r w:rsidR="003710D0">
        <w:rPr>
          <w:bCs/>
        </w:rPr>
        <w:t>u</w:t>
      </w:r>
      <w:r w:rsidRPr="00467411" w:rsidR="00467411">
        <w:rPr>
          <w:bCs/>
        </w:rPr>
        <w:t>niversities to focus on.</w:t>
      </w:r>
      <w:r w:rsidR="007B4ACD">
        <w:rPr>
          <w:bCs/>
        </w:rPr>
        <w:t xml:space="preserve"> The other submitter</w:t>
      </w:r>
      <w:r w:rsidR="00596FD0">
        <w:rPr>
          <w:bCs/>
        </w:rPr>
        <w:t xml:space="preserve"> suggested a fee forgiveness policy</w:t>
      </w:r>
      <w:r w:rsidR="00096356">
        <w:rPr>
          <w:bCs/>
        </w:rPr>
        <w:t xml:space="preserve"> to partially </w:t>
      </w:r>
      <w:r w:rsidR="00DF45E3">
        <w:rPr>
          <w:bCs/>
        </w:rPr>
        <w:t xml:space="preserve">alleviate the </w:t>
      </w:r>
      <w:r w:rsidR="00AA3E7E">
        <w:rPr>
          <w:bCs/>
        </w:rPr>
        <w:t>high cost of living</w:t>
      </w:r>
      <w:r w:rsidR="00E234FD">
        <w:rPr>
          <w:bCs/>
        </w:rPr>
        <w:t xml:space="preserve"> and fee barriers.</w:t>
      </w:r>
    </w:p>
    <w:p w:rsidRPr="00467411" w:rsidR="00467411" w:rsidP="00BC5C65" w:rsidRDefault="00467411" w14:paraId="79A5EFAE" w14:textId="77777777">
      <w:pPr>
        <w:pStyle w:val="Heading3"/>
      </w:pPr>
      <w:bookmarkStart w:name="_Toc211314483" w:id="36"/>
      <w:r w:rsidRPr="00467411">
        <w:t>Do you have suggestions for additional activities to support this priority?</w:t>
      </w:r>
      <w:bookmarkEnd w:id="36"/>
    </w:p>
    <w:p w:rsidRPr="00467411" w:rsidR="00467411" w:rsidP="00467411" w:rsidRDefault="00467411" w14:paraId="6DE8E80F" w14:textId="6CAEE6DE">
      <w:r w:rsidRPr="00467411">
        <w:t>Thirty-</w:t>
      </w:r>
      <w:r w:rsidR="0009214C">
        <w:t>three</w:t>
      </w:r>
      <w:r w:rsidRPr="00467411">
        <w:t xml:space="preserve"> submitters </w:t>
      </w:r>
      <w:r w:rsidR="002D3B80">
        <w:t>(</w:t>
      </w:r>
      <w:r w:rsidR="00CC0C9F">
        <w:t>20</w:t>
      </w:r>
      <w:r w:rsidR="002D3B80">
        <w:t xml:space="preserve"> TEOs, </w:t>
      </w:r>
      <w:r w:rsidR="0052467B">
        <w:t xml:space="preserve">10 industry </w:t>
      </w:r>
      <w:r w:rsidR="004B3E15">
        <w:t>submitters</w:t>
      </w:r>
      <w:r w:rsidR="0052467B">
        <w:t xml:space="preserve">, and </w:t>
      </w:r>
      <w:r w:rsidR="002D3B80">
        <w:t xml:space="preserve">three educators/students) </w:t>
      </w:r>
      <w:r w:rsidRPr="00467411">
        <w:t>made suggestions for additional activities that could support this priority.</w:t>
      </w:r>
    </w:p>
    <w:p w:rsidRPr="00467411" w:rsidR="00467411" w:rsidP="00BC5C65" w:rsidRDefault="006D31D8" w14:paraId="1B1B7F69" w14:textId="1B482870">
      <w:pPr>
        <w:pStyle w:val="Heading4"/>
      </w:pPr>
      <w:r>
        <w:t>Tertiary Education Organisations</w:t>
      </w:r>
      <w:r w:rsidR="00CC0C9F">
        <w:t xml:space="preserve"> and their representative bodies</w:t>
      </w:r>
    </w:p>
    <w:p w:rsidRPr="00467411" w:rsidR="00467411" w:rsidP="00467411" w:rsidRDefault="00CC0C9F" w14:paraId="08F3B1A5" w14:textId="320B80FE">
      <w:r>
        <w:t>Twenty TEOs (f</w:t>
      </w:r>
      <w:r w:rsidRPr="00467411" w:rsidR="00467411">
        <w:t>ive universities</w:t>
      </w:r>
      <w:r>
        <w:t>,</w:t>
      </w:r>
      <w:r w:rsidRPr="00CC0C9F">
        <w:t xml:space="preserve"> </w:t>
      </w:r>
      <w:r w:rsidRPr="00467411">
        <w:t xml:space="preserve">five PTEs, five </w:t>
      </w:r>
      <w:proofErr w:type="spellStart"/>
      <w:r w:rsidRPr="00467411">
        <w:t>Te</w:t>
      </w:r>
      <w:proofErr w:type="spellEnd"/>
      <w:r w:rsidRPr="00467411">
        <w:t xml:space="preserve"> </w:t>
      </w:r>
      <w:proofErr w:type="spellStart"/>
      <w:r w:rsidRPr="00467411">
        <w:t>Pūkenga</w:t>
      </w:r>
      <w:proofErr w:type="spellEnd"/>
      <w:r w:rsidRPr="00467411">
        <w:t xml:space="preserve">, four </w:t>
      </w:r>
      <w:r>
        <w:t>tertiary sector entities</w:t>
      </w:r>
      <w:r w:rsidRPr="00467411">
        <w:t xml:space="preserve"> and one </w:t>
      </w:r>
      <w:r>
        <w:t>w</w:t>
      </w:r>
      <w:r w:rsidRPr="00467411">
        <w:t>ānanga</w:t>
      </w:r>
      <w:r>
        <w:t>)</w:t>
      </w:r>
      <w:r w:rsidRPr="00467411" w:rsidR="00467411">
        <w:t xml:space="preserve"> made suggestions for additional activities to be included in this priority. Three submitters expressed a need to expand funding support to providers as well as underserved groups.</w:t>
      </w:r>
    </w:p>
    <w:p w:rsidRPr="00467411" w:rsidR="00467411" w:rsidP="00467411" w:rsidRDefault="00120F73" w14:paraId="6FF204A6" w14:textId="6209EFDA">
      <w:r>
        <w:t>TEOs also provided</w:t>
      </w:r>
      <w:r w:rsidRPr="00467411" w:rsidR="00467411">
        <w:t xml:space="preserve"> comments related to defin</w:t>
      </w:r>
      <w:r w:rsidR="00DB12E2">
        <w:t>ing</w:t>
      </w:r>
      <w:r w:rsidRPr="00467411" w:rsidR="00467411">
        <w:t xml:space="preserve"> ‘</w:t>
      </w:r>
      <w:proofErr w:type="spellStart"/>
      <w:r w:rsidRPr="00467411" w:rsidR="00467411">
        <w:t>stackability</w:t>
      </w:r>
      <w:proofErr w:type="spellEnd"/>
      <w:r w:rsidRPr="00467411" w:rsidR="00467411">
        <w:t>’ rules</w:t>
      </w:r>
      <w:r w:rsidR="00904B23">
        <w:t>,</w:t>
      </w:r>
      <w:r w:rsidRPr="00467411" w:rsidR="00467411">
        <w:t xml:space="preserve"> credit transfers between providers and better collaboration between providers to share evidence and evaluations o</w:t>
      </w:r>
      <w:r w:rsidR="002E7BB2">
        <w:t>f</w:t>
      </w:r>
      <w:r w:rsidRPr="00467411" w:rsidR="00467411">
        <w:t xml:space="preserve"> what works.</w:t>
      </w:r>
      <w:r>
        <w:t xml:space="preserve"> </w:t>
      </w:r>
      <w:r w:rsidR="00CC0C9F">
        <w:t xml:space="preserve">Other TEO </w:t>
      </w:r>
      <w:r w:rsidRPr="00467411" w:rsidR="00467411">
        <w:t xml:space="preserve">comments focused on current funding mechanisms and providing financial support to underserved groups. </w:t>
      </w:r>
    </w:p>
    <w:p w:rsidRPr="00467411" w:rsidR="00467411" w:rsidP="00467411" w:rsidRDefault="00467411" w14:paraId="32A94646" w14:textId="5BADF2EF">
      <w:r w:rsidRPr="00467411">
        <w:t>Four submitters commented that flexible learning pathways, for example, short and intensive skills development or micro</w:t>
      </w:r>
      <w:r w:rsidR="00BF6D70">
        <w:t>-</w:t>
      </w:r>
      <w:r w:rsidRPr="00467411">
        <w:t>credential</w:t>
      </w:r>
      <w:r w:rsidR="00E342F1">
        <w:t xml:space="preserve"> have a role in supporting access</w:t>
      </w:r>
      <w:r w:rsidR="00B60342">
        <w:t xml:space="preserve"> and participation in tertiary education, particularly for people that are </w:t>
      </w:r>
      <w:r w:rsidR="00B30076">
        <w:t>seeking immediate employment outcomes</w:t>
      </w:r>
      <w:r w:rsidR="00E37DE5">
        <w:t>:</w:t>
      </w:r>
      <w:r w:rsidRPr="00467411">
        <w:t xml:space="preserve"> </w:t>
      </w:r>
    </w:p>
    <w:p w:rsidRPr="00467411" w:rsidR="00467411" w:rsidP="007E5F9B" w:rsidRDefault="00467411" w14:paraId="22F9A98C" w14:textId="6871CCB1">
      <w:pPr>
        <w:pStyle w:val="Quote"/>
      </w:pPr>
      <w:r w:rsidRPr="00467411">
        <w:t>The provision of smaller courses in the context of local urban and rural communities is often designed to address specific needs in the community, with the intention to upskill, and support learners to gain employment or seek further education opportunities.</w:t>
      </w:r>
      <w:r w:rsidR="00111499">
        <w:t xml:space="preserve"> </w:t>
      </w:r>
      <w:r w:rsidRPr="00111499" w:rsidR="00111499">
        <w:rPr>
          <w:i w:val="0"/>
          <w:iCs w:val="0"/>
        </w:rPr>
        <w:t>(Ace Aotearoa)</w:t>
      </w:r>
    </w:p>
    <w:p w:rsidRPr="00467411" w:rsidR="00467411" w:rsidP="00BC5C65" w:rsidRDefault="00467411" w14:paraId="5EEA2996" w14:textId="5CB57D60">
      <w:pPr>
        <w:pStyle w:val="Heading4"/>
      </w:pPr>
      <w:r w:rsidRPr="00467411">
        <w:rPr>
          <w:bCs/>
        </w:rPr>
        <w:t>Educator</w:t>
      </w:r>
      <w:r w:rsidR="00BC5C65">
        <w:rPr>
          <w:bCs/>
        </w:rPr>
        <w:t>s</w:t>
      </w:r>
      <w:r w:rsidRPr="00467411">
        <w:t>/Student</w:t>
      </w:r>
      <w:r w:rsidR="00BC5C65">
        <w:t>s</w:t>
      </w:r>
    </w:p>
    <w:p w:rsidRPr="00467411" w:rsidR="00467411" w:rsidP="00467411" w:rsidRDefault="00467411" w14:paraId="584A5581" w14:textId="0C542AB3">
      <w:pPr>
        <w:rPr>
          <w:bCs/>
        </w:rPr>
      </w:pPr>
      <w:r w:rsidRPr="00467411">
        <w:rPr>
          <w:bCs/>
        </w:rPr>
        <w:t>Three submitters made comments, with two submitters noting an equity lens must be applied to the activities and access to financial support needs to be addressed.</w:t>
      </w:r>
    </w:p>
    <w:p w:rsidRPr="00467411" w:rsidR="00467411" w:rsidP="007E5F9B" w:rsidRDefault="00467411" w14:paraId="5B45D880" w14:textId="61BD2992">
      <w:pPr>
        <w:pStyle w:val="Quote"/>
      </w:pPr>
      <w:r w:rsidRPr="00467411">
        <w:t>The strategy should treat flexible provision (online learning, blended modes, and micro-credentials) as complementary to, rather than substitutes for, full qualifications, with strong safeguards to protect equity, progression, and staff working conditions.</w:t>
      </w:r>
      <w:r w:rsidR="00B22953">
        <w:t xml:space="preserve"> </w:t>
      </w:r>
      <w:r w:rsidRPr="00B22953" w:rsidR="00B22953">
        <w:rPr>
          <w:i w:val="0"/>
          <w:iCs w:val="0"/>
        </w:rPr>
        <w:t>(TEU)</w:t>
      </w:r>
    </w:p>
    <w:p w:rsidRPr="00467411" w:rsidR="00467411" w:rsidP="00BC5C65" w:rsidRDefault="00467411" w14:paraId="218F8E81" w14:textId="1C548F69">
      <w:pPr>
        <w:pStyle w:val="Heading4"/>
      </w:pPr>
      <w:r w:rsidRPr="00467411">
        <w:t xml:space="preserve">Industry </w:t>
      </w:r>
    </w:p>
    <w:p w:rsidRPr="00467411" w:rsidR="00467411" w:rsidP="00467411" w:rsidRDefault="00467411" w14:paraId="1B5AA2D6" w14:textId="7C43001C">
      <w:pPr>
        <w:rPr>
          <w:bCs/>
        </w:rPr>
      </w:pPr>
      <w:r w:rsidRPr="00467411">
        <w:rPr>
          <w:bCs/>
        </w:rPr>
        <w:t>Ten submitters commented on additional activities, with five submitters suggesting a focus on flexible training options such as micro</w:t>
      </w:r>
      <w:r w:rsidR="00866BAE">
        <w:rPr>
          <w:bCs/>
        </w:rPr>
        <w:t>-</w:t>
      </w:r>
      <w:r w:rsidRPr="00467411">
        <w:rPr>
          <w:bCs/>
        </w:rPr>
        <w:t xml:space="preserve">credentials and two agreeing that work-based learning provision is welcomed. </w:t>
      </w:r>
    </w:p>
    <w:p w:rsidR="00CD0EC2" w:rsidP="00467411" w:rsidRDefault="00467411" w14:paraId="7F25B984" w14:textId="47DBCBFB">
      <w:pPr>
        <w:pStyle w:val="Quote"/>
      </w:pPr>
      <w:r w:rsidRPr="00467411">
        <w:t xml:space="preserve">The system must provide for a nationally coordinated delivery model for </w:t>
      </w:r>
      <w:r w:rsidRPr="00467411" w:rsidR="00B22953">
        <w:t>workplace-based</w:t>
      </w:r>
      <w:r w:rsidRPr="00467411">
        <w:t xml:space="preserve"> training, that works for the employees who are in work that need to develop skills</w:t>
      </w:r>
      <w:r w:rsidR="00CD0EC2">
        <w:t xml:space="preserve">. </w:t>
      </w:r>
      <w:r w:rsidRPr="00B22953" w:rsidR="00B22953">
        <w:rPr>
          <w:i w:val="0"/>
          <w:iCs w:val="0"/>
        </w:rPr>
        <w:t>(</w:t>
      </w:r>
      <w:r w:rsidRPr="00B22953" w:rsidR="00B22953">
        <w:rPr>
          <w:bCs/>
          <w:i w:val="0"/>
          <w:iCs w:val="0"/>
        </w:rPr>
        <w:t>Seafood NZ Ltd)</w:t>
      </w:r>
    </w:p>
    <w:p w:rsidR="00CD0EC2" w:rsidRDefault="00CD0EC2" w14:paraId="0F897261" w14:textId="77777777">
      <w:pPr>
        <w:rPr>
          <w:i/>
          <w:iCs/>
          <w:color w:val="404040" w:themeColor="text1" w:themeTint="BF"/>
        </w:rPr>
      </w:pPr>
      <w:r>
        <w:br w:type="page"/>
      </w:r>
    </w:p>
    <w:p w:rsidRPr="00F83685" w:rsidR="00F83685" w:rsidP="00CD0EC2" w:rsidRDefault="00F83685" w14:paraId="357257B6" w14:textId="77777777">
      <w:pPr>
        <w:pStyle w:val="Heading2"/>
      </w:pPr>
      <w:bookmarkStart w:name="_Toc211314484" w:id="37"/>
      <w:bookmarkStart w:name="_Toc211348945" w:id="38"/>
      <w:bookmarkEnd w:id="35"/>
      <w:r w:rsidRPr="00F83685">
        <w:t>Integration and Collaboration</w:t>
      </w:r>
      <w:bookmarkEnd w:id="37"/>
      <w:bookmarkEnd w:id="38"/>
    </w:p>
    <w:p w:rsidRPr="001F5F96" w:rsidR="001F5F96" w:rsidP="001F5F96" w:rsidRDefault="001F5F96" w14:paraId="37C6A81C" w14:textId="77777777">
      <w:r w:rsidRPr="001F5F96">
        <w:t>Submitters were asked the following questions:</w:t>
      </w:r>
    </w:p>
    <w:p w:rsidRPr="001F5F96" w:rsidR="001F5F96" w:rsidP="0000645D" w:rsidRDefault="001F5F96" w14:paraId="5B2C076C" w14:textId="77777777">
      <w:pPr>
        <w:numPr>
          <w:ilvl w:val="0"/>
          <w:numId w:val="12"/>
        </w:numPr>
        <w:rPr>
          <w:i/>
          <w:iCs/>
        </w:rPr>
      </w:pPr>
      <w:r w:rsidRPr="001F5F96">
        <w:rPr>
          <w:i/>
          <w:iCs/>
        </w:rPr>
        <w:t xml:space="preserve">To what extent do you agree that Integration and Collaboration should be a priority in the TES? </w:t>
      </w:r>
    </w:p>
    <w:p w:rsidRPr="001F5F96" w:rsidR="001F5F96" w:rsidP="0000645D" w:rsidRDefault="001F5F96" w14:paraId="43259E7D" w14:textId="77777777">
      <w:pPr>
        <w:numPr>
          <w:ilvl w:val="0"/>
          <w:numId w:val="12"/>
        </w:numPr>
        <w:rPr>
          <w:i/>
          <w:iCs/>
        </w:rPr>
      </w:pPr>
      <w:r w:rsidRPr="001F5F96">
        <w:rPr>
          <w:i/>
          <w:iCs/>
        </w:rPr>
        <w:t xml:space="preserve">To what extent will the expected changes and contributing activities effectively achieve the priority? </w:t>
      </w:r>
    </w:p>
    <w:p w:rsidRPr="001F5F96" w:rsidR="001F5F96" w:rsidP="0000645D" w:rsidRDefault="001F5F96" w14:paraId="153DFC9A" w14:textId="77777777">
      <w:pPr>
        <w:numPr>
          <w:ilvl w:val="0"/>
          <w:numId w:val="12"/>
        </w:numPr>
      </w:pPr>
      <w:r w:rsidRPr="001F5F96">
        <w:rPr>
          <w:i/>
          <w:iCs/>
        </w:rPr>
        <w:t>Do you have suggestions for additional activities to support this priority?</w:t>
      </w:r>
    </w:p>
    <w:p w:rsidRPr="00091F09" w:rsidR="00091F09" w:rsidP="00CD0EC2" w:rsidRDefault="00091F09" w14:paraId="2B7CCFE4" w14:textId="77777777">
      <w:pPr>
        <w:pStyle w:val="Heading3"/>
      </w:pPr>
      <w:bookmarkStart w:name="_Toc211314485" w:id="39"/>
      <w:r w:rsidRPr="00091F09">
        <w:t>To what extent do you agree that Integration and Collaboration should be a priority in the TES?</w:t>
      </w:r>
      <w:bookmarkEnd w:id="39"/>
      <w:r w:rsidRPr="00091F09">
        <w:t xml:space="preserve"> </w:t>
      </w:r>
    </w:p>
    <w:p w:rsidR="00F36A1D" w:rsidP="00F36A1D" w:rsidRDefault="00F36A1D" w14:paraId="2D80C574" w14:textId="6C9DA793">
      <w:pPr>
        <w:pStyle w:val="Caption"/>
        <w:keepNext/>
      </w:pPr>
      <w:r>
        <w:t xml:space="preserve">Figure </w:t>
      </w:r>
      <w:r>
        <w:fldChar w:fldCharType="begin"/>
      </w:r>
      <w:r>
        <w:instrText>SEQ Figure \* ARABIC</w:instrText>
      </w:r>
      <w:r>
        <w:fldChar w:fldCharType="separate"/>
      </w:r>
      <w:r w:rsidR="00ED2C25">
        <w:rPr>
          <w:noProof/>
        </w:rPr>
        <w:t>8</w:t>
      </w:r>
      <w:r>
        <w:fldChar w:fldCharType="end"/>
      </w:r>
      <w:r>
        <w:t xml:space="preserve">: </w:t>
      </w:r>
      <w:r w:rsidRPr="00DB2E82">
        <w:t xml:space="preserve">Should Integration and Collaboration be a </w:t>
      </w:r>
      <w:r w:rsidR="00BC2774">
        <w:t xml:space="preserve">TES </w:t>
      </w:r>
      <w:r w:rsidRPr="00DB2E82">
        <w:t>priority?</w:t>
      </w:r>
    </w:p>
    <w:p w:rsidR="00765B0C" w:rsidRDefault="003C5814" w14:paraId="797747AF" w14:textId="310D4446">
      <w:r>
        <w:rPr>
          <w:noProof/>
        </w:rPr>
        <w:drawing>
          <wp:inline distT="0" distB="0" distL="0" distR="0" wp14:anchorId="6501057F" wp14:editId="63D2EE4A">
            <wp:extent cx="5940000" cy="2700000"/>
            <wp:effectExtent l="0" t="0" r="3810" b="5715"/>
            <wp:docPr id="145240402" name="Chart 1">
              <a:extLst xmlns:a="http://schemas.openxmlformats.org/drawingml/2006/main">
                <a:ext uri="{FF2B5EF4-FFF2-40B4-BE49-F238E27FC236}">
                  <a16:creationId xmlns:a16="http://schemas.microsoft.com/office/drawing/2014/main" id="{D2BEE584-A80C-D4B9-A73D-AD8470985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086677" w:rsidR="00086677" w:rsidP="00086677" w:rsidRDefault="00086677" w14:paraId="04A637F6" w14:textId="77777777">
      <w:r w:rsidRPr="00086677">
        <w:t>Of the 68 submissions received, 42 submitters made comments relating to the priority. Three submitters suggested comments on the wording of the priority.</w:t>
      </w:r>
    </w:p>
    <w:p w:rsidRPr="00086677" w:rsidR="00086677" w:rsidP="00086677" w:rsidRDefault="00086677" w14:paraId="77BD7E0E" w14:textId="186806FE">
      <w:r w:rsidRPr="00086677">
        <w:t xml:space="preserve">One submitter noted that this priority could potentially be included in one of the first three priorities, and one submitter suggested that collaboration should be broadened to include social, cultural and </w:t>
      </w:r>
      <w:proofErr w:type="spellStart"/>
      <w:r w:rsidRPr="00086677">
        <w:t>Te</w:t>
      </w:r>
      <w:proofErr w:type="spellEnd"/>
      <w:r w:rsidRPr="00086677">
        <w:t xml:space="preserve"> </w:t>
      </w:r>
      <w:proofErr w:type="spellStart"/>
      <w:r w:rsidRPr="00086677">
        <w:t>Tiriti</w:t>
      </w:r>
      <w:proofErr w:type="spellEnd"/>
      <w:r w:rsidRPr="00086677">
        <w:t xml:space="preserve"> o Waitangi based partnerships, not just industry alignment</w:t>
      </w:r>
      <w:r w:rsidR="006D783F">
        <w:t>:</w:t>
      </w:r>
      <w:r w:rsidRPr="00086677">
        <w:t xml:space="preserve"> </w:t>
      </w:r>
    </w:p>
    <w:p w:rsidRPr="00086677" w:rsidR="00086677" w:rsidP="00086677" w:rsidRDefault="00086677" w14:paraId="4655D140" w14:textId="57DB48DB">
      <w:pPr>
        <w:pStyle w:val="Quote"/>
      </w:pPr>
      <w:r w:rsidRPr="00086677">
        <w:t>Who evaluates evidence of “evidence-based approaches” and how this aligns with IQAF.</w:t>
      </w:r>
      <w:r w:rsidR="00157111">
        <w:t xml:space="preserve"> </w:t>
      </w:r>
      <w:r w:rsidRPr="00086677">
        <w:t xml:space="preserve">What structural changes (funding, standards, RPL rules) will enable seamless transitions between modes of learning — an area where </w:t>
      </w:r>
      <w:proofErr w:type="spellStart"/>
      <w:r w:rsidRPr="00086677">
        <w:t>Te</w:t>
      </w:r>
      <w:proofErr w:type="spellEnd"/>
      <w:r w:rsidRPr="00086677">
        <w:t xml:space="preserve"> </w:t>
      </w:r>
      <w:proofErr w:type="spellStart"/>
      <w:r w:rsidRPr="00086677">
        <w:t>Pūkenga’s</w:t>
      </w:r>
      <w:proofErr w:type="spellEnd"/>
      <w:r w:rsidRPr="00086677">
        <w:t xml:space="preserve"> experience showed system gaps.</w:t>
      </w:r>
      <w:r w:rsidR="00157111">
        <w:t xml:space="preserve"> </w:t>
      </w:r>
      <w:r w:rsidRPr="00086677">
        <w:t>That industry’s input must extend to qualification development, not just programmes.</w:t>
      </w:r>
      <w:r w:rsidR="00D92EEC">
        <w:t xml:space="preserve"> </w:t>
      </w:r>
      <w:r w:rsidRPr="00D92EEC" w:rsidR="00D92EEC">
        <w:rPr>
          <w:i w:val="0"/>
          <w:iCs w:val="0"/>
        </w:rPr>
        <w:t>(</w:t>
      </w:r>
      <w:proofErr w:type="spellStart"/>
      <w:r w:rsidRPr="00D92EEC" w:rsidR="00D92EEC">
        <w:rPr>
          <w:i w:val="0"/>
          <w:iCs w:val="0"/>
        </w:rPr>
        <w:t>ConCoVE</w:t>
      </w:r>
      <w:proofErr w:type="spellEnd"/>
      <w:r w:rsidRPr="00D92EEC" w:rsidR="00D92EEC">
        <w:rPr>
          <w:i w:val="0"/>
          <w:iCs w:val="0"/>
        </w:rPr>
        <w:t>)</w:t>
      </w:r>
    </w:p>
    <w:p w:rsidRPr="00086677" w:rsidR="00086677" w:rsidP="00086677" w:rsidRDefault="00086677" w14:paraId="4C719598" w14:textId="5F81C9C7">
      <w:pPr>
        <w:rPr>
          <w:i/>
          <w:iCs/>
        </w:rPr>
      </w:pPr>
      <w:r w:rsidRPr="00086677">
        <w:t xml:space="preserve">Overall, submitters generally supported the Integration and Collaboration priority, with comments confirming the importance of collaboration between providers along with </w:t>
      </w:r>
      <w:r w:rsidRPr="00086677">
        <w:t>employers, industry, iwi, communities and research organisations.</w:t>
      </w:r>
      <w:r w:rsidR="00BB2D84">
        <w:t xml:space="preserve"> </w:t>
      </w:r>
      <w:r w:rsidR="00BB2D84">
        <w:rPr>
          <w:iCs/>
        </w:rPr>
        <w:t>Submitters</w:t>
      </w:r>
      <w:r w:rsidRPr="00086677" w:rsidR="00BB2D84">
        <w:rPr>
          <w:iCs/>
        </w:rPr>
        <w:t xml:space="preserve"> also noted that </w:t>
      </w:r>
      <w:r w:rsidR="00BB2D84">
        <w:rPr>
          <w:iCs/>
        </w:rPr>
        <w:t>ISBs</w:t>
      </w:r>
      <w:r w:rsidRPr="00086677" w:rsidR="00BB2D84">
        <w:rPr>
          <w:iCs/>
        </w:rPr>
        <w:t xml:space="preserve"> must be funded to deliver to this</w:t>
      </w:r>
      <w:r w:rsidR="00BB2D84">
        <w:rPr>
          <w:iCs/>
        </w:rPr>
        <w:t xml:space="preserve"> integration and collaboration for the sectors where they have responsibility.</w:t>
      </w:r>
    </w:p>
    <w:p w:rsidRPr="00086677" w:rsidR="00086677" w:rsidP="00CD0EC2" w:rsidRDefault="00411B9E" w14:paraId="3C84C2A8" w14:textId="2E07C72D">
      <w:pPr>
        <w:pStyle w:val="Heading4"/>
      </w:pPr>
      <w:r>
        <w:t xml:space="preserve">Tertiary </w:t>
      </w:r>
      <w:r w:rsidR="00BB2D84">
        <w:t>Education Organisations and their representative bodies</w:t>
      </w:r>
    </w:p>
    <w:p w:rsidRPr="00086677" w:rsidR="00086677" w:rsidP="00086677" w:rsidRDefault="00BB2D84" w14:paraId="4C2C8A16" w14:textId="618AFD23">
      <w:r>
        <w:t>Twenty-one TEOs (</w:t>
      </w:r>
      <w:r w:rsidR="003D4CAC">
        <w:t>eight</w:t>
      </w:r>
      <w:r w:rsidRPr="00086677" w:rsidR="00086677">
        <w:t xml:space="preserve"> universities</w:t>
      </w:r>
      <w:r w:rsidR="003D4CAC">
        <w:t xml:space="preserve">, </w:t>
      </w:r>
      <w:r w:rsidRPr="00086677" w:rsidR="003D4CAC">
        <w:t xml:space="preserve">five PTEs, five </w:t>
      </w:r>
      <w:proofErr w:type="spellStart"/>
      <w:r w:rsidRPr="00086677" w:rsidR="003D4CAC">
        <w:t>Te</w:t>
      </w:r>
      <w:proofErr w:type="spellEnd"/>
      <w:r w:rsidRPr="00086677" w:rsidR="003D4CAC">
        <w:t xml:space="preserve"> </w:t>
      </w:r>
      <w:proofErr w:type="spellStart"/>
      <w:r w:rsidRPr="00086677" w:rsidR="003D4CAC">
        <w:t>Pūkenga</w:t>
      </w:r>
      <w:proofErr w:type="spellEnd"/>
      <w:r w:rsidRPr="00086677" w:rsidR="003D4CAC">
        <w:t xml:space="preserve"> divisions, two</w:t>
      </w:r>
      <w:r w:rsidR="003D4CAC">
        <w:t xml:space="preserve"> tertiary sector entities</w:t>
      </w:r>
      <w:r w:rsidRPr="00086677" w:rsidR="003D4CAC">
        <w:t xml:space="preserve"> and one </w:t>
      </w:r>
      <w:r w:rsidR="003D4CAC">
        <w:t>w</w:t>
      </w:r>
      <w:r w:rsidRPr="00086677" w:rsidR="003D4CAC">
        <w:t>ānanga</w:t>
      </w:r>
      <w:r w:rsidR="003D4CAC">
        <w:t>)</w:t>
      </w:r>
      <w:r w:rsidRPr="00086677" w:rsidR="00086677">
        <w:t xml:space="preserve"> provided comments on this question generally supporting the priority and welcom</w:t>
      </w:r>
      <w:r w:rsidR="00866BAE">
        <w:t>ing</w:t>
      </w:r>
      <w:r w:rsidRPr="00086677" w:rsidR="00086677">
        <w:t xml:space="preserve"> the focus on partnerships. Massey University noted that universities are already exploring partnerships with iwi, industry and research organisations</w:t>
      </w:r>
      <w:r w:rsidR="00E95268">
        <w:t>,</w:t>
      </w:r>
      <w:r w:rsidRPr="00086677" w:rsidR="00086677">
        <w:t xml:space="preserve"> and</w:t>
      </w:r>
      <w:r w:rsidR="00E95268">
        <w:t xml:space="preserve"> that</w:t>
      </w:r>
      <w:r w:rsidRPr="00086677" w:rsidR="00086677">
        <w:t xml:space="preserve"> universities </w:t>
      </w:r>
      <w:r w:rsidR="000B656A">
        <w:t>are currently collaborating</w:t>
      </w:r>
      <w:r w:rsidRPr="00086677" w:rsidR="00086677">
        <w:t xml:space="preserve"> among themselves. </w:t>
      </w:r>
    </w:p>
    <w:p w:rsidRPr="00086677" w:rsidR="00086677" w:rsidP="00086677" w:rsidRDefault="00086677" w14:paraId="63BA4CC6" w14:textId="2D45AEB1">
      <w:pPr>
        <w:pStyle w:val="Quote"/>
      </w:pPr>
      <w:r w:rsidRPr="00086677">
        <w:t>Pacific communities are absent from the TES framing despite their growing demographic and workforce contributions.</w:t>
      </w:r>
      <w:r w:rsidR="00A459D3">
        <w:t xml:space="preserve"> </w:t>
      </w:r>
      <w:r w:rsidRPr="00A459D3" w:rsidR="00A459D3">
        <w:rPr>
          <w:i w:val="0"/>
          <w:iCs w:val="0"/>
        </w:rPr>
        <w:t>(Komiti Pasifika)</w:t>
      </w:r>
    </w:p>
    <w:p w:rsidRPr="00086677" w:rsidR="00086677" w:rsidP="00086677" w:rsidRDefault="00086677" w14:paraId="7D203F83" w14:textId="07659857">
      <w:r w:rsidRPr="00086677">
        <w:t>Two universities noted that current funding mechanisms are not sufficient to address current barriers and encourage competition.</w:t>
      </w:r>
    </w:p>
    <w:p w:rsidRPr="00086677" w:rsidR="00086677" w:rsidP="00A459D3" w:rsidRDefault="00086677" w14:paraId="593180E5" w14:textId="54AEBB04">
      <w:pPr>
        <w:pStyle w:val="Quote"/>
      </w:pPr>
      <w:r w:rsidRPr="00086677">
        <w:t>The TES strategy must recognize the distinctive roles of different providers and avoid forcing uniform or homogenized models of collaboration.</w:t>
      </w:r>
      <w:r w:rsidR="00A459D3">
        <w:t xml:space="preserve"> </w:t>
      </w:r>
      <w:r w:rsidRPr="00A459D3" w:rsidR="00A459D3">
        <w:rPr>
          <w:i w:val="0"/>
          <w:iCs w:val="0"/>
        </w:rPr>
        <w:t>(Massey University)</w:t>
      </w:r>
    </w:p>
    <w:p w:rsidRPr="00086677" w:rsidR="00086677" w:rsidP="00086677" w:rsidRDefault="003D4CAC" w14:paraId="7DFA8AE9" w14:textId="2AF2EE88">
      <w:r>
        <w:t>TEO s</w:t>
      </w:r>
      <w:r w:rsidRPr="00086677" w:rsidR="00086677">
        <w:t xml:space="preserve">ubmitters </w:t>
      </w:r>
      <w:r>
        <w:t xml:space="preserve">also </w:t>
      </w:r>
      <w:r w:rsidRPr="00086677" w:rsidR="00086677">
        <w:t>noted collaboration between research and teaching with industry is important</w:t>
      </w:r>
      <w:r w:rsidR="000B656A">
        <w:t>,</w:t>
      </w:r>
      <w:r w:rsidRPr="00086677" w:rsidR="00086677">
        <w:t xml:space="preserve"> alongside establishing stronger partnerships with employers, iwi and communities.</w:t>
      </w:r>
      <w:r w:rsidR="00516BA1">
        <w:t xml:space="preserve"> </w:t>
      </w:r>
      <w:r w:rsidRPr="00086677" w:rsidR="00086677">
        <w:t xml:space="preserve">Four submitters </w:t>
      </w:r>
      <w:r w:rsidR="000B656A">
        <w:t xml:space="preserve">reported </w:t>
      </w:r>
      <w:r w:rsidRPr="00086677" w:rsidR="00086677">
        <w:t>there is a need for funding and system alignment</w:t>
      </w:r>
      <w:r w:rsidR="00516BA1">
        <w:t xml:space="preserve">. </w:t>
      </w:r>
      <w:r w:rsidR="00841A9C">
        <w:t>A WDC submitter explained</w:t>
      </w:r>
      <w:r w:rsidR="00FB42A6">
        <w:t xml:space="preserve"> this </w:t>
      </w:r>
      <w:proofErr w:type="spellStart"/>
      <w:r w:rsidR="00FB42A6">
        <w:t>relationahip</w:t>
      </w:r>
      <w:proofErr w:type="spellEnd"/>
      <w:r w:rsidR="00841A9C">
        <w:t>:</w:t>
      </w:r>
    </w:p>
    <w:p w:rsidRPr="00086677" w:rsidR="00086677" w:rsidP="00086677" w:rsidRDefault="00086677" w14:paraId="0FAFF672" w14:textId="1AAC4E0F">
      <w:pPr>
        <w:pStyle w:val="Quote"/>
      </w:pPr>
      <w:r w:rsidRPr="00086677">
        <w:t>The current tertiary funding system incentivises longer-form qualifications over the delivery of relevant skills to workforces and industry. Providers have adapted their business models to funding, not industry need.</w:t>
      </w:r>
      <w:r w:rsidR="00516BA1">
        <w:t xml:space="preserve"> </w:t>
      </w:r>
      <w:r w:rsidRPr="00516BA1" w:rsidR="00516BA1">
        <w:rPr>
          <w:i w:val="0"/>
          <w:iCs w:val="0"/>
        </w:rPr>
        <w:t>(Toi Mai)</w:t>
      </w:r>
    </w:p>
    <w:p w:rsidRPr="00086677" w:rsidR="00086677" w:rsidP="00CD0EC2" w:rsidRDefault="00086677" w14:paraId="6C8E392B" w14:textId="27CD1202">
      <w:pPr>
        <w:pStyle w:val="Heading4"/>
      </w:pPr>
      <w:r w:rsidRPr="00086677">
        <w:rPr>
          <w:bCs/>
        </w:rPr>
        <w:t>Educator</w:t>
      </w:r>
      <w:r w:rsidR="00CD0EC2">
        <w:rPr>
          <w:bCs/>
        </w:rPr>
        <w:t>s</w:t>
      </w:r>
      <w:r w:rsidRPr="00086677">
        <w:t>/Student</w:t>
      </w:r>
      <w:r w:rsidR="00CD0EC2">
        <w:t>s</w:t>
      </w:r>
    </w:p>
    <w:p w:rsidRPr="00086677" w:rsidR="00086677" w:rsidP="00086677" w:rsidRDefault="00086677" w14:paraId="27342AF2" w14:textId="443CE8C1">
      <w:pPr>
        <w:rPr>
          <w:bCs/>
        </w:rPr>
      </w:pPr>
      <w:r w:rsidRPr="00086677">
        <w:rPr>
          <w:bCs/>
        </w:rPr>
        <w:t xml:space="preserve">Four submitters commented on the priority, with comments supporting collaboration and the emphasis on it. </w:t>
      </w:r>
      <w:r w:rsidR="00FB42A6">
        <w:rPr>
          <w:bCs/>
        </w:rPr>
        <w:t>Submitters noted</w:t>
      </w:r>
      <w:r w:rsidRPr="00086677" w:rsidR="000C516C">
        <w:rPr>
          <w:bCs/>
        </w:rPr>
        <w:t xml:space="preserve"> there is a need to enable effective collaboration and recognise staff contributions to enabl</w:t>
      </w:r>
      <w:r w:rsidR="000B656A">
        <w:rPr>
          <w:bCs/>
        </w:rPr>
        <w:t>e</w:t>
      </w:r>
      <w:r w:rsidRPr="00086677" w:rsidR="000C516C">
        <w:rPr>
          <w:bCs/>
        </w:rPr>
        <w:t xml:space="preserve"> the collaborative work to happen.</w:t>
      </w:r>
    </w:p>
    <w:p w:rsidRPr="000C516C" w:rsidR="00086677" w:rsidP="009F3813" w:rsidRDefault="00086677" w14:paraId="1760575D" w14:textId="147A59DA">
      <w:pPr>
        <w:pStyle w:val="Quote"/>
        <w:ind w:right="765"/>
        <w:rPr>
          <w:i w:val="0"/>
          <w:iCs w:val="0"/>
        </w:rPr>
      </w:pPr>
      <w:r w:rsidRPr="00086677">
        <w:t>Collaboration must be defined more broadly to encompass genuine partnerships with iwi, communities, staff, and students, rather than being restricted to institutional relationships with employers and industry.</w:t>
      </w:r>
      <w:r w:rsidR="000C516C">
        <w:t xml:space="preserve"> </w:t>
      </w:r>
      <w:r w:rsidR="000C516C">
        <w:rPr>
          <w:i w:val="0"/>
          <w:iCs w:val="0"/>
        </w:rPr>
        <w:t>(TEU)</w:t>
      </w:r>
    </w:p>
    <w:p w:rsidRPr="00086677" w:rsidR="00086677" w:rsidP="00CD0EC2" w:rsidRDefault="00086677" w14:paraId="4E61E4A7" w14:textId="515D1E04">
      <w:pPr>
        <w:pStyle w:val="Heading4"/>
      </w:pPr>
      <w:r w:rsidRPr="00086677">
        <w:t>Industry</w:t>
      </w:r>
    </w:p>
    <w:p w:rsidRPr="00086677" w:rsidR="00086677" w:rsidP="00086677" w:rsidRDefault="00086677" w14:paraId="1C8DCBAA" w14:textId="6377F6E7">
      <w:r w:rsidRPr="00086677">
        <w:t xml:space="preserve">Twelve submitters </w:t>
      </w:r>
      <w:r w:rsidR="000B656A">
        <w:t>reported their support for</w:t>
      </w:r>
      <w:r w:rsidRPr="00086677">
        <w:t xml:space="preserve"> the priority</w:t>
      </w:r>
      <w:r w:rsidR="000B656A">
        <w:t>,</w:t>
      </w:r>
      <w:r w:rsidRPr="00086677">
        <w:t xml:space="preserve"> stating collaboration must be strengthened across the sector</w:t>
      </w:r>
      <w:r w:rsidR="00A80222">
        <w:t>. Further, there were</w:t>
      </w:r>
      <w:r w:rsidRPr="00086677">
        <w:t xml:space="preserve"> suggestions of building partnerships between tertiary education providers and hapū and iwi to support Māori development aspirations and honour </w:t>
      </w:r>
      <w:proofErr w:type="spellStart"/>
      <w:r w:rsidRPr="00086677">
        <w:t>te</w:t>
      </w:r>
      <w:proofErr w:type="spellEnd"/>
      <w:r w:rsidRPr="00086677">
        <w:t xml:space="preserve"> </w:t>
      </w:r>
      <w:proofErr w:type="spellStart"/>
      <w:r w:rsidRPr="00086677">
        <w:t>Tiriti</w:t>
      </w:r>
      <w:proofErr w:type="spellEnd"/>
      <w:r w:rsidRPr="00086677">
        <w:t xml:space="preserve"> o Waitangi.</w:t>
      </w:r>
    </w:p>
    <w:p w:rsidRPr="00086677" w:rsidR="00086677" w:rsidP="00086677" w:rsidRDefault="00086677" w14:paraId="31571129" w14:textId="6924B8D1">
      <w:pPr>
        <w:pStyle w:val="Quote"/>
      </w:pPr>
      <w:r w:rsidRPr="00086677">
        <w:t>A lack of collaboration across the education ecosystem has historically been the single biggest barrier to success for graduates and for industry as it fostered a lack of trust that graduate’s skills and knowledge meet industry standard and current best practice, creating hesitancy for industry to give graduates a role in a word-of-mouth employment market.</w:t>
      </w:r>
      <w:r w:rsidR="009F3813">
        <w:t xml:space="preserve"> </w:t>
      </w:r>
      <w:r w:rsidR="00A37822">
        <w:t>(SPADA)</w:t>
      </w:r>
    </w:p>
    <w:p w:rsidRPr="00086677" w:rsidR="00086677" w:rsidP="00CD0EC2" w:rsidRDefault="00086677" w14:paraId="743A20CB" w14:textId="1611F104">
      <w:pPr>
        <w:pStyle w:val="Heading4"/>
      </w:pPr>
      <w:r w:rsidRPr="00086677">
        <w:t xml:space="preserve">Research </w:t>
      </w:r>
      <w:r w:rsidR="009F3813">
        <w:t>organisations</w:t>
      </w:r>
    </w:p>
    <w:p w:rsidRPr="00F704E7" w:rsidR="00086677" w:rsidP="00086677" w:rsidRDefault="00086677" w14:paraId="7508EFD9" w14:textId="16F8B5CE">
      <w:r w:rsidRPr="00086677">
        <w:t>Four submitters commented on the priority, with one submitter suggesting that “…</w:t>
      </w:r>
      <w:r w:rsidRPr="00086677">
        <w:rPr>
          <w:i/>
          <w:iCs/>
        </w:rPr>
        <w:t>TES should explicitly enable national-level integration, for example, platforms and shared internation business development</w:t>
      </w:r>
      <w:r w:rsidR="00F704E7">
        <w:rPr>
          <w:i/>
          <w:iCs/>
        </w:rPr>
        <w:t>”.</w:t>
      </w:r>
    </w:p>
    <w:p w:rsidRPr="00086677" w:rsidR="00086677" w:rsidP="00086677" w:rsidRDefault="00086677" w14:paraId="07E938BF" w14:textId="3610E446">
      <w:pPr>
        <w:pStyle w:val="Quote"/>
      </w:pPr>
      <w:r w:rsidRPr="00086677">
        <w:t>The biggest challenge for our tertiary education system – whether considering access to tertiary study from the regions, or the ability of our research sector to drive productivity – is the lack of critical mass caused by our low population density.</w:t>
      </w:r>
      <w:r w:rsidR="00162DA1">
        <w:t xml:space="preserve"> </w:t>
      </w:r>
      <w:r w:rsidRPr="00162DA1" w:rsidR="00162DA1">
        <w:rPr>
          <w:i w:val="0"/>
          <w:iCs w:val="0"/>
        </w:rPr>
        <w:t>(MacDiarmid Institute)</w:t>
      </w:r>
    </w:p>
    <w:p w:rsidR="00F1778A" w:rsidP="00CD0EC2" w:rsidRDefault="00F1778A" w14:paraId="7AF92F12" w14:textId="77777777">
      <w:pPr>
        <w:pStyle w:val="Heading3"/>
      </w:pPr>
      <w:bookmarkStart w:name="_Toc211314486" w:id="40"/>
      <w:r w:rsidRPr="00F1778A">
        <w:t>To what extent will the expected changes and contributing activities effectively achieve the priority?</w:t>
      </w:r>
      <w:bookmarkEnd w:id="40"/>
      <w:r w:rsidRPr="00F1778A">
        <w:t xml:space="preserve"> </w:t>
      </w:r>
    </w:p>
    <w:p w:rsidR="00CE5E1C" w:rsidP="00CE5E1C" w:rsidRDefault="00CE5E1C" w14:paraId="66F69A8F" w14:textId="3AEAF08E">
      <w:pPr>
        <w:pStyle w:val="Caption"/>
        <w:keepNext/>
      </w:pPr>
      <w:r>
        <w:t xml:space="preserve">Figure </w:t>
      </w:r>
      <w:r>
        <w:fldChar w:fldCharType="begin"/>
      </w:r>
      <w:r>
        <w:instrText>SEQ Figure \* ARABIC</w:instrText>
      </w:r>
      <w:r>
        <w:fldChar w:fldCharType="separate"/>
      </w:r>
      <w:r w:rsidR="00ED2C25">
        <w:rPr>
          <w:noProof/>
        </w:rPr>
        <w:t>9</w:t>
      </w:r>
      <w:r>
        <w:fldChar w:fldCharType="end"/>
      </w:r>
      <w:r>
        <w:t xml:space="preserve">: </w:t>
      </w:r>
      <w:r w:rsidRPr="007A2FAD">
        <w:t>Will the activities support achievement of this priority?</w:t>
      </w:r>
    </w:p>
    <w:p w:rsidRPr="00F1778A" w:rsidR="00F1778A" w:rsidP="00F1778A" w:rsidRDefault="00D07AA9" w14:paraId="5E73B695" w14:textId="10E283F1">
      <w:r>
        <w:rPr>
          <w:noProof/>
        </w:rPr>
        <w:drawing>
          <wp:inline distT="0" distB="0" distL="0" distR="0" wp14:anchorId="5CEC731D" wp14:editId="63B52BBC">
            <wp:extent cx="5940000" cy="1980000"/>
            <wp:effectExtent l="0" t="0" r="3810" b="1270"/>
            <wp:docPr id="1782381334" name="Chart 1">
              <a:extLst xmlns:a="http://schemas.openxmlformats.org/drawingml/2006/main">
                <a:ext uri="{FF2B5EF4-FFF2-40B4-BE49-F238E27FC236}">
                  <a16:creationId xmlns:a16="http://schemas.microsoft.com/office/drawing/2014/main" id="{0048D326-F3FF-EA6A-64AF-8E3F51D8D3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9C21FD" w:rsidR="009C21FD" w:rsidP="009C21FD" w:rsidRDefault="009C21FD" w14:paraId="383E9F71" w14:textId="77777777">
      <w:r w:rsidRPr="009C21FD">
        <w:t>Twenty-two submitters commented on whether the expected changes and activities were enough the achieve the priority.</w:t>
      </w:r>
    </w:p>
    <w:p w:rsidRPr="009C21FD" w:rsidR="009C21FD" w:rsidP="00CD0EC2" w:rsidRDefault="003F07D1" w14:paraId="557788F7" w14:textId="644001C3">
      <w:pPr>
        <w:pStyle w:val="Heading4"/>
      </w:pPr>
      <w:r>
        <w:t>Tertiary Education Organisations and their representative bodies</w:t>
      </w:r>
    </w:p>
    <w:p w:rsidRPr="009C21FD" w:rsidR="009C21FD" w:rsidP="009C21FD" w:rsidRDefault="003F07D1" w14:paraId="65CE608B" w14:textId="742C1A76">
      <w:pPr>
        <w:rPr>
          <w:bCs/>
        </w:rPr>
      </w:pPr>
      <w:r>
        <w:rPr>
          <w:bCs/>
        </w:rPr>
        <w:t>Nine TEO submitters (</w:t>
      </w:r>
      <w:r w:rsidRPr="009C21FD">
        <w:t xml:space="preserve">four </w:t>
      </w:r>
      <w:proofErr w:type="spellStart"/>
      <w:r w:rsidRPr="009C21FD">
        <w:t>Te</w:t>
      </w:r>
      <w:proofErr w:type="spellEnd"/>
      <w:r w:rsidRPr="009C21FD">
        <w:t xml:space="preserve"> </w:t>
      </w:r>
      <w:proofErr w:type="spellStart"/>
      <w:r w:rsidRPr="009C21FD">
        <w:t>Pūkenga</w:t>
      </w:r>
      <w:proofErr w:type="spellEnd"/>
      <w:r w:rsidRPr="009C21FD">
        <w:t xml:space="preserve"> divisions</w:t>
      </w:r>
      <w:r>
        <w:t xml:space="preserve">, </w:t>
      </w:r>
      <w:r>
        <w:rPr>
          <w:bCs/>
        </w:rPr>
        <w:t>three</w:t>
      </w:r>
      <w:r w:rsidRPr="009C21FD">
        <w:rPr>
          <w:bCs/>
        </w:rPr>
        <w:t xml:space="preserve"> universities</w:t>
      </w:r>
      <w:r>
        <w:rPr>
          <w:bCs/>
        </w:rPr>
        <w:t>,</w:t>
      </w:r>
      <w:r w:rsidRPr="009C21FD">
        <w:t xml:space="preserve"> and two PTEs</w:t>
      </w:r>
      <w:r>
        <w:t>)</w:t>
      </w:r>
      <w:r>
        <w:rPr>
          <w:bCs/>
        </w:rPr>
        <w:t xml:space="preserve"> </w:t>
      </w:r>
      <w:r w:rsidRPr="009C21FD" w:rsidR="009C21FD">
        <w:rPr>
          <w:bCs/>
        </w:rPr>
        <w:t xml:space="preserve">provided comments </w:t>
      </w:r>
      <w:proofErr w:type="gramStart"/>
      <w:r w:rsidRPr="009C21FD" w:rsidR="009C21FD">
        <w:rPr>
          <w:bCs/>
        </w:rPr>
        <w:t>making reference</w:t>
      </w:r>
      <w:proofErr w:type="gramEnd"/>
      <w:r w:rsidRPr="009C21FD" w:rsidR="009C21FD">
        <w:rPr>
          <w:bCs/>
        </w:rPr>
        <w:t xml:space="preserve"> to current funding mechanisms. </w:t>
      </w:r>
    </w:p>
    <w:p w:rsidRPr="009C21FD" w:rsidR="009C21FD" w:rsidP="009C21FD" w:rsidRDefault="009C21FD" w14:paraId="395A9528" w14:textId="0D7FDCCD">
      <w:pPr>
        <w:pStyle w:val="Quote"/>
      </w:pPr>
      <w:r w:rsidRPr="009C21FD">
        <w:t xml:space="preserve">The draft TES speaks to distinctive research strengths, followed by a contributing activity of “Explore the distinct contribution of </w:t>
      </w:r>
      <w:proofErr w:type="spellStart"/>
      <w:r w:rsidRPr="009C21FD">
        <w:t>Mātauranga</w:t>
      </w:r>
      <w:proofErr w:type="spellEnd"/>
      <w:r w:rsidRPr="009C21FD">
        <w:t xml:space="preserve"> Māori to national and global challenges and scholarship</w:t>
      </w:r>
      <w:r w:rsidR="001A4024">
        <w:t>”</w:t>
      </w:r>
      <w:r w:rsidRPr="009C21FD">
        <w:t>.</w:t>
      </w:r>
      <w:r w:rsidR="001A4024">
        <w:t xml:space="preserve"> </w:t>
      </w:r>
      <w:r w:rsidRPr="009C21FD">
        <w:t>These contributions are absolutely leading and critical internationally and should be supported.</w:t>
      </w:r>
      <w:r w:rsidR="00162DA1">
        <w:t xml:space="preserve"> </w:t>
      </w:r>
      <w:r w:rsidRPr="00162DA1" w:rsidR="00162DA1">
        <w:rPr>
          <w:i w:val="0"/>
          <w:iCs w:val="0"/>
        </w:rPr>
        <w:t>(</w:t>
      </w:r>
      <w:r w:rsidRPr="00162DA1" w:rsidR="00162DA1">
        <w:rPr>
          <w:bCs/>
          <w:i w:val="0"/>
          <w:iCs w:val="0"/>
        </w:rPr>
        <w:t>Massey University)</w:t>
      </w:r>
    </w:p>
    <w:p w:rsidRPr="009C21FD" w:rsidR="009C21FD" w:rsidP="009C21FD" w:rsidRDefault="009C21FD" w14:paraId="3927B5BB" w14:textId="7EF47DA3">
      <w:r w:rsidRPr="009C21FD">
        <w:t>One submitter suggested that universities need to work with schools to provide a clear pathway and support students into them.</w:t>
      </w:r>
      <w:r w:rsidR="009F3813">
        <w:t xml:space="preserve"> </w:t>
      </w:r>
      <w:proofErr w:type="spellStart"/>
      <w:r w:rsidR="0001284B">
        <w:t>Te</w:t>
      </w:r>
      <w:proofErr w:type="spellEnd"/>
      <w:r w:rsidR="0001284B">
        <w:t xml:space="preserve"> </w:t>
      </w:r>
      <w:proofErr w:type="spellStart"/>
      <w:r w:rsidR="0001284B">
        <w:t>Pūkenga</w:t>
      </w:r>
      <w:proofErr w:type="spellEnd"/>
      <w:r w:rsidRPr="009C21FD">
        <w:t xml:space="preserve"> submitters not</w:t>
      </w:r>
      <w:r w:rsidR="0001284B">
        <w:t>ed</w:t>
      </w:r>
      <w:r w:rsidRPr="009C21FD">
        <w:t xml:space="preserve"> that there will need to be changes to the current funding model and incentives to enable collaboration</w:t>
      </w:r>
      <w:r w:rsidR="009F3813">
        <w:t>:</w:t>
      </w:r>
    </w:p>
    <w:p w:rsidRPr="009C21FD" w:rsidR="009C21FD" w:rsidP="009C21FD" w:rsidRDefault="009C21FD" w14:paraId="4373AB7D" w14:textId="66026186">
      <w:pPr>
        <w:pStyle w:val="Quote"/>
      </w:pPr>
      <w:r w:rsidRPr="009C21FD">
        <w:t>Collaboration is to be incentivised through appropriate changes to the regulatory and funding settings.</w:t>
      </w:r>
      <w:r w:rsidR="00ED7605">
        <w:t xml:space="preserve"> </w:t>
      </w:r>
      <w:r w:rsidRPr="00ED7605" w:rsidR="00ED7605">
        <w:rPr>
          <w:i w:val="0"/>
          <w:iCs w:val="0"/>
        </w:rPr>
        <w:t>(Open Polytechnic)</w:t>
      </w:r>
    </w:p>
    <w:p w:rsidRPr="009C21FD" w:rsidR="009C21FD" w:rsidP="009C21FD" w:rsidRDefault="009C21FD" w14:paraId="4786AB1C" w14:textId="7C177B9D">
      <w:r w:rsidRPr="009C21FD">
        <w:t xml:space="preserve">Two submitters commented there will need to be formalising of roles, one suggesting there was a need to </w:t>
      </w:r>
      <w:r w:rsidRPr="009C21FD">
        <w:rPr>
          <w:i/>
          <w:iCs/>
        </w:rPr>
        <w:t xml:space="preserve">“Formalising the Role of PTEs in Regional Development”. </w:t>
      </w:r>
    </w:p>
    <w:p w:rsidRPr="009C21FD" w:rsidR="009C21FD" w:rsidP="009C21FD" w:rsidRDefault="009C21FD" w14:paraId="145F1CB4" w14:textId="4C317008">
      <w:pPr>
        <w:pStyle w:val="Quote"/>
      </w:pPr>
      <w:r w:rsidRPr="009C21FD">
        <w:t>…we counsel that the system needs to ensure that ISBs must also be tasked to deliver qualifications that can effectively delivered by providers realistically.</w:t>
      </w:r>
      <w:r w:rsidR="00ED7605">
        <w:t xml:space="preserve"> </w:t>
      </w:r>
      <w:r w:rsidRPr="00ED7605" w:rsidR="00ED7605">
        <w:rPr>
          <w:i w:val="0"/>
          <w:iCs w:val="0"/>
        </w:rPr>
        <w:t>(</w:t>
      </w:r>
      <w:proofErr w:type="spellStart"/>
      <w:r w:rsidRPr="00ED7605" w:rsidR="00ED7605">
        <w:rPr>
          <w:i w:val="0"/>
          <w:iCs w:val="0"/>
        </w:rPr>
        <w:t>Competenz</w:t>
      </w:r>
      <w:proofErr w:type="spellEnd"/>
      <w:r w:rsidRPr="00ED7605" w:rsidR="00ED7605">
        <w:rPr>
          <w:i w:val="0"/>
          <w:iCs w:val="0"/>
        </w:rPr>
        <w:t>)</w:t>
      </w:r>
    </w:p>
    <w:p w:rsidRPr="009C21FD" w:rsidR="009C21FD" w:rsidP="00CD0EC2" w:rsidRDefault="009C21FD" w14:paraId="1FDCDC77" w14:textId="20D32EB9">
      <w:pPr>
        <w:pStyle w:val="Heading4"/>
      </w:pPr>
      <w:r w:rsidRPr="009C21FD">
        <w:t>Educator</w:t>
      </w:r>
      <w:r w:rsidR="00CD0EC2">
        <w:t>s</w:t>
      </w:r>
      <w:r w:rsidRPr="009C21FD">
        <w:t>/Student</w:t>
      </w:r>
      <w:r w:rsidR="00CD0EC2">
        <w:t>s</w:t>
      </w:r>
    </w:p>
    <w:p w:rsidR="009C5FD9" w:rsidP="009C21FD" w:rsidRDefault="009C21FD" w14:paraId="1248C58F" w14:textId="0CEEB8A2">
      <w:pPr>
        <w:rPr>
          <w:bCs/>
        </w:rPr>
      </w:pPr>
      <w:r w:rsidRPr="009C21FD">
        <w:rPr>
          <w:bCs/>
        </w:rPr>
        <w:t xml:space="preserve">Three submitters commented on this priority, with one submitter </w:t>
      </w:r>
      <w:r w:rsidR="009C5FD9">
        <w:rPr>
          <w:bCs/>
        </w:rPr>
        <w:t>highlighting the importance of resourcing collaboration</w:t>
      </w:r>
      <w:r w:rsidR="009B47C3">
        <w:rPr>
          <w:bCs/>
        </w:rPr>
        <w:t>:</w:t>
      </w:r>
      <w:r w:rsidR="009C5FD9">
        <w:rPr>
          <w:bCs/>
        </w:rPr>
        <w:t xml:space="preserve"> </w:t>
      </w:r>
    </w:p>
    <w:p w:rsidRPr="009C21FD" w:rsidR="009C21FD" w:rsidP="009C5FD9" w:rsidRDefault="00BB53DD" w14:paraId="7702881C" w14:textId="742B1E0F">
      <w:pPr>
        <w:pStyle w:val="Quote"/>
      </w:pPr>
      <w:r w:rsidRPr="00BB53DD">
        <w:t>Resource and recognise staff contributions to integration work, ensuring collaboration strengthens both institutions and the working lives of staff.</w:t>
      </w:r>
      <w:r w:rsidR="00680378">
        <w:t xml:space="preserve"> </w:t>
      </w:r>
      <w:r w:rsidR="00680378">
        <w:rPr>
          <w:i w:val="0"/>
          <w:iCs w:val="0"/>
        </w:rPr>
        <w:t>(TEU)</w:t>
      </w:r>
      <w:r w:rsidRPr="009C21FD" w:rsidR="009C21FD">
        <w:t xml:space="preserve"> </w:t>
      </w:r>
    </w:p>
    <w:p w:rsidRPr="009C21FD" w:rsidR="009C21FD" w:rsidP="009C21FD" w:rsidRDefault="009C21FD" w14:paraId="372C93EE" w14:textId="798D0604">
      <w:pPr>
        <w:rPr>
          <w:bCs/>
        </w:rPr>
      </w:pPr>
      <w:r w:rsidRPr="009C21FD">
        <w:rPr>
          <w:bCs/>
        </w:rPr>
        <w:t>Other submitters suggested that education pathways and courses available at providers need to be considered carefully.</w:t>
      </w:r>
    </w:p>
    <w:p w:rsidRPr="009C21FD" w:rsidR="009C21FD" w:rsidP="00CD0EC2" w:rsidRDefault="009C21FD" w14:paraId="4433F1BE" w14:textId="216A1AB1">
      <w:pPr>
        <w:pStyle w:val="Heading4"/>
      </w:pPr>
      <w:r w:rsidRPr="009C21FD">
        <w:t>Industry</w:t>
      </w:r>
    </w:p>
    <w:p w:rsidRPr="009C21FD" w:rsidR="009C21FD" w:rsidP="009C5FD9" w:rsidRDefault="009C21FD" w14:paraId="17CDEF86" w14:textId="77777777">
      <w:r w:rsidRPr="009C21FD">
        <w:t>Eight submitters commented on this priority with the majority being supportive. There were suggestions that greater regional collaboration is important, but it was also noted that not all regions, sectors or communities have the same access to investment, infrastructure and partnership opportunities.</w:t>
      </w:r>
    </w:p>
    <w:p w:rsidRPr="009C21FD" w:rsidR="009C21FD" w:rsidP="009C21FD" w:rsidRDefault="009C21FD" w14:paraId="526AB7ED" w14:textId="77777777">
      <w:pPr>
        <w:rPr>
          <w:bCs/>
        </w:rPr>
      </w:pPr>
      <w:r w:rsidRPr="009C21FD">
        <w:rPr>
          <w:bCs/>
        </w:rPr>
        <w:t xml:space="preserve">One submitter noted that partnerships can involve different models, that often involve project collaborations, mentorships and community engagements rather than formal engagement pathways. </w:t>
      </w:r>
    </w:p>
    <w:p w:rsidRPr="009C21FD" w:rsidR="009C21FD" w:rsidP="009C21FD" w:rsidRDefault="00680378" w14:paraId="631EED8A" w14:textId="43170E85">
      <w:pPr>
        <w:rPr>
          <w:bCs/>
        </w:rPr>
      </w:pPr>
      <w:r>
        <w:rPr>
          <w:bCs/>
        </w:rPr>
        <w:t xml:space="preserve">One submitter </w:t>
      </w:r>
      <w:r w:rsidRPr="009C21FD" w:rsidR="009C21FD">
        <w:rPr>
          <w:bCs/>
        </w:rPr>
        <w:t>disagreed that the changes would have an impact, stating:</w:t>
      </w:r>
    </w:p>
    <w:p w:rsidRPr="009C21FD" w:rsidR="009C21FD" w:rsidP="009C21FD" w:rsidRDefault="009C21FD" w14:paraId="348BBD4C" w14:textId="03882F0E">
      <w:pPr>
        <w:pStyle w:val="Quote"/>
      </w:pPr>
      <w:r w:rsidRPr="009C21FD">
        <w:t>Secondary-to-vocational pathways are under pressure, and vocational work-based learning (WBL) may become fragmented, which could challenge consistent industry engagement.</w:t>
      </w:r>
      <w:r w:rsidR="00680378">
        <w:t xml:space="preserve"> </w:t>
      </w:r>
      <w:r w:rsidRPr="00680378" w:rsidR="00680378">
        <w:rPr>
          <w:i w:val="0"/>
          <w:iCs w:val="0"/>
        </w:rPr>
        <w:t>(</w:t>
      </w:r>
      <w:r w:rsidRPr="00680378" w:rsidR="00680378">
        <w:rPr>
          <w:bCs/>
          <w:i w:val="0"/>
          <w:iCs w:val="0"/>
        </w:rPr>
        <w:t>Hospitality NZ)</w:t>
      </w:r>
    </w:p>
    <w:p w:rsidRPr="009C21FD" w:rsidR="009C21FD" w:rsidP="00CD0EC2" w:rsidRDefault="009C21FD" w14:paraId="6FE9D13E" w14:textId="62A60126">
      <w:pPr>
        <w:pStyle w:val="Heading4"/>
      </w:pPr>
      <w:r w:rsidRPr="009C21FD">
        <w:t xml:space="preserve">Research </w:t>
      </w:r>
      <w:r w:rsidR="00031AC1">
        <w:t>organisations</w:t>
      </w:r>
    </w:p>
    <w:p w:rsidRPr="009C21FD" w:rsidR="009C21FD" w:rsidP="009C21FD" w:rsidRDefault="009C21FD" w14:paraId="780D200C" w14:textId="24E43CFF">
      <w:pPr>
        <w:rPr>
          <w:bCs/>
        </w:rPr>
      </w:pPr>
      <w:r w:rsidRPr="009C21FD">
        <w:rPr>
          <w:bCs/>
        </w:rPr>
        <w:t xml:space="preserve">Comments from two submitters were received, with </w:t>
      </w:r>
      <w:proofErr w:type="spellStart"/>
      <w:r w:rsidR="00BC6874">
        <w:rPr>
          <w:bCs/>
        </w:rPr>
        <w:t>KiwiNet</w:t>
      </w:r>
      <w:proofErr w:type="spellEnd"/>
      <w:r w:rsidRPr="009C21FD">
        <w:rPr>
          <w:bCs/>
        </w:rPr>
        <w:t xml:space="preserve"> suggesting there needs to be </w:t>
      </w:r>
      <w:r w:rsidRPr="009C21FD">
        <w:rPr>
          <w:bCs/>
          <w:i/>
          <w:iCs/>
        </w:rPr>
        <w:t xml:space="preserve">“…explicit broadening/formalising of CPN as the national delivery platform (single front door, shared international business development (BD), marketplace) to fully deliver the intent”. </w:t>
      </w:r>
    </w:p>
    <w:p w:rsidRPr="009C21FD" w:rsidR="009C21FD" w:rsidP="009C21FD" w:rsidRDefault="009C21FD" w14:paraId="2A935530" w14:textId="589387E8">
      <w:pPr>
        <w:rPr>
          <w:bCs/>
        </w:rPr>
      </w:pPr>
      <w:r w:rsidRPr="009C21FD">
        <w:rPr>
          <w:bCs/>
        </w:rPr>
        <w:t>One submitter commented there are significant practical challenges for institutional collaboration, for example, between PROs and universities and the different overheads on grants.</w:t>
      </w:r>
    </w:p>
    <w:p w:rsidRPr="002E1B88" w:rsidR="002E1B88" w:rsidP="00CD0EC2" w:rsidRDefault="002E1B88" w14:paraId="22E4E810" w14:textId="77777777">
      <w:pPr>
        <w:pStyle w:val="Heading3"/>
      </w:pPr>
      <w:bookmarkStart w:name="_Toc211314487" w:id="41"/>
      <w:r w:rsidRPr="002E1B88">
        <w:t>Do you have suggestions for additional activities to support this priority?</w:t>
      </w:r>
      <w:bookmarkEnd w:id="41"/>
    </w:p>
    <w:p w:rsidRPr="002E1B88" w:rsidR="002E1B88" w:rsidP="002E1B88" w:rsidRDefault="002E1B88" w14:paraId="42A76C14" w14:textId="31D83A0A">
      <w:r w:rsidRPr="002E1B88">
        <w:t>Thirty submitters</w:t>
      </w:r>
      <w:r w:rsidR="009C5FD9">
        <w:t xml:space="preserve"> (</w:t>
      </w:r>
      <w:r w:rsidR="00A36EC9">
        <w:t xml:space="preserve">12 industry, </w:t>
      </w:r>
      <w:r w:rsidR="00F94F25">
        <w:t>1</w:t>
      </w:r>
      <w:r w:rsidR="009076E4">
        <w:t xml:space="preserve">4 </w:t>
      </w:r>
      <w:r w:rsidR="009C5FD9">
        <w:t>TEOs, three educator/students,</w:t>
      </w:r>
      <w:r w:rsidR="00A36EC9">
        <w:t xml:space="preserve"> </w:t>
      </w:r>
      <w:r w:rsidR="00A9370A">
        <w:t>the MILG, and one research organisation)</w:t>
      </w:r>
      <w:r w:rsidRPr="002E1B88">
        <w:t xml:space="preserve"> made suggestions for additional activities that could support this priority.</w:t>
      </w:r>
    </w:p>
    <w:p w:rsidRPr="002E1B88" w:rsidR="002E1B88" w:rsidP="00CD0EC2" w:rsidRDefault="00031AC1" w14:paraId="2BEA12EF" w14:textId="08DEA842">
      <w:pPr>
        <w:pStyle w:val="Heading4"/>
      </w:pPr>
      <w:r>
        <w:t>Tertiary Education Organisations and their representative bodies</w:t>
      </w:r>
    </w:p>
    <w:p w:rsidRPr="002E1B88" w:rsidR="002E1B88" w:rsidP="002E1B88" w:rsidRDefault="00031AC1" w14:paraId="4DE5223B" w14:textId="032A13A8">
      <w:r>
        <w:t>Fourteen TEO submitters (</w:t>
      </w:r>
      <w:r w:rsidRPr="002E1B88">
        <w:t xml:space="preserve">five </w:t>
      </w:r>
      <w:proofErr w:type="spellStart"/>
      <w:r w:rsidRPr="002E1B88">
        <w:t>Te</w:t>
      </w:r>
      <w:proofErr w:type="spellEnd"/>
      <w:r w:rsidRPr="002E1B88">
        <w:t xml:space="preserve"> </w:t>
      </w:r>
      <w:proofErr w:type="spellStart"/>
      <w:r w:rsidRPr="002E1B88">
        <w:t>Pūkenga</w:t>
      </w:r>
      <w:proofErr w:type="spellEnd"/>
      <w:r w:rsidR="002740A0">
        <w:t xml:space="preserve"> divisions</w:t>
      </w:r>
      <w:r>
        <w:t>,</w:t>
      </w:r>
      <w:r w:rsidRPr="002E1B88">
        <w:t xml:space="preserve"> </w:t>
      </w:r>
      <w:r>
        <w:t>t</w:t>
      </w:r>
      <w:r w:rsidRPr="002E1B88" w:rsidR="002E1B88">
        <w:t>hree universities</w:t>
      </w:r>
      <w:r>
        <w:t>,</w:t>
      </w:r>
      <w:r w:rsidRPr="00031AC1">
        <w:t xml:space="preserve"> </w:t>
      </w:r>
      <w:r w:rsidRPr="002E1B88">
        <w:t>three PTEs</w:t>
      </w:r>
      <w:r w:rsidR="002740A0">
        <w:t>,</w:t>
      </w:r>
      <w:r w:rsidRPr="002E1B88">
        <w:t xml:space="preserve"> and three </w:t>
      </w:r>
      <w:r>
        <w:t>tertiary sector entities)</w:t>
      </w:r>
      <w:r w:rsidRPr="002E1B88" w:rsidR="002E1B88">
        <w:t xml:space="preserve"> made suggestions for additional activities to be included in this priority. </w:t>
      </w:r>
      <w:r>
        <w:t>One university sector submitter noted:</w:t>
      </w:r>
    </w:p>
    <w:p w:rsidRPr="002E1B88" w:rsidR="002E1B88" w:rsidP="002E1B88" w:rsidRDefault="002E1B88" w14:paraId="6A5F0F3E" w14:textId="6E1D77D7">
      <w:pPr>
        <w:pStyle w:val="Quote"/>
      </w:pPr>
      <w:r w:rsidRPr="002E1B88">
        <w:t>Pacific communities are absent from the TES framing despite their growing demographic and workforce contributions – opportunities exist to embed Pacific communities as partners in regional development, aligning with TES calls for collaboration with iwi, employers, and communities.</w:t>
      </w:r>
      <w:r w:rsidR="0055555B">
        <w:t xml:space="preserve"> </w:t>
      </w:r>
      <w:r w:rsidRPr="0055555B" w:rsidR="0055555B">
        <w:rPr>
          <w:i w:val="0"/>
          <w:iCs w:val="0"/>
        </w:rPr>
        <w:t>(Komiti Pasifika)</w:t>
      </w:r>
    </w:p>
    <w:p w:rsidRPr="002E1B88" w:rsidR="002E1B88" w:rsidP="002E1B88" w:rsidRDefault="002E1B88" w14:paraId="5BD8A73F" w14:textId="77777777">
      <w:pPr>
        <w:rPr>
          <w:b/>
          <w:bCs/>
          <w:i/>
          <w:iCs/>
        </w:rPr>
      </w:pPr>
      <w:r w:rsidRPr="002E1B88">
        <w:t>Other submitters suggested that the “</w:t>
      </w:r>
      <w:r w:rsidRPr="002E1B88">
        <w:rPr>
          <w:i/>
        </w:rPr>
        <w:t>Government could support place-based partnerships with iwi and communities and continue to build credit transfer and co-delivery models across institutions”</w:t>
      </w:r>
      <w:r w:rsidRPr="002E1B88">
        <w:t xml:space="preserve"> and there was a need to </w:t>
      </w:r>
      <w:r w:rsidRPr="002E1B88">
        <w:rPr>
          <w:i/>
        </w:rPr>
        <w:t>“Review funding incentives and policy to best facilitate collaboration amongst education institutions and with research organisations.”</w:t>
      </w:r>
    </w:p>
    <w:p w:rsidRPr="002E1B88" w:rsidR="002E1B88" w:rsidP="002E1B88" w:rsidRDefault="00031AC1" w14:paraId="6C55BEB6" w14:textId="166573D1">
      <w:r>
        <w:t>Other TEO c</w:t>
      </w:r>
      <w:r w:rsidRPr="002E1B88" w:rsidR="002E1B88">
        <w:t xml:space="preserve">omments </w:t>
      </w:r>
      <w:r w:rsidR="00507487">
        <w:t>included</w:t>
      </w:r>
      <w:r w:rsidRPr="002E1B88" w:rsidR="002E1B88">
        <w:t xml:space="preserve"> a need to include industry co-design and pathways</w:t>
      </w:r>
      <w:r w:rsidR="00680378">
        <w:t xml:space="preserve">. </w:t>
      </w:r>
    </w:p>
    <w:p w:rsidRPr="002E1B88" w:rsidR="002E1B88" w:rsidP="002E1B88" w:rsidRDefault="002E1B88" w14:paraId="30824367" w14:textId="5491EB27">
      <w:pPr>
        <w:pStyle w:val="Quote"/>
      </w:pPr>
      <w:r w:rsidRPr="002E1B88">
        <w:t>Qualifications on the framework must be transferred to the SSB for national consistency, industry leadership and for innovation.</w:t>
      </w:r>
      <w:r w:rsidR="00680378">
        <w:t xml:space="preserve"> </w:t>
      </w:r>
      <w:r w:rsidRPr="00680378" w:rsidR="00680378">
        <w:rPr>
          <w:i w:val="0"/>
          <w:iCs w:val="0"/>
        </w:rPr>
        <w:t>(</w:t>
      </w:r>
      <w:proofErr w:type="spellStart"/>
      <w:r w:rsidRPr="00680378" w:rsidR="00680378">
        <w:rPr>
          <w:i w:val="0"/>
          <w:iCs w:val="0"/>
        </w:rPr>
        <w:t>Toitū</w:t>
      </w:r>
      <w:proofErr w:type="spellEnd"/>
      <w:r w:rsidRPr="00680378" w:rsidR="00680378">
        <w:rPr>
          <w:i w:val="0"/>
          <w:iCs w:val="0"/>
        </w:rPr>
        <w:t xml:space="preserve"> </w:t>
      </w:r>
      <w:proofErr w:type="spellStart"/>
      <w:r w:rsidRPr="00680378" w:rsidR="00680378">
        <w:rPr>
          <w:i w:val="0"/>
          <w:iCs w:val="0"/>
        </w:rPr>
        <w:t>te</w:t>
      </w:r>
      <w:proofErr w:type="spellEnd"/>
      <w:r w:rsidRPr="00680378" w:rsidR="00680378">
        <w:rPr>
          <w:i w:val="0"/>
          <w:iCs w:val="0"/>
        </w:rPr>
        <w:t xml:space="preserve"> </w:t>
      </w:r>
      <w:proofErr w:type="spellStart"/>
      <w:r w:rsidRPr="00680378" w:rsidR="00680378">
        <w:rPr>
          <w:i w:val="0"/>
          <w:iCs w:val="0"/>
        </w:rPr>
        <w:t>Waiora</w:t>
      </w:r>
      <w:proofErr w:type="spellEnd"/>
      <w:r w:rsidRPr="00680378" w:rsidR="00680378">
        <w:rPr>
          <w:i w:val="0"/>
          <w:iCs w:val="0"/>
        </w:rPr>
        <w:t>)</w:t>
      </w:r>
    </w:p>
    <w:p w:rsidRPr="002E1B88" w:rsidR="002E1B88" w:rsidP="002E1B88" w:rsidRDefault="002E1B88" w14:paraId="1060A6DB" w14:textId="77777777">
      <w:r w:rsidRPr="002E1B88">
        <w:t>Three submitters emphasised the need to create or deepen partnerships with iwi, hapū and Māori and Pacific organisations.</w:t>
      </w:r>
    </w:p>
    <w:p w:rsidRPr="0048532C" w:rsidR="002E1B88" w:rsidP="002E1B88" w:rsidRDefault="00110EDD" w14:paraId="4B758112" w14:textId="2F5EFF4D">
      <w:pPr>
        <w:pStyle w:val="Quote"/>
        <w:rPr>
          <w:i w:val="0"/>
        </w:rPr>
      </w:pPr>
      <w:r>
        <w:t>..</w:t>
      </w:r>
      <w:r w:rsidRPr="002E1B88" w:rsidR="002E1B88">
        <w:t xml:space="preserve">.fully supports partnership between tertiary education providers and hapū and iwi as critical to support Māori development aspirations and to honour </w:t>
      </w:r>
      <w:proofErr w:type="spellStart"/>
      <w:r w:rsidRPr="002E1B88" w:rsidR="002E1B88">
        <w:t>te</w:t>
      </w:r>
      <w:proofErr w:type="spellEnd"/>
      <w:r w:rsidRPr="002E1B88" w:rsidR="002E1B88">
        <w:t xml:space="preserve"> </w:t>
      </w:r>
      <w:proofErr w:type="spellStart"/>
      <w:r w:rsidRPr="002E1B88" w:rsidR="002E1B88">
        <w:t>Tiriti</w:t>
      </w:r>
      <w:proofErr w:type="spellEnd"/>
      <w:r w:rsidRPr="002E1B88" w:rsidR="002E1B88">
        <w:t xml:space="preserve"> o Waitangi</w:t>
      </w:r>
      <w:r w:rsidRPr="0048532C" w:rsidR="002E1B88">
        <w:rPr>
          <w:i w:val="0"/>
          <w:iCs w:val="0"/>
        </w:rPr>
        <w:t>.</w:t>
      </w:r>
      <w:r w:rsidR="004C387E">
        <w:rPr>
          <w:i w:val="0"/>
          <w:iCs w:val="0"/>
        </w:rPr>
        <w:t xml:space="preserve"> </w:t>
      </w:r>
      <w:r w:rsidRPr="0048532C" w:rsidR="0048532C">
        <w:rPr>
          <w:i w:val="0"/>
          <w:iCs w:val="0"/>
        </w:rPr>
        <w:t>(ACE Aotearoa)</w:t>
      </w:r>
    </w:p>
    <w:p w:rsidRPr="002E1B88" w:rsidR="002E1B88" w:rsidP="002E1B88" w:rsidRDefault="002E1B88" w14:paraId="75E57EBB" w14:textId="6F09E96C">
      <w:r w:rsidRPr="002E1B88">
        <w:t xml:space="preserve">Two submitters suggested that fostering international collaboration was important and not limited to just universities but </w:t>
      </w:r>
      <w:r w:rsidR="00B15E91">
        <w:t xml:space="preserve">also </w:t>
      </w:r>
      <w:r w:rsidRPr="002E1B88">
        <w:t>other providers in the sector.</w:t>
      </w:r>
    </w:p>
    <w:p w:rsidRPr="002E1B88" w:rsidR="002E1B88" w:rsidP="002E1B88" w:rsidRDefault="002E1B88" w14:paraId="003BBB0E" w14:textId="3CFB744E">
      <w:r w:rsidRPr="002E1B88">
        <w:t xml:space="preserve">Other suggestions included undertaking a comprehensive review of operational policies, funding mechanisms and rules, </w:t>
      </w:r>
      <w:r w:rsidR="0006392C">
        <w:t>as well as setting</w:t>
      </w:r>
      <w:r w:rsidRPr="002E1B88">
        <w:t xml:space="preserve"> clear expectations and structures that are designed to ensure all industries and </w:t>
      </w:r>
      <w:r w:rsidR="00E811C0">
        <w:t xml:space="preserve">small to medium enterprises </w:t>
      </w:r>
      <w:r w:rsidRPr="002E1B88">
        <w:t>have a voice.</w:t>
      </w:r>
    </w:p>
    <w:p w:rsidRPr="002E1B88" w:rsidR="002E1B88" w:rsidP="00CD0EC2" w:rsidRDefault="002E1B88" w14:paraId="0E83C9F4" w14:textId="0DFBDF4E">
      <w:pPr>
        <w:pStyle w:val="Heading4"/>
      </w:pPr>
      <w:r w:rsidRPr="002E1B88">
        <w:t>Educator</w:t>
      </w:r>
      <w:r w:rsidR="00CD0EC2">
        <w:t>s</w:t>
      </w:r>
      <w:r w:rsidRPr="002E1B88">
        <w:t>/Student</w:t>
      </w:r>
      <w:r w:rsidR="00CD0EC2">
        <w:t>s</w:t>
      </w:r>
    </w:p>
    <w:p w:rsidRPr="002E1B88" w:rsidR="002E1B88" w:rsidP="002E1B88" w:rsidRDefault="002E1B88" w14:paraId="70E73C27" w14:textId="77777777">
      <w:pPr>
        <w:rPr>
          <w:bCs/>
        </w:rPr>
      </w:pPr>
      <w:r w:rsidRPr="002E1B88">
        <w:rPr>
          <w:bCs/>
        </w:rPr>
        <w:t xml:space="preserve">Three submitters made comments, with two noting that there is a need to ensure input from students, apprentices and workers when developing initiatives. </w:t>
      </w:r>
    </w:p>
    <w:p w:rsidR="003012FD" w:rsidP="002E1B88" w:rsidRDefault="002E1B88" w14:paraId="0718B504" w14:textId="0A41AA1B">
      <w:pPr>
        <w:rPr>
          <w:bCs/>
        </w:rPr>
      </w:pPr>
      <w:r w:rsidRPr="002E1B88">
        <w:rPr>
          <w:bCs/>
        </w:rPr>
        <w:t xml:space="preserve">One submitter suggested that appropriate levels of resourcing are required to design meaningful programmes, </w:t>
      </w:r>
      <w:r w:rsidR="007E0513">
        <w:rPr>
          <w:bCs/>
        </w:rPr>
        <w:t xml:space="preserve">and that </w:t>
      </w:r>
      <w:r w:rsidRPr="002E1B88">
        <w:rPr>
          <w:bCs/>
        </w:rPr>
        <w:t>collaboration should be measured in terms of public benefit and knowledge sharing</w:t>
      </w:r>
      <w:r w:rsidR="003012FD">
        <w:rPr>
          <w:bCs/>
        </w:rPr>
        <w:t>.</w:t>
      </w:r>
    </w:p>
    <w:p w:rsidRPr="00B83CBF" w:rsidR="002E1B88" w:rsidP="003012FD" w:rsidRDefault="002E1B88" w14:paraId="71FB9A4F" w14:textId="2225BB3B">
      <w:pPr>
        <w:pStyle w:val="Quote"/>
        <w:rPr>
          <w:i w:val="0"/>
        </w:rPr>
      </w:pPr>
      <w:r w:rsidRPr="002E1B88">
        <w:t xml:space="preserve">Collaboration with Māori must be grounded in </w:t>
      </w:r>
      <w:proofErr w:type="spellStart"/>
      <w:r w:rsidRPr="002E1B88">
        <w:t>tino</w:t>
      </w:r>
      <w:proofErr w:type="spellEnd"/>
      <w:r w:rsidRPr="002E1B88">
        <w:t xml:space="preserve"> rangatiratanga and adequately funded to ensure that iwi and hapū are equal partners, not simply stakeholders</w:t>
      </w:r>
      <w:r w:rsidRPr="00B83CBF">
        <w:rPr>
          <w:i w:val="0"/>
          <w:iCs w:val="0"/>
        </w:rPr>
        <w:t>.</w:t>
      </w:r>
      <w:r w:rsidR="004C387E">
        <w:rPr>
          <w:i w:val="0"/>
          <w:iCs w:val="0"/>
        </w:rPr>
        <w:t xml:space="preserve"> </w:t>
      </w:r>
      <w:r w:rsidRPr="00B83CBF" w:rsidR="00B83CBF">
        <w:rPr>
          <w:i w:val="0"/>
          <w:iCs w:val="0"/>
        </w:rPr>
        <w:t>(TEU)</w:t>
      </w:r>
    </w:p>
    <w:p w:rsidRPr="006744CE" w:rsidR="00300735" w:rsidP="00300735" w:rsidRDefault="00300735" w14:paraId="6614D64A" w14:textId="77777777">
      <w:pPr>
        <w:pStyle w:val="Heading4"/>
      </w:pPr>
      <w:r w:rsidRPr="006744CE">
        <w:t>Other</w:t>
      </w:r>
    </w:p>
    <w:p w:rsidR="00300735" w:rsidP="00300735" w:rsidRDefault="00BD177A" w14:paraId="486DCF04" w14:textId="6C56E180">
      <w:pPr>
        <w:ind w:right="1091"/>
      </w:pPr>
      <w:r>
        <w:t xml:space="preserve">The </w:t>
      </w:r>
      <w:proofErr w:type="spellStart"/>
      <w:r w:rsidRPr="006D08D5" w:rsidR="00300735">
        <w:t>Mātauranga</w:t>
      </w:r>
      <w:proofErr w:type="spellEnd"/>
      <w:r w:rsidRPr="006D08D5" w:rsidR="00300735">
        <w:t xml:space="preserve"> Iwi Leaders Group</w:t>
      </w:r>
      <w:r w:rsidR="00300735">
        <w:t xml:space="preserve"> commented</w:t>
      </w:r>
      <w:r w:rsidR="006B2566">
        <w:t xml:space="preserve"> </w:t>
      </w:r>
      <w:r w:rsidR="00EE0C28">
        <w:t xml:space="preserve">that </w:t>
      </w:r>
      <w:r w:rsidR="006B2566">
        <w:t>the</w:t>
      </w:r>
      <w:r w:rsidR="0074159C">
        <w:t>y</w:t>
      </w:r>
      <w:r w:rsidR="006B2566">
        <w:t xml:space="preserve"> would like to see</w:t>
      </w:r>
      <w:r w:rsidR="0074159C">
        <w:t>:</w:t>
      </w:r>
    </w:p>
    <w:p w:rsidRPr="00CB6F29" w:rsidR="00300735" w:rsidP="00300735" w:rsidRDefault="00BD177A" w14:paraId="37ABA924" w14:textId="063ED9B4">
      <w:pPr>
        <w:pStyle w:val="Quote"/>
      </w:pPr>
      <w:r>
        <w:t>…</w:t>
      </w:r>
      <w:r w:rsidRPr="00CB6F29" w:rsidR="00300735">
        <w:t xml:space="preserve"> the tertiary education system partnering with iwi to invest in and develop iwi-led education initiatives that builds capability and serves the education and skill needs of the iwi.</w:t>
      </w:r>
    </w:p>
    <w:p w:rsidRPr="002E1B88" w:rsidR="002E1B88" w:rsidP="00CD0EC2" w:rsidRDefault="002E1B88" w14:paraId="5C5BBB90" w14:textId="20B63BC1">
      <w:pPr>
        <w:pStyle w:val="Heading4"/>
      </w:pPr>
      <w:r w:rsidRPr="002E1B88">
        <w:t>Industry</w:t>
      </w:r>
    </w:p>
    <w:p w:rsidRPr="002E1B88" w:rsidR="002E1B88" w:rsidP="002E1B88" w:rsidRDefault="002E1B88" w14:paraId="46376EAF" w14:textId="56E0FD6F">
      <w:pPr>
        <w:rPr>
          <w:bCs/>
        </w:rPr>
      </w:pPr>
      <w:r w:rsidRPr="002E1B88">
        <w:rPr>
          <w:bCs/>
        </w:rPr>
        <w:t xml:space="preserve">Twelve </w:t>
      </w:r>
      <w:r w:rsidR="00AA3CE0">
        <w:rPr>
          <w:bCs/>
        </w:rPr>
        <w:t xml:space="preserve">industry </w:t>
      </w:r>
      <w:r w:rsidRPr="002E1B88">
        <w:rPr>
          <w:bCs/>
        </w:rPr>
        <w:t>submitters provided comments with suggestions for additional activities. Five submitters comment</w:t>
      </w:r>
      <w:r w:rsidR="00EE0C28">
        <w:rPr>
          <w:bCs/>
        </w:rPr>
        <w:t>ed</w:t>
      </w:r>
      <w:r w:rsidRPr="002E1B88">
        <w:rPr>
          <w:bCs/>
        </w:rPr>
        <w:t xml:space="preserve"> that there is a need for industry to be involved in the design of training, and to create clear learning pathways from secondary to tertiary education.</w:t>
      </w:r>
    </w:p>
    <w:p w:rsidRPr="002E1B88" w:rsidR="002E1B88" w:rsidP="002E1B88" w:rsidRDefault="002E1B88" w14:paraId="579E1494" w14:textId="23DC3EA7">
      <w:pPr>
        <w:rPr>
          <w:bCs/>
        </w:rPr>
      </w:pPr>
      <w:r w:rsidRPr="002E1B88">
        <w:rPr>
          <w:bCs/>
        </w:rPr>
        <w:t xml:space="preserve">It was noted by four submitters that partnerships were essential system-wide </w:t>
      </w:r>
      <w:r w:rsidR="004836C2">
        <w:rPr>
          <w:bCs/>
        </w:rPr>
        <w:t xml:space="preserve">to connect </w:t>
      </w:r>
      <w:r w:rsidRPr="002E1B88">
        <w:rPr>
          <w:bCs/>
        </w:rPr>
        <w:t xml:space="preserve">employers, providers, industry stakeholders and research organisations. </w:t>
      </w:r>
    </w:p>
    <w:p w:rsidRPr="002E1B88" w:rsidR="002E1B88" w:rsidP="002E1B88" w:rsidRDefault="004836C2" w14:paraId="668845E8" w14:textId="36B0482D">
      <w:pPr>
        <w:pStyle w:val="Quote"/>
      </w:pPr>
      <w:r w:rsidRPr="002E1B88">
        <w:t>…. must</w:t>
      </w:r>
      <w:r w:rsidRPr="002E1B88" w:rsidR="002E1B88">
        <w:t xml:space="preserve"> work together to anticipate emerging skills requirements, co-develop programmes, and ensure that tertiary education remains agile and responsive.</w:t>
      </w:r>
      <w:r w:rsidR="00680378">
        <w:t xml:space="preserve"> </w:t>
      </w:r>
      <w:r w:rsidRPr="00680378" w:rsidR="00680378">
        <w:rPr>
          <w:i w:val="0"/>
          <w:iCs w:val="0"/>
        </w:rPr>
        <w:t>(</w:t>
      </w:r>
      <w:r w:rsidRPr="00680378" w:rsidR="00680378">
        <w:rPr>
          <w:bCs/>
          <w:i w:val="0"/>
          <w:iCs w:val="0"/>
        </w:rPr>
        <w:t>Motor Trade Association)</w:t>
      </w:r>
    </w:p>
    <w:p w:rsidRPr="002E1B88" w:rsidR="002E1B88" w:rsidP="002E1B88" w:rsidRDefault="002E1B88" w14:paraId="14EED4D0" w14:textId="10676A09">
      <w:pPr>
        <w:rPr>
          <w:bCs/>
        </w:rPr>
      </w:pPr>
      <w:r w:rsidRPr="002E1B88">
        <w:rPr>
          <w:bCs/>
        </w:rPr>
        <w:t xml:space="preserve">Two submitters noted that there </w:t>
      </w:r>
      <w:r w:rsidR="00EE0C28">
        <w:rPr>
          <w:bCs/>
        </w:rPr>
        <w:t>is</w:t>
      </w:r>
      <w:r w:rsidRPr="002E1B88">
        <w:rPr>
          <w:bCs/>
        </w:rPr>
        <w:t xml:space="preserve"> a need to support iwi and Pacific partnerships, including building capacity in the Pacific.</w:t>
      </w:r>
    </w:p>
    <w:p w:rsidRPr="002E1B88" w:rsidR="002E1B88" w:rsidP="00CD0EC2" w:rsidRDefault="002E1B88" w14:paraId="2966E8E2" w14:textId="6CD20EDD">
      <w:pPr>
        <w:pStyle w:val="Heading4"/>
      </w:pPr>
      <w:r w:rsidRPr="002E1B88">
        <w:t xml:space="preserve">Research </w:t>
      </w:r>
      <w:r w:rsidR="00507487">
        <w:t>organisations</w:t>
      </w:r>
    </w:p>
    <w:p w:rsidR="003B170E" w:rsidRDefault="002E1B88" w14:paraId="352F9777" w14:textId="4B212883">
      <w:pPr>
        <w:rPr>
          <w:bCs/>
        </w:rPr>
      </w:pPr>
      <w:r w:rsidRPr="002E1B88">
        <w:rPr>
          <w:bCs/>
        </w:rPr>
        <w:t xml:space="preserve">One submitter commented that there </w:t>
      </w:r>
      <w:r w:rsidR="00EE0C28">
        <w:rPr>
          <w:bCs/>
        </w:rPr>
        <w:t>is</w:t>
      </w:r>
      <w:r w:rsidRPr="002E1B88">
        <w:rPr>
          <w:bCs/>
        </w:rPr>
        <w:t xml:space="preserve"> a need to formalise the Commercialisation Partner Network </w:t>
      </w:r>
      <w:r w:rsidR="00512E5D">
        <w:rPr>
          <w:bCs/>
        </w:rPr>
        <w:t xml:space="preserve">(CPN) </w:t>
      </w:r>
      <w:r w:rsidRPr="002E1B88">
        <w:rPr>
          <w:bCs/>
        </w:rPr>
        <w:t xml:space="preserve">as the national delivery system and </w:t>
      </w:r>
      <w:r w:rsidR="00EE0C28">
        <w:rPr>
          <w:bCs/>
        </w:rPr>
        <w:t xml:space="preserve">to </w:t>
      </w:r>
      <w:r w:rsidRPr="002E1B88">
        <w:rPr>
          <w:bCs/>
        </w:rPr>
        <w:t xml:space="preserve">strengthen joint international business development and co design </w:t>
      </w:r>
      <w:r w:rsidRPr="002E1B88" w:rsidR="00D44A7C">
        <w:rPr>
          <w:bCs/>
        </w:rPr>
        <w:t>mechanisms,</w:t>
      </w:r>
      <w:r w:rsidRPr="002E1B88">
        <w:rPr>
          <w:bCs/>
        </w:rPr>
        <w:t xml:space="preserve"> so institutions engage industry</w:t>
      </w:r>
      <w:r w:rsidR="007276BD">
        <w:rPr>
          <w:bCs/>
        </w:rPr>
        <w:t xml:space="preserve"> and venture capital firms</w:t>
      </w:r>
      <w:r w:rsidRPr="002E1B88">
        <w:rPr>
          <w:bCs/>
        </w:rPr>
        <w:t xml:space="preserve"> earlier.</w:t>
      </w:r>
      <w:r w:rsidR="00FC05C1">
        <w:rPr>
          <w:bCs/>
        </w:rPr>
        <w:t xml:space="preserve"> </w:t>
      </w:r>
      <w:r w:rsidR="003B170E">
        <w:rPr>
          <w:bCs/>
        </w:rPr>
        <w:br w:type="page"/>
      </w:r>
    </w:p>
    <w:p w:rsidRPr="00260695" w:rsidR="00260695" w:rsidP="006A5D9D" w:rsidRDefault="00260695" w14:paraId="6246125B" w14:textId="77777777">
      <w:pPr>
        <w:pStyle w:val="Heading2"/>
      </w:pPr>
      <w:bookmarkStart w:name="_Toc211314488" w:id="42"/>
      <w:bookmarkStart w:name="_Toc211348946" w:id="43"/>
      <w:r w:rsidRPr="00260695">
        <w:t>International Education</w:t>
      </w:r>
      <w:bookmarkEnd w:id="42"/>
      <w:bookmarkEnd w:id="43"/>
    </w:p>
    <w:p w:rsidRPr="003B170E" w:rsidR="003B170E" w:rsidP="003B170E" w:rsidRDefault="003B170E" w14:paraId="30F136E6" w14:textId="77777777">
      <w:r w:rsidRPr="003B170E">
        <w:t>Submitters were asked the following questions:</w:t>
      </w:r>
    </w:p>
    <w:p w:rsidRPr="001548BD" w:rsidR="003B170E" w:rsidP="001548BD" w:rsidRDefault="003B170E" w14:paraId="30D3E129" w14:textId="77777777">
      <w:pPr>
        <w:pStyle w:val="ListBullet"/>
        <w:rPr>
          <w:i/>
          <w:iCs/>
        </w:rPr>
      </w:pPr>
      <w:r w:rsidRPr="001548BD">
        <w:rPr>
          <w:i/>
          <w:iCs/>
        </w:rPr>
        <w:t xml:space="preserve">To what extent do you agree that International Education should be a priority in the TES? </w:t>
      </w:r>
    </w:p>
    <w:p w:rsidRPr="001548BD" w:rsidR="003B170E" w:rsidP="001548BD" w:rsidRDefault="003B170E" w14:paraId="4B719FEF" w14:textId="77777777">
      <w:pPr>
        <w:pStyle w:val="ListBullet"/>
        <w:rPr>
          <w:i/>
          <w:iCs/>
        </w:rPr>
      </w:pPr>
      <w:r w:rsidRPr="001548BD">
        <w:rPr>
          <w:i/>
          <w:iCs/>
        </w:rPr>
        <w:t xml:space="preserve">How do you see this priority working with, and contributing to, the other TES priorities? </w:t>
      </w:r>
    </w:p>
    <w:p w:rsidRPr="001548BD" w:rsidR="003B170E" w:rsidP="001548BD" w:rsidRDefault="003B170E" w14:paraId="61117CF2" w14:textId="77777777">
      <w:pPr>
        <w:pStyle w:val="ListBullet"/>
        <w:rPr>
          <w:i/>
          <w:iCs/>
        </w:rPr>
      </w:pPr>
      <w:r w:rsidRPr="001548BD">
        <w:rPr>
          <w:i/>
          <w:iCs/>
        </w:rPr>
        <w:t xml:space="preserve">Do you have suggestions for additional activities to support this priority? </w:t>
      </w:r>
    </w:p>
    <w:p w:rsidRPr="0081006E" w:rsidR="00F472D1" w:rsidP="00CD0EC2" w:rsidRDefault="00F472D1" w14:paraId="58C3DDAA" w14:textId="6DCFE7DB">
      <w:pPr>
        <w:pStyle w:val="Heading3"/>
      </w:pPr>
      <w:bookmarkStart w:name="_Toc211314489" w:id="44"/>
      <w:r w:rsidRPr="0081006E">
        <w:t>To what extent do you agree that International Education should be a priority in the TES?</w:t>
      </w:r>
      <w:bookmarkEnd w:id="44"/>
      <w:r w:rsidRPr="0081006E">
        <w:t xml:space="preserve"> </w:t>
      </w:r>
    </w:p>
    <w:p w:rsidR="001527F3" w:rsidP="001527F3" w:rsidRDefault="001527F3" w14:paraId="0CECA9D3" w14:textId="0BE76679">
      <w:pPr>
        <w:pStyle w:val="Caption"/>
        <w:keepNext/>
      </w:pPr>
      <w:bookmarkStart w:name="_Ref211343772" w:id="45"/>
      <w:r>
        <w:t xml:space="preserve">Figure </w:t>
      </w:r>
      <w:r>
        <w:fldChar w:fldCharType="begin"/>
      </w:r>
      <w:r>
        <w:instrText>SEQ Figure \* ARABIC</w:instrText>
      </w:r>
      <w:r>
        <w:fldChar w:fldCharType="separate"/>
      </w:r>
      <w:r w:rsidR="00ED2C25">
        <w:rPr>
          <w:noProof/>
        </w:rPr>
        <w:t>10</w:t>
      </w:r>
      <w:r>
        <w:fldChar w:fldCharType="end"/>
      </w:r>
      <w:bookmarkEnd w:id="45"/>
      <w:r>
        <w:t>: Should International Education be a priority?</w:t>
      </w:r>
    </w:p>
    <w:p w:rsidR="00CE5E1C" w:rsidRDefault="009A7130" w14:paraId="654C9420" w14:textId="2D0E0034">
      <w:r>
        <w:rPr>
          <w:noProof/>
        </w:rPr>
        <w:drawing>
          <wp:inline distT="0" distB="0" distL="0" distR="0" wp14:anchorId="0D2AA302" wp14:editId="46757DC4">
            <wp:extent cx="5940000" cy="2700000"/>
            <wp:effectExtent l="0" t="0" r="3810" b="5715"/>
            <wp:docPr id="1183595845" name="Chart 1">
              <a:extLst xmlns:a="http://schemas.openxmlformats.org/drawingml/2006/main">
                <a:ext uri="{FF2B5EF4-FFF2-40B4-BE49-F238E27FC236}">
                  <a16:creationId xmlns:a16="http://schemas.microsoft.com/office/drawing/2014/main" id="{A081A00E-293B-10DC-1104-8CD965FBA8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694BF1" w:rsidR="00694BF1" w:rsidP="00694BF1" w:rsidRDefault="00694BF1" w14:paraId="2CFC112C" w14:textId="28DCACF1">
      <w:r w:rsidRPr="00694BF1">
        <w:t xml:space="preserve">Of the 68 submissions received, 42 submitters </w:t>
      </w:r>
      <w:r w:rsidR="000D6CD5">
        <w:t>(</w:t>
      </w:r>
      <w:r w:rsidR="004836C2">
        <w:t>23</w:t>
      </w:r>
      <w:r w:rsidR="00840145">
        <w:t xml:space="preserve"> TEOs, 12 industry</w:t>
      </w:r>
      <w:r w:rsidR="000D6CD5">
        <w:t xml:space="preserve">, four educators/students, and three research organisations) </w:t>
      </w:r>
      <w:r w:rsidRPr="00694BF1">
        <w:t xml:space="preserve">made comments relating to the International Education priority. </w:t>
      </w:r>
    </w:p>
    <w:p w:rsidRPr="00694BF1" w:rsidR="00694BF1" w:rsidP="00694BF1" w:rsidRDefault="00F45BEB" w14:paraId="5D2B7E4E" w14:textId="6CFEF371">
      <w:pPr>
        <w:rPr>
          <w:i/>
          <w:iCs/>
        </w:rPr>
      </w:pPr>
      <w:r>
        <w:t xml:space="preserve">As shown above in </w:t>
      </w:r>
      <w:r>
        <w:fldChar w:fldCharType="begin"/>
      </w:r>
      <w:r>
        <w:instrText xml:space="preserve"> REF _Ref211343772 \h </w:instrText>
      </w:r>
      <w:r>
        <w:fldChar w:fldCharType="separate"/>
      </w:r>
      <w:r w:rsidR="00ED2C25">
        <w:t xml:space="preserve">Figure </w:t>
      </w:r>
      <w:r w:rsidR="00ED2C25">
        <w:rPr>
          <w:noProof/>
        </w:rPr>
        <w:t>10</w:t>
      </w:r>
      <w:r>
        <w:fldChar w:fldCharType="end"/>
      </w:r>
      <w:r>
        <w:t>,</w:t>
      </w:r>
      <w:r w:rsidR="00F5059A">
        <w:t xml:space="preserve"> submitters views on this priority had more variation </w:t>
      </w:r>
      <w:r w:rsidRPr="00694BF1" w:rsidR="00694BF1">
        <w:t xml:space="preserve">with </w:t>
      </w:r>
      <w:r w:rsidR="008250C1">
        <w:t>27</w:t>
      </w:r>
      <w:r w:rsidRPr="00694BF1" w:rsidR="00694BF1">
        <w:t xml:space="preserve"> supporting the priority, </w:t>
      </w:r>
      <w:r w:rsidR="00E947D0">
        <w:t>11</w:t>
      </w:r>
      <w:r w:rsidRPr="00694BF1" w:rsidR="00694BF1">
        <w:t xml:space="preserve"> stating they held a neutral view and two disagree</w:t>
      </w:r>
      <w:r w:rsidR="00840145">
        <w:t>d</w:t>
      </w:r>
      <w:r w:rsidRPr="00694BF1" w:rsidR="00694BF1">
        <w:t xml:space="preserve">. </w:t>
      </w:r>
    </w:p>
    <w:p w:rsidRPr="00694BF1" w:rsidR="00694BF1" w:rsidP="00CD0EC2" w:rsidRDefault="00507487" w14:paraId="68994E73" w14:textId="2B1214D4">
      <w:pPr>
        <w:pStyle w:val="Heading4"/>
      </w:pPr>
      <w:r>
        <w:t>Tertiary Education Organisations and their representative bodies</w:t>
      </w:r>
    </w:p>
    <w:p w:rsidR="00694BF1" w:rsidP="00694BF1" w:rsidRDefault="00507487" w14:paraId="5C6382FE" w14:textId="1276F4B8">
      <w:r>
        <w:t>Twenty-three TEO submitters (e</w:t>
      </w:r>
      <w:r w:rsidRPr="00694BF1" w:rsidR="00694BF1">
        <w:t>ight universities</w:t>
      </w:r>
      <w:r>
        <w:t>,</w:t>
      </w:r>
      <w:r w:rsidRPr="00507487">
        <w:t xml:space="preserve"> </w:t>
      </w:r>
      <w:r w:rsidRPr="00694BF1">
        <w:t xml:space="preserve">seven </w:t>
      </w:r>
      <w:proofErr w:type="spellStart"/>
      <w:r w:rsidRPr="00694BF1">
        <w:t>Te</w:t>
      </w:r>
      <w:proofErr w:type="spellEnd"/>
      <w:r w:rsidRPr="00694BF1">
        <w:t xml:space="preserve"> </w:t>
      </w:r>
      <w:proofErr w:type="spellStart"/>
      <w:r w:rsidRPr="00694BF1">
        <w:t>Pūkenga</w:t>
      </w:r>
      <w:proofErr w:type="spellEnd"/>
      <w:r w:rsidRPr="00694BF1">
        <w:t xml:space="preserve"> divisions</w:t>
      </w:r>
      <w:r>
        <w:t>,</w:t>
      </w:r>
      <w:r w:rsidRPr="00694BF1" w:rsidR="00694BF1">
        <w:t xml:space="preserve"> </w:t>
      </w:r>
      <w:r w:rsidRPr="00694BF1">
        <w:t xml:space="preserve">five PTEs, and three </w:t>
      </w:r>
      <w:r>
        <w:t>tertiary sector entities)</w:t>
      </w:r>
      <w:r w:rsidRPr="00694BF1">
        <w:t xml:space="preserve"> </w:t>
      </w:r>
      <w:r w:rsidRPr="00694BF1" w:rsidR="00694BF1">
        <w:t>provided comments on the priority. Overall, the comments were supportive and related to international students bringing a cultural richness and diversity to campuses</w:t>
      </w:r>
      <w:r w:rsidR="00E947D0">
        <w:t>,</w:t>
      </w:r>
      <w:r w:rsidRPr="00694BF1" w:rsidR="00694BF1">
        <w:t xml:space="preserve"> as well as building connections in research, trade, tourism and diplomatic relationships.</w:t>
      </w:r>
    </w:p>
    <w:p w:rsidRPr="00694BF1" w:rsidR="00DF50A6" w:rsidP="00DF50A6" w:rsidRDefault="00DF50A6" w14:paraId="389B582F" w14:textId="77777777">
      <w:r w:rsidRPr="00694BF1">
        <w:t xml:space="preserve">It was noted by three submitters that there needs to be balance found between domestic and international learners, and </w:t>
      </w:r>
      <w:r>
        <w:t xml:space="preserve">that </w:t>
      </w:r>
      <w:r w:rsidRPr="00694BF1">
        <w:t xml:space="preserve">they need to complement each other. </w:t>
      </w:r>
    </w:p>
    <w:p w:rsidRPr="00694BF1" w:rsidR="00DF50A6" w:rsidP="00DF50A6" w:rsidRDefault="00DF50A6" w14:paraId="3A92D280" w14:textId="77777777">
      <w:pPr>
        <w:pStyle w:val="Quote"/>
      </w:pPr>
      <w:r w:rsidRPr="00694BF1">
        <w:t>While we agree international education is important for New Zealand’s position in the world, the TES over emphasises qualification and programme development for international EFTS at the expense of domestic students.</w:t>
      </w:r>
      <w:r>
        <w:t xml:space="preserve"> </w:t>
      </w:r>
      <w:r w:rsidRPr="00680378">
        <w:rPr>
          <w:i w:val="0"/>
          <w:iCs w:val="0"/>
        </w:rPr>
        <w:t>(Toi Mai)</w:t>
      </w:r>
    </w:p>
    <w:p w:rsidRPr="00694BF1" w:rsidR="00694BF1" w:rsidP="00694BF1" w:rsidRDefault="000F28D3" w14:paraId="70A535B8" w14:textId="55C24A68">
      <w:r>
        <w:t>One submitter raised</w:t>
      </w:r>
      <w:r w:rsidRPr="00694BF1" w:rsidR="00694BF1">
        <w:t xml:space="preserve"> concerns </w:t>
      </w:r>
      <w:r w:rsidR="00423DAC">
        <w:t xml:space="preserve">about </w:t>
      </w:r>
      <w:r w:rsidRPr="00694BF1" w:rsidR="00694BF1">
        <w:t>the way the priority was currently framed</w:t>
      </w:r>
      <w:r w:rsidR="00423DAC">
        <w:t xml:space="preserve"> and New</w:t>
      </w:r>
      <w:r w:rsidR="00423DAC">
        <w:rPr>
          <w:rFonts w:cs="Arial"/>
        </w:rPr>
        <w:t> </w:t>
      </w:r>
      <w:r w:rsidR="00423DAC">
        <w:t>Zealand’s relationship with other pacific region countries</w:t>
      </w:r>
      <w:r w:rsidR="003313FC">
        <w:t>:</w:t>
      </w:r>
      <w:r w:rsidRPr="00694BF1" w:rsidR="00694BF1">
        <w:t xml:space="preserve"> </w:t>
      </w:r>
    </w:p>
    <w:p w:rsidRPr="00694BF1" w:rsidR="00694BF1" w:rsidP="001548BD" w:rsidRDefault="00694BF1" w14:paraId="0D0ABFD2" w14:textId="04489979">
      <w:pPr>
        <w:pStyle w:val="Quote"/>
      </w:pPr>
      <w:r w:rsidRPr="00694BF1">
        <w:t xml:space="preserve">International education is framed narrowly as an export industry. For Pacific peoples, it is about reciprocity and collective uplift for </w:t>
      </w:r>
      <w:proofErr w:type="spellStart"/>
      <w:r w:rsidRPr="00694BF1">
        <w:t>Te</w:t>
      </w:r>
      <w:proofErr w:type="spellEnd"/>
      <w:r w:rsidRPr="00694BF1">
        <w:t xml:space="preserve"> Moana-</w:t>
      </w:r>
      <w:proofErr w:type="spellStart"/>
      <w:r w:rsidRPr="00694BF1">
        <w:t>nui</w:t>
      </w:r>
      <w:proofErr w:type="spellEnd"/>
      <w:r w:rsidRPr="00694BF1">
        <w:t>-a-Kiwa. Position the Pacific as a distinct international focus, aligning TES with Pacific regional priorities such as climate resilience and mobility agreements.</w:t>
      </w:r>
      <w:r w:rsidR="00833C94">
        <w:t xml:space="preserve"> </w:t>
      </w:r>
      <w:r w:rsidRPr="00833C94" w:rsidR="00833C94">
        <w:rPr>
          <w:i w:val="0"/>
          <w:iCs w:val="0"/>
        </w:rPr>
        <w:t xml:space="preserve">(Komiti </w:t>
      </w:r>
      <w:proofErr w:type="spellStart"/>
      <w:r w:rsidRPr="00833C94" w:rsidR="00833C94">
        <w:rPr>
          <w:i w:val="0"/>
          <w:iCs w:val="0"/>
        </w:rPr>
        <w:t>Pasifka</w:t>
      </w:r>
      <w:proofErr w:type="spellEnd"/>
      <w:r w:rsidRPr="00833C94" w:rsidR="00833C94">
        <w:rPr>
          <w:i w:val="0"/>
          <w:iCs w:val="0"/>
        </w:rPr>
        <w:t>)</w:t>
      </w:r>
    </w:p>
    <w:p w:rsidRPr="00694BF1" w:rsidR="00694BF1" w:rsidP="00694BF1" w:rsidRDefault="00694BF1" w14:paraId="349517B0" w14:textId="5E36D83C">
      <w:r w:rsidRPr="00694BF1">
        <w:t>It was suggested by one submitter that the draft lacks actions or expected changes that relate to the wider contribution of export education.</w:t>
      </w:r>
      <w:r w:rsidR="00833C94">
        <w:t xml:space="preserve"> </w:t>
      </w:r>
      <w:r w:rsidRPr="00694BF1">
        <w:t>It was also noted by submitters that there is a need to encourage programmes that connect with local communities, iwi and employers to encourage greater social integration.</w:t>
      </w:r>
    </w:p>
    <w:p w:rsidRPr="00694BF1" w:rsidR="00694BF1" w:rsidP="00694BF1" w:rsidRDefault="00694BF1" w14:paraId="4EA56B11" w14:textId="7912528E">
      <w:r w:rsidRPr="00694BF1">
        <w:t>One submitter noted that there may need to be specific measures put in place to counter the high cost of living in New Zealand and to mitigate the risk of international students going to other countries for education.</w:t>
      </w:r>
      <w:r w:rsidR="00833C94">
        <w:t xml:space="preserve"> </w:t>
      </w:r>
    </w:p>
    <w:p w:rsidRPr="00694BF1" w:rsidR="00694BF1" w:rsidP="001548BD" w:rsidRDefault="00694BF1" w14:paraId="3B095ABF" w14:textId="18D3F4AD">
      <w:pPr>
        <w:pStyle w:val="Quote"/>
      </w:pPr>
      <w:r w:rsidRPr="00694BF1">
        <w:t>While supporting growth, the ambition to double international education export revenue must not compromise quality and, it needs to be underscored, this reliance creates significant risk for the entire tertiary sector (and individual institutions in particular) and put the social license of universities at risk, as seen in other countries.</w:t>
      </w:r>
      <w:r w:rsidR="00680378">
        <w:t xml:space="preserve"> </w:t>
      </w:r>
      <w:r w:rsidRPr="00680378" w:rsidR="00680378">
        <w:rPr>
          <w:i w:val="0"/>
          <w:iCs w:val="0"/>
        </w:rPr>
        <w:t>(Massey University)</w:t>
      </w:r>
    </w:p>
    <w:p w:rsidRPr="00694BF1" w:rsidR="00694BF1" w:rsidP="00694BF1" w:rsidRDefault="00612D7C" w14:paraId="3275FE78" w14:textId="4EF60CD8">
      <w:r>
        <w:t xml:space="preserve">One submitter </w:t>
      </w:r>
      <w:r w:rsidR="00871CCF">
        <w:t>referred to the ro</w:t>
      </w:r>
      <w:r w:rsidR="00B66499">
        <w:t>le of on job training for new migrant workers</w:t>
      </w:r>
      <w:r w:rsidRPr="00694BF1" w:rsidR="00694BF1">
        <w:t>:</w:t>
      </w:r>
    </w:p>
    <w:p w:rsidRPr="00694BF1" w:rsidR="00694BF1" w:rsidP="001548BD" w:rsidRDefault="00694BF1" w14:paraId="73B002A1" w14:textId="6D9F95B8">
      <w:pPr>
        <w:pStyle w:val="Quote"/>
      </w:pPr>
      <w:r w:rsidRPr="00694BF1">
        <w:t>Continuing education and on job training will continue to be crucial to support the future workforces of New Zealand as the New Zealand population is aging due to demographic shifts with correlating migration demand to fill skill shortages.</w:t>
      </w:r>
      <w:r w:rsidR="002810EA">
        <w:t xml:space="preserve"> </w:t>
      </w:r>
      <w:r w:rsidRPr="00612D7C" w:rsidR="00612D7C">
        <w:rPr>
          <w:i w:val="0"/>
          <w:iCs w:val="0"/>
        </w:rPr>
        <w:t>(Ako Aotearoa)</w:t>
      </w:r>
    </w:p>
    <w:p w:rsidRPr="00694BF1" w:rsidR="00694BF1" w:rsidP="00CD0EC2" w:rsidRDefault="00694BF1" w14:paraId="4261CDCE" w14:textId="280841C0">
      <w:pPr>
        <w:pStyle w:val="Heading4"/>
        <w:rPr>
          <w:b w:val="0"/>
        </w:rPr>
      </w:pPr>
      <w:r w:rsidRPr="00694BF1">
        <w:t>Educator</w:t>
      </w:r>
      <w:r w:rsidR="00CD0EC2">
        <w:t>s</w:t>
      </w:r>
      <w:r w:rsidRPr="00694BF1">
        <w:t>/Student</w:t>
      </w:r>
      <w:r w:rsidR="00CD0EC2">
        <w:t>s</w:t>
      </w:r>
    </w:p>
    <w:p w:rsidRPr="00694BF1" w:rsidR="00694BF1" w:rsidP="00694BF1" w:rsidRDefault="00694BF1" w14:paraId="3D21204B" w14:textId="49BC3990">
      <w:pPr>
        <w:rPr>
          <w:bCs/>
        </w:rPr>
      </w:pPr>
      <w:r w:rsidRPr="00694BF1">
        <w:rPr>
          <w:bCs/>
        </w:rPr>
        <w:t xml:space="preserve">Four submitters commented on the priority, with comments supporting the need for international education as it brings global connections, enriches New Zealand’s tertiary system and supports intercultural understanding. </w:t>
      </w:r>
      <w:r w:rsidR="002810EA">
        <w:rPr>
          <w:bCs/>
        </w:rPr>
        <w:t>One submitter</w:t>
      </w:r>
      <w:r w:rsidRPr="00694BF1">
        <w:rPr>
          <w:bCs/>
        </w:rPr>
        <w:t xml:space="preserve"> noted that there is a need to resource the sector appropriately:</w:t>
      </w:r>
    </w:p>
    <w:p w:rsidRPr="002810EA" w:rsidR="00694BF1" w:rsidP="001548BD" w:rsidRDefault="00694BF1" w14:paraId="3AE0A986" w14:textId="16FCAA1F">
      <w:pPr>
        <w:pStyle w:val="Quote"/>
        <w:rPr>
          <w:i w:val="0"/>
          <w:iCs w:val="0"/>
        </w:rPr>
      </w:pPr>
      <w:r w:rsidRPr="00694BF1">
        <w:t>Resource staff and student services proportionately with international enrolments to protect quality and prevent staff overload. The draft TES does not adequately address the risks posed by rapid international education growth.</w:t>
      </w:r>
      <w:r w:rsidR="002810EA">
        <w:t xml:space="preserve"> </w:t>
      </w:r>
      <w:r w:rsidR="002810EA">
        <w:rPr>
          <w:i w:val="0"/>
          <w:iCs w:val="0"/>
        </w:rPr>
        <w:t>(TEU)</w:t>
      </w:r>
    </w:p>
    <w:p w:rsidRPr="00694BF1" w:rsidR="00694BF1" w:rsidP="00694BF1" w:rsidRDefault="00694BF1" w14:paraId="57D45012" w14:textId="77777777">
      <w:r w:rsidRPr="00694BF1">
        <w:t>Two submitters raised concerns around the risk of a reliance on the international market, as COVID 19 exposed the fragility of this approach.</w:t>
      </w:r>
    </w:p>
    <w:p w:rsidRPr="00694BF1" w:rsidR="00694BF1" w:rsidP="00CD0EC2" w:rsidRDefault="00694BF1" w14:paraId="0710ACF1" w14:textId="0B33A62F">
      <w:pPr>
        <w:pStyle w:val="Heading4"/>
      </w:pPr>
      <w:r w:rsidRPr="00694BF1">
        <w:t xml:space="preserve">Industry </w:t>
      </w:r>
    </w:p>
    <w:p w:rsidRPr="00694BF1" w:rsidR="00694BF1" w:rsidP="00694BF1" w:rsidRDefault="00694BF1" w14:paraId="25C74A55" w14:textId="77777777">
      <w:r w:rsidRPr="00694BF1">
        <w:t>Twelve submitters commented on the priority stating that international education is important for New Zealand to support funding, bring cultural diversity and strengthen our skills mix. It was also noted that international students and researchers bring valuable knowledge and networks and drive innovation.</w:t>
      </w:r>
    </w:p>
    <w:p w:rsidRPr="00694BF1" w:rsidR="00694BF1" w:rsidP="00694BF1" w:rsidRDefault="00694BF1" w14:paraId="697B5BDE" w14:textId="2CE1273D">
      <w:r w:rsidRPr="00694BF1">
        <w:t>One submitter commented that international education must not be at the expense of domestic students</w:t>
      </w:r>
      <w:r w:rsidR="0055721C">
        <w:t>:</w:t>
      </w:r>
    </w:p>
    <w:p w:rsidRPr="00694BF1" w:rsidR="00694BF1" w:rsidP="001548BD" w:rsidRDefault="00694BF1" w14:paraId="3C804E4E" w14:textId="03808F0F">
      <w:pPr>
        <w:pStyle w:val="Quote"/>
      </w:pPr>
      <w:r w:rsidRPr="00694BF1">
        <w:t>The TES should more explicitly connect international education to long-term skills strategies, including opportunities for students to transition into high-demand occupations and contribute to addressing persistent labour shortages.</w:t>
      </w:r>
      <w:r w:rsidR="002810EA">
        <w:t xml:space="preserve"> </w:t>
      </w:r>
      <w:r w:rsidRPr="002810EA" w:rsidR="002810EA">
        <w:rPr>
          <w:i w:val="0"/>
          <w:iCs w:val="0"/>
        </w:rPr>
        <w:t>(Business NZ)</w:t>
      </w:r>
    </w:p>
    <w:p w:rsidRPr="00694BF1" w:rsidR="00694BF1" w:rsidP="00CD0EC2" w:rsidRDefault="00694BF1" w14:paraId="2148ED71" w14:textId="2669462E">
      <w:pPr>
        <w:pStyle w:val="Heading4"/>
      </w:pPr>
      <w:r w:rsidRPr="00694BF1">
        <w:t xml:space="preserve">Research </w:t>
      </w:r>
      <w:r w:rsidR="00423DAC">
        <w:t>organisations</w:t>
      </w:r>
    </w:p>
    <w:p w:rsidRPr="00694BF1" w:rsidR="00694BF1" w:rsidP="00694BF1" w:rsidRDefault="00694BF1" w14:paraId="05C9B922" w14:textId="77777777">
      <w:r w:rsidRPr="00694BF1">
        <w:t>Three submitters commented on the priority, with two submitters raising concerns around the reliance on international education. One submitter disagreed with the emphasis on this priority in the strategy:</w:t>
      </w:r>
    </w:p>
    <w:p w:rsidRPr="005A37EF" w:rsidR="00694BF1" w:rsidP="00D47981" w:rsidRDefault="00694BF1" w14:paraId="26CFFFDB" w14:textId="2D182283">
      <w:pPr>
        <w:pStyle w:val="Quote"/>
        <w:rPr>
          <w:i w:val="0"/>
          <w:iCs w:val="0"/>
        </w:rPr>
      </w:pPr>
      <w:r w:rsidRPr="00694BF1">
        <w:t>International education can divert focus from delivering on New Zealand's education needs. In addition, the pursuit of overseas education revenue to satisfy international market demands may compromise standards and quality in addressing domestic requirements.</w:t>
      </w:r>
      <w:r w:rsidR="005A37EF">
        <w:t xml:space="preserve"> </w:t>
      </w:r>
      <w:r w:rsidR="005A37EF">
        <w:rPr>
          <w:i w:val="0"/>
          <w:iCs w:val="0"/>
        </w:rPr>
        <w:t>(Science NZ)</w:t>
      </w:r>
    </w:p>
    <w:p w:rsidRPr="00694BF1" w:rsidR="00694BF1" w:rsidP="00694BF1" w:rsidRDefault="00DB13AE" w14:paraId="1497385F" w14:textId="2BBD3293">
      <w:r>
        <w:t xml:space="preserve">One submitter </w:t>
      </w:r>
      <w:r w:rsidR="00C97804">
        <w:t xml:space="preserve">expressed </w:t>
      </w:r>
      <w:r w:rsidRPr="00694BF1" w:rsidR="00694BF1">
        <w:t>concern around the intended goal of the priority and the inherent risk:</w:t>
      </w:r>
    </w:p>
    <w:p w:rsidRPr="00694BF1" w:rsidR="00694BF1" w:rsidP="001548BD" w:rsidRDefault="00694BF1" w14:paraId="085A56C1" w14:textId="3F6CACBC">
      <w:pPr>
        <w:pStyle w:val="Quote"/>
      </w:pPr>
      <w:r w:rsidRPr="00694BF1">
        <w:t>However</w:t>
      </w:r>
      <w:r w:rsidRPr="00694BF1" w:rsidR="00FC0C1C">
        <w:t>,</w:t>
      </w:r>
      <w:r w:rsidRPr="00694BF1">
        <w:t xml:space="preserve"> this is not how I read the priority of International Education outlined in this strategy, where the goal seems to be to artificially inflate the size of our institutions by bringing in students from overseas. As seen by the impact of the pandemic on international student numbers internationally, and the subsequent financial impact on institutions, this is a risky strategy.</w:t>
      </w:r>
      <w:r w:rsidR="00DB13AE">
        <w:t xml:space="preserve"> </w:t>
      </w:r>
      <w:r w:rsidRPr="00DB13AE" w:rsidR="00DB13AE">
        <w:rPr>
          <w:i w:val="0"/>
          <w:iCs w:val="0"/>
        </w:rPr>
        <w:t>(MacDiarmid Institute)</w:t>
      </w:r>
    </w:p>
    <w:p w:rsidRPr="000F7869" w:rsidR="000F7869" w:rsidP="00CD0EC2" w:rsidRDefault="000F7869" w14:paraId="117A252C" w14:textId="77777777">
      <w:pPr>
        <w:pStyle w:val="Heading3"/>
      </w:pPr>
      <w:bookmarkStart w:name="_Toc211314490" w:id="46"/>
      <w:r w:rsidRPr="000F7869">
        <w:t>How do you see this priority working with, and contributing to, the other TES priorities?</w:t>
      </w:r>
      <w:bookmarkEnd w:id="46"/>
      <w:r w:rsidRPr="000F7869">
        <w:t xml:space="preserve"> </w:t>
      </w:r>
    </w:p>
    <w:p w:rsidRPr="00D74335" w:rsidR="002C6577" w:rsidP="00CD0EC2" w:rsidRDefault="00423DAC" w14:paraId="79FE0900" w14:textId="34CAEAA8">
      <w:pPr>
        <w:pStyle w:val="Heading4"/>
        <w:rPr>
          <w:b w:val="0"/>
        </w:rPr>
      </w:pPr>
      <w:r>
        <w:t>Tertiary Education Organisations and their representative bodies</w:t>
      </w:r>
    </w:p>
    <w:p w:rsidRPr="00D74335" w:rsidR="002C6577" w:rsidP="002C6577" w:rsidRDefault="002C6577" w14:paraId="69B6AFDD" w14:textId="0DE1B723">
      <w:pPr>
        <w:ind w:right="98"/>
      </w:pPr>
      <w:r w:rsidRPr="00D74335">
        <w:rPr>
          <w:bCs/>
        </w:rPr>
        <w:t>Four</w:t>
      </w:r>
      <w:r w:rsidR="00423DAC">
        <w:rPr>
          <w:bCs/>
        </w:rPr>
        <w:t>teen TEO submitters (</w:t>
      </w:r>
      <w:r w:rsidR="00423DAC">
        <w:t>six</w:t>
      </w:r>
      <w:r w:rsidRPr="00D43C03" w:rsidR="00423DAC">
        <w:t xml:space="preserve"> </w:t>
      </w:r>
      <w:proofErr w:type="spellStart"/>
      <w:r w:rsidRPr="00D43C03" w:rsidR="00423DAC">
        <w:t>Te</w:t>
      </w:r>
      <w:proofErr w:type="spellEnd"/>
      <w:r w:rsidRPr="00D43C03" w:rsidR="00423DAC">
        <w:t xml:space="preserve"> </w:t>
      </w:r>
      <w:proofErr w:type="spellStart"/>
      <w:r w:rsidRPr="00D43C03" w:rsidR="00423DAC">
        <w:t>Pūkenga</w:t>
      </w:r>
      <w:proofErr w:type="spellEnd"/>
      <w:r w:rsidRPr="00D43C03" w:rsidR="00423DAC">
        <w:t xml:space="preserve"> divisions</w:t>
      </w:r>
      <w:r w:rsidR="00423DAC">
        <w:t xml:space="preserve">, </w:t>
      </w:r>
      <w:r w:rsidR="00423DAC">
        <w:rPr>
          <w:bCs/>
        </w:rPr>
        <w:t>four</w:t>
      </w:r>
      <w:r w:rsidRPr="00D74335">
        <w:rPr>
          <w:bCs/>
        </w:rPr>
        <w:t xml:space="preserve"> universities</w:t>
      </w:r>
      <w:r w:rsidR="00423DAC">
        <w:rPr>
          <w:bCs/>
        </w:rPr>
        <w:t>,</w:t>
      </w:r>
      <w:r w:rsidRPr="00423DAC" w:rsidR="00423DAC">
        <w:t xml:space="preserve"> </w:t>
      </w:r>
      <w:r w:rsidRPr="00D43C03" w:rsidR="00423DAC">
        <w:t>two PTEs</w:t>
      </w:r>
      <w:r w:rsidR="00423DAC">
        <w:t xml:space="preserve"> and two tertiary sector entities)</w:t>
      </w:r>
      <w:r w:rsidRPr="00D74335">
        <w:rPr>
          <w:bCs/>
        </w:rPr>
        <w:t xml:space="preserve"> provided comments</w:t>
      </w:r>
      <w:r w:rsidR="00423DAC">
        <w:rPr>
          <w:bCs/>
        </w:rPr>
        <w:t>.</w:t>
      </w:r>
      <w:r w:rsidRPr="00D74335">
        <w:rPr>
          <w:bCs/>
        </w:rPr>
        <w:t xml:space="preserve"> </w:t>
      </w:r>
      <w:r w:rsidR="00423DAC">
        <w:rPr>
          <w:bCs/>
        </w:rPr>
        <w:t>One submitter</w:t>
      </w:r>
      <w:r>
        <w:rPr>
          <w:bCs/>
        </w:rPr>
        <w:t xml:space="preserve"> </w:t>
      </w:r>
      <w:r w:rsidR="00CD3B2B">
        <w:rPr>
          <w:bCs/>
        </w:rPr>
        <w:t>noted</w:t>
      </w:r>
      <w:r>
        <w:rPr>
          <w:bCs/>
        </w:rPr>
        <w:t xml:space="preserve"> international students subsidise the cost of our university system to taxpayers, which has increased </w:t>
      </w:r>
      <w:r>
        <w:rPr>
          <w:bCs/>
        </w:rPr>
        <w:t>our international ranking, and this in turn enhances our ability to attract world class academic teachers and researchers. It was noted by one submitter that the programme development targeting international students is only partly aligned to government priorities.</w:t>
      </w:r>
      <w:r w:rsidR="00E3162D">
        <w:rPr>
          <w:bCs/>
        </w:rPr>
        <w:t xml:space="preserve"> </w:t>
      </w:r>
      <w:r>
        <w:t>A concern was raised around undertaking a global brand campaign by one submitter:</w:t>
      </w:r>
    </w:p>
    <w:p w:rsidRPr="001C49A6" w:rsidR="002C6577" w:rsidP="001548BD" w:rsidRDefault="002C6577" w14:paraId="20859AC9" w14:textId="3C3E0F83">
      <w:pPr>
        <w:pStyle w:val="Quote"/>
      </w:pPr>
      <w:r w:rsidRPr="001C49A6">
        <w:t>The University questions the benefit of undertaking a significant global brand campaign and any reduction in individual institutional autonomy through an enhanced role for ENZ.</w:t>
      </w:r>
      <w:r w:rsidR="001F4E85">
        <w:t xml:space="preserve"> </w:t>
      </w:r>
      <w:r w:rsidRPr="001F4E85" w:rsidR="001F4E85">
        <w:rPr>
          <w:i w:val="0"/>
          <w:iCs w:val="0"/>
        </w:rPr>
        <w:t>(University of Waikato)</w:t>
      </w:r>
    </w:p>
    <w:p w:rsidR="002C6577" w:rsidP="002C6577" w:rsidRDefault="00E3162D" w14:paraId="6AC1DC25" w14:textId="512E45AE">
      <w:r>
        <w:t xml:space="preserve">Quality and sustainability of international education was also raised by </w:t>
      </w:r>
      <w:r w:rsidR="00AF4E40">
        <w:t>TEO</w:t>
      </w:r>
      <w:r w:rsidR="00DE23F1">
        <w:t xml:space="preserve"> submitters</w:t>
      </w:r>
      <w:r w:rsidR="00840C46">
        <w:t>.</w:t>
      </w:r>
    </w:p>
    <w:p w:rsidRPr="00D43C03" w:rsidR="002C6577" w:rsidP="001548BD" w:rsidRDefault="002C6577" w14:paraId="2A276D9B" w14:textId="0B05E083">
      <w:pPr>
        <w:pStyle w:val="Quote"/>
      </w:pPr>
      <w:r w:rsidRPr="007A7147">
        <w:t>Growth should be carefully managed; focus on quality, cultural safety, and workforce contributions.</w:t>
      </w:r>
      <w:r w:rsidR="00DE23F1">
        <w:t xml:space="preserve"> </w:t>
      </w:r>
      <w:r w:rsidRPr="009B7070" w:rsidR="00DE23F1">
        <w:rPr>
          <w:i w:val="0"/>
          <w:iCs w:val="0"/>
        </w:rPr>
        <w:t>(MITO)</w:t>
      </w:r>
    </w:p>
    <w:p w:rsidRPr="007A7147" w:rsidR="002C6577" w:rsidP="002C6577" w:rsidRDefault="009B7070" w14:paraId="45A497F1" w14:textId="458086AD">
      <w:pPr>
        <w:ind w:right="-43"/>
      </w:pPr>
      <w:r>
        <w:t xml:space="preserve">One </w:t>
      </w:r>
      <w:r w:rsidR="0089226B">
        <w:t xml:space="preserve">PTE </w:t>
      </w:r>
      <w:r>
        <w:t>submitter</w:t>
      </w:r>
      <w:r w:rsidR="0089226B">
        <w:t xml:space="preserve"> suggested</w:t>
      </w:r>
      <w:r w:rsidR="002C6577">
        <w:t xml:space="preserve"> that the priority </w:t>
      </w:r>
      <w:r w:rsidR="0089226B">
        <w:t xml:space="preserve">currently </w:t>
      </w:r>
      <w:r w:rsidR="002C6577">
        <w:t xml:space="preserve">underestimates the role of </w:t>
      </w:r>
      <w:r w:rsidR="0089226B">
        <w:t xml:space="preserve">wider </w:t>
      </w:r>
      <w:r w:rsidR="002C6577">
        <w:t>policy settings</w:t>
      </w:r>
      <w:r w:rsidR="009976F3">
        <w:t>.</w:t>
      </w:r>
    </w:p>
    <w:p w:rsidR="002C6577" w:rsidP="001548BD" w:rsidRDefault="002C6577" w14:paraId="5665E113" w14:textId="6AD1EA64">
      <w:pPr>
        <w:pStyle w:val="Quote"/>
      </w:pPr>
      <w:r w:rsidRPr="007A7722">
        <w:t>New Zealand already has a high-quality sector with strong student experiences. The greatest barrier is not quality or promotion but immigration and visa settings.</w:t>
      </w:r>
      <w:r w:rsidR="009B7070">
        <w:t xml:space="preserve"> </w:t>
      </w:r>
      <w:r w:rsidRPr="009B7070" w:rsidR="009B7070">
        <w:rPr>
          <w:i w:val="0"/>
          <w:iCs w:val="0"/>
        </w:rPr>
        <w:t>(ITENZ)</w:t>
      </w:r>
    </w:p>
    <w:p w:rsidRPr="007A7E95" w:rsidR="002C6577" w:rsidP="00CD0EC2" w:rsidRDefault="002C6577" w14:paraId="1D787EA8" w14:textId="5AC3ED1A">
      <w:pPr>
        <w:pStyle w:val="Heading4"/>
        <w:rPr>
          <w:b w:val="0"/>
        </w:rPr>
      </w:pPr>
      <w:r w:rsidRPr="007A7E95">
        <w:t>Educator</w:t>
      </w:r>
      <w:r w:rsidR="00CD0EC2">
        <w:rPr>
          <w:b w:val="0"/>
        </w:rPr>
        <w:t>s</w:t>
      </w:r>
      <w:r w:rsidRPr="007A7E95">
        <w:t>/Student</w:t>
      </w:r>
      <w:r w:rsidR="00CD0EC2">
        <w:rPr>
          <w:b w:val="0"/>
        </w:rPr>
        <w:t>s</w:t>
      </w:r>
    </w:p>
    <w:p w:rsidRPr="007A7E95" w:rsidR="002C6577" w:rsidP="002C6577" w:rsidRDefault="002C6577" w14:paraId="329FA3F6" w14:textId="344E6A7A">
      <w:pPr>
        <w:ind w:right="-43"/>
      </w:pPr>
      <w:r>
        <w:rPr>
          <w:bCs/>
        </w:rPr>
        <w:t>Two</w:t>
      </w:r>
      <w:r w:rsidRPr="007A7E95">
        <w:rPr>
          <w:bCs/>
        </w:rPr>
        <w:t xml:space="preserve"> submitters commented on this priority, </w:t>
      </w:r>
      <w:r>
        <w:rPr>
          <w:bCs/>
        </w:rPr>
        <w:t xml:space="preserve">with one submitter stating that it must be done sustainably by limiting international enrolments to safeguard quality, student wellbeing and staff working conditions. </w:t>
      </w:r>
      <w:r w:rsidR="005E5A03">
        <w:rPr>
          <w:bCs/>
        </w:rPr>
        <w:t>One student association commented:</w:t>
      </w:r>
    </w:p>
    <w:p w:rsidR="002C6577" w:rsidP="001548BD" w:rsidRDefault="002C6577" w14:paraId="3161DF4C" w14:textId="77777777">
      <w:pPr>
        <w:pStyle w:val="Quote"/>
      </w:pPr>
      <w:r w:rsidRPr="0021085B">
        <w:t>If done equitable, it can enrich collaboration and broaden participation. But if driven by profit motives, it risks undermining access and wellbeing for both international and domestic students.</w:t>
      </w:r>
    </w:p>
    <w:p w:rsidRPr="00274ED4" w:rsidR="002C6577" w:rsidP="00CD0EC2" w:rsidRDefault="002C6577" w14:paraId="12C032AA" w14:textId="4DCB6921">
      <w:pPr>
        <w:pStyle w:val="Heading4"/>
        <w:rPr>
          <w:b w:val="0"/>
        </w:rPr>
      </w:pPr>
      <w:r w:rsidRPr="00274ED4">
        <w:t>Industry</w:t>
      </w:r>
    </w:p>
    <w:p w:rsidRPr="00274ED4" w:rsidR="002C6577" w:rsidP="002C6577" w:rsidRDefault="002C6577" w14:paraId="108CF24A" w14:textId="67085CDB">
      <w:pPr>
        <w:ind w:right="98"/>
        <w:rPr>
          <w:bCs/>
        </w:rPr>
      </w:pPr>
      <w:r>
        <w:rPr>
          <w:bCs/>
        </w:rPr>
        <w:t>Five</w:t>
      </w:r>
      <w:r w:rsidRPr="00274ED4">
        <w:rPr>
          <w:bCs/>
        </w:rPr>
        <w:t xml:space="preserve"> </w:t>
      </w:r>
      <w:r>
        <w:rPr>
          <w:bCs/>
        </w:rPr>
        <w:t>comments were received supporting</w:t>
      </w:r>
      <w:r w:rsidRPr="00274ED4">
        <w:t xml:space="preserve"> the </w:t>
      </w:r>
      <w:r>
        <w:rPr>
          <w:bCs/>
        </w:rPr>
        <w:t>priority, citing it strengthens innovation and research, cultural exchange, diplomatic and trade connect</w:t>
      </w:r>
      <w:r w:rsidR="00631E8E">
        <w:rPr>
          <w:bCs/>
        </w:rPr>
        <w:t>ion</w:t>
      </w:r>
      <w:r>
        <w:rPr>
          <w:bCs/>
        </w:rPr>
        <w:t>s and enduring alumni networks.</w:t>
      </w:r>
      <w:r w:rsidR="00F6681E">
        <w:rPr>
          <w:bCs/>
        </w:rPr>
        <w:t xml:space="preserve"> </w:t>
      </w:r>
      <w:r>
        <w:rPr>
          <w:bCs/>
        </w:rPr>
        <w:t>It was noted by one submitter there is no mention of additional support required by international students and how this would be resourced.</w:t>
      </w:r>
    </w:p>
    <w:p w:rsidRPr="0019725B" w:rsidR="002C6577" w:rsidP="00EA440D" w:rsidRDefault="002C6577" w14:paraId="0A37B09E" w14:textId="2B1E60D1">
      <w:pPr>
        <w:pStyle w:val="Heading4"/>
      </w:pPr>
      <w:r w:rsidRPr="0019725B">
        <w:t xml:space="preserve">Research </w:t>
      </w:r>
      <w:r w:rsidR="0089226B">
        <w:t>organisations</w:t>
      </w:r>
    </w:p>
    <w:p w:rsidRPr="0019725B" w:rsidR="002C6577" w:rsidP="002C6577" w:rsidRDefault="002C6577" w14:paraId="157F4590" w14:textId="7B16B5A4">
      <w:pPr>
        <w:ind w:right="240"/>
      </w:pPr>
      <w:r>
        <w:rPr>
          <w:bCs/>
        </w:rPr>
        <w:t>One comment was received, which raised concerns around the mention of ‘the pathway to double export revenue’ and suggested focusing on the value and depth of experience they bring to our institution</w:t>
      </w:r>
      <w:r w:rsidR="00616FEE">
        <w:rPr>
          <w:bCs/>
        </w:rPr>
        <w:t>:</w:t>
      </w:r>
      <w:r>
        <w:rPr>
          <w:bCs/>
        </w:rPr>
        <w:t xml:space="preserve"> </w:t>
      </w:r>
    </w:p>
    <w:p w:rsidRPr="00AF677F" w:rsidR="002C6577" w:rsidP="001548BD" w:rsidRDefault="002C6577" w14:paraId="4E9C6693" w14:textId="6B2B59D8">
      <w:pPr>
        <w:pStyle w:val="Quote"/>
      </w:pPr>
      <w:r w:rsidRPr="00AF677F">
        <w:t>…our institutions struggle to have sufficient critical mass to be financially sustainable, therefore having an inclusive approach to international education benefits us all.</w:t>
      </w:r>
      <w:r w:rsidR="005E5A03">
        <w:t xml:space="preserve"> </w:t>
      </w:r>
      <w:r w:rsidRPr="005E5A03" w:rsidR="005E5A03">
        <w:rPr>
          <w:i w:val="0"/>
          <w:iCs w:val="0"/>
        </w:rPr>
        <w:t>(</w:t>
      </w:r>
      <w:r w:rsidRPr="005E5A03" w:rsidR="005E5A03">
        <w:rPr>
          <w:bCs/>
          <w:i w:val="0"/>
          <w:iCs w:val="0"/>
        </w:rPr>
        <w:t>MacDiarmid Institute)</w:t>
      </w:r>
    </w:p>
    <w:p w:rsidRPr="00032FA3" w:rsidR="00032FA3" w:rsidP="00CD0EC2" w:rsidRDefault="00032FA3" w14:paraId="477BC917" w14:textId="77777777">
      <w:pPr>
        <w:pStyle w:val="Heading3"/>
      </w:pPr>
      <w:bookmarkStart w:name="_Toc211314491" w:id="47"/>
      <w:r w:rsidRPr="00032FA3">
        <w:t>Do you have suggestions for additional activities to support this priority?</w:t>
      </w:r>
      <w:bookmarkEnd w:id="47"/>
    </w:p>
    <w:p w:rsidRPr="00032FA3" w:rsidR="00032FA3" w:rsidP="00032FA3" w:rsidRDefault="00032FA3" w14:paraId="72DE5084" w14:textId="705156A6">
      <w:r w:rsidRPr="00032FA3">
        <w:t xml:space="preserve">Thirty-one submitters </w:t>
      </w:r>
      <w:r w:rsidR="005E5A03">
        <w:t>(</w:t>
      </w:r>
      <w:r w:rsidR="00CD67C4">
        <w:t>18</w:t>
      </w:r>
      <w:r w:rsidR="005E5A03">
        <w:t xml:space="preserve"> TEOs, two educator/students, </w:t>
      </w:r>
      <w:r w:rsidR="00C665C5">
        <w:t>10</w:t>
      </w:r>
      <w:r w:rsidR="005E5A03">
        <w:t xml:space="preserve"> industry groups and one research organisation) </w:t>
      </w:r>
      <w:r w:rsidRPr="00032FA3">
        <w:t>made suggestions for additional activities that could support this priority.</w:t>
      </w:r>
    </w:p>
    <w:p w:rsidRPr="00032FA3" w:rsidR="00032FA3" w:rsidP="00CD0EC2" w:rsidRDefault="00EA440D" w14:paraId="55C3DE00" w14:textId="34080DFB">
      <w:pPr>
        <w:pStyle w:val="Heading4"/>
      </w:pPr>
      <w:r>
        <w:t>Tertiary Education Organisations and their representative bodies</w:t>
      </w:r>
    </w:p>
    <w:p w:rsidRPr="00032FA3" w:rsidR="007F5C77" w:rsidP="007F5C77" w:rsidRDefault="00EA440D" w14:paraId="60F09C15" w14:textId="77777777">
      <w:r>
        <w:t>Eighteen TEO submitters (s</w:t>
      </w:r>
      <w:r w:rsidRPr="00032FA3" w:rsidR="00032FA3">
        <w:t>ix universities</w:t>
      </w:r>
      <w:r>
        <w:t xml:space="preserve">, </w:t>
      </w:r>
      <w:r w:rsidRPr="00032FA3">
        <w:t xml:space="preserve">six </w:t>
      </w:r>
      <w:proofErr w:type="spellStart"/>
      <w:r w:rsidRPr="00032FA3">
        <w:t>Te</w:t>
      </w:r>
      <w:proofErr w:type="spellEnd"/>
      <w:r w:rsidRPr="00032FA3">
        <w:t xml:space="preserve"> </w:t>
      </w:r>
      <w:proofErr w:type="spellStart"/>
      <w:r w:rsidRPr="00032FA3">
        <w:t>Pūkenga</w:t>
      </w:r>
      <w:proofErr w:type="spellEnd"/>
      <w:r w:rsidRPr="00032FA3">
        <w:t xml:space="preserve"> </w:t>
      </w:r>
      <w:r>
        <w:t xml:space="preserve">divisions, </w:t>
      </w:r>
      <w:r w:rsidRPr="00032FA3">
        <w:t xml:space="preserve">three PTEs and three </w:t>
      </w:r>
      <w:r>
        <w:t>tertiary sector entities</w:t>
      </w:r>
      <w:r w:rsidRPr="00032FA3">
        <w:t xml:space="preserve">) </w:t>
      </w:r>
      <w:r w:rsidRPr="00032FA3" w:rsidR="00032FA3">
        <w:t xml:space="preserve">made suggestions for additional activities to be included in this priority. </w:t>
      </w:r>
      <w:r w:rsidRPr="00032FA3" w:rsidR="007F5C77">
        <w:t xml:space="preserve">Comments suggested there </w:t>
      </w:r>
      <w:r w:rsidR="007F5C77">
        <w:t>is</w:t>
      </w:r>
      <w:r w:rsidRPr="00032FA3" w:rsidR="007F5C77">
        <w:t xml:space="preserve"> a need to include providers in designing of programmes and ensuring they </w:t>
      </w:r>
      <w:proofErr w:type="gramStart"/>
      <w:r w:rsidRPr="00032FA3" w:rsidR="007F5C77">
        <w:t>are able to</w:t>
      </w:r>
      <w:proofErr w:type="gramEnd"/>
      <w:r w:rsidRPr="00032FA3" w:rsidR="007F5C77">
        <w:t xml:space="preserve"> be delivered online or in partnership with local providers.</w:t>
      </w:r>
    </w:p>
    <w:p w:rsidRPr="00032FA3" w:rsidR="00032FA3" w:rsidP="00032FA3" w:rsidRDefault="00032FA3" w14:paraId="56287E31" w14:textId="090CF547">
      <w:r w:rsidRPr="00032FA3">
        <w:t xml:space="preserve">One </w:t>
      </w:r>
      <w:r w:rsidR="007F5C77">
        <w:t xml:space="preserve">university </w:t>
      </w:r>
      <w:r w:rsidRPr="00032FA3">
        <w:t>submitter noted a need for the involvement of providers in the development of strategies for them to be effective</w:t>
      </w:r>
      <w:r w:rsidR="00F15B31">
        <w:t>. Another</w:t>
      </w:r>
      <w:r w:rsidRPr="00032FA3">
        <w:t xml:space="preserve"> submitter recommended approaches that support Transactional Education Programmes where tertiary institutions deliver programmes offshore.</w:t>
      </w:r>
    </w:p>
    <w:p w:rsidRPr="00032FA3" w:rsidR="00032FA3" w:rsidP="00032FA3" w:rsidRDefault="00032FA3" w14:paraId="6A7DEF9F" w14:textId="74C0DADF">
      <w:r w:rsidRPr="00032FA3">
        <w:t>Immigration and workforce alignment was deemed a high priority by four submitters</w:t>
      </w:r>
      <w:r w:rsidR="001C3715">
        <w:t>.</w:t>
      </w:r>
    </w:p>
    <w:p w:rsidRPr="00032FA3" w:rsidR="00032FA3" w:rsidP="001548BD" w:rsidRDefault="00032FA3" w14:paraId="7C5E8E16" w14:textId="4706DCEB">
      <w:pPr>
        <w:pStyle w:val="Quote"/>
      </w:pPr>
      <w:r w:rsidRPr="00032FA3">
        <w:t>Immigration settings, the student experience and global brand positioning must be aligned, and institutions need support to diversify markets and delivery models. Visa restrictions can work counter to this priority.</w:t>
      </w:r>
      <w:r w:rsidR="005E5A03">
        <w:t xml:space="preserve"> </w:t>
      </w:r>
      <w:r w:rsidRPr="005E5A03" w:rsidR="005E5A03">
        <w:rPr>
          <w:i w:val="0"/>
          <w:iCs w:val="0"/>
        </w:rPr>
        <w:t>(Massey University)</w:t>
      </w:r>
    </w:p>
    <w:p w:rsidRPr="00032FA3" w:rsidR="00032FA3" w:rsidP="00032FA3" w:rsidRDefault="00032FA3" w14:paraId="527DCE56" w14:textId="7FB10CC5">
      <w:r w:rsidRPr="00032FA3">
        <w:t xml:space="preserve">Two </w:t>
      </w:r>
      <w:r w:rsidR="00C62817">
        <w:t xml:space="preserve">TEO </w:t>
      </w:r>
      <w:r w:rsidRPr="00032FA3">
        <w:t>submitters commented there is a need for resilience planning, with one submitter suggesting a shared risk register and setting aside revenue to cushion against any shocks.</w:t>
      </w:r>
    </w:p>
    <w:p w:rsidRPr="00032FA3" w:rsidR="00032FA3" w:rsidP="00032FA3" w:rsidRDefault="00032FA3" w14:paraId="051D84A1" w14:textId="77777777">
      <w:r w:rsidRPr="00032FA3">
        <w:t xml:space="preserve">It was noted by two providers that vocational providers should be explicitly called out, to leverage New Zealand’s expertise in applied and work-based education. </w:t>
      </w:r>
    </w:p>
    <w:p w:rsidRPr="00032FA3" w:rsidR="00032FA3" w:rsidP="00032FA3" w:rsidRDefault="00032FA3" w14:paraId="5875C723" w14:textId="760CA9AA">
      <w:r w:rsidRPr="00032FA3">
        <w:t>Four submitters mentioned immigration, with one submitter commenting that that our immigration roles need to align with long-ter</w:t>
      </w:r>
      <w:r w:rsidR="00135CD1">
        <w:t>m</w:t>
      </w:r>
      <w:r w:rsidRPr="00032FA3">
        <w:t xml:space="preserve"> immigration policy. </w:t>
      </w:r>
      <w:r w:rsidR="00E73614">
        <w:t>Submitters</w:t>
      </w:r>
      <w:r w:rsidRPr="00032FA3">
        <w:t xml:space="preserve"> noted that Immigration N</w:t>
      </w:r>
      <w:r w:rsidR="00A174A3">
        <w:t xml:space="preserve">ew </w:t>
      </w:r>
      <w:r w:rsidRPr="00032FA3">
        <w:t>Z</w:t>
      </w:r>
      <w:r w:rsidR="00A174A3">
        <w:t>ealand</w:t>
      </w:r>
      <w:r w:rsidRPr="00032FA3">
        <w:t xml:space="preserve"> need</w:t>
      </w:r>
      <w:r w:rsidR="00A174A3">
        <w:t>s</w:t>
      </w:r>
      <w:r w:rsidRPr="00032FA3">
        <w:t xml:space="preserve"> to provide timely transparency on the visa decline decisions to aid with recruitment processes and to ensure processes are consistent and fair between providers.</w:t>
      </w:r>
    </w:p>
    <w:p w:rsidRPr="00032FA3" w:rsidR="00032FA3" w:rsidP="001548BD" w:rsidRDefault="00032FA3" w14:paraId="06325C04" w14:textId="2F6491A3">
      <w:pPr>
        <w:pStyle w:val="Quote"/>
      </w:pPr>
      <w:r w:rsidRPr="00032FA3">
        <w:t xml:space="preserve">Vocational qualifications need to be given </w:t>
      </w:r>
      <w:proofErr w:type="gramStart"/>
      <w:r w:rsidRPr="00032FA3">
        <w:t>exactly the same</w:t>
      </w:r>
      <w:proofErr w:type="gramEnd"/>
      <w:r w:rsidRPr="00032FA3">
        <w:t xml:space="preserve"> post-study work visa settings as degrees in order to attract international students to this sector and achieve the target.</w:t>
      </w:r>
      <w:r w:rsidR="001C3715">
        <w:t xml:space="preserve"> </w:t>
      </w:r>
      <w:r w:rsidRPr="001C3715" w:rsidR="001C3715">
        <w:rPr>
          <w:i w:val="0"/>
          <w:iCs w:val="0"/>
        </w:rPr>
        <w:t>(QTI)</w:t>
      </w:r>
    </w:p>
    <w:p w:rsidRPr="00032FA3" w:rsidR="00032FA3" w:rsidP="00032FA3" w:rsidRDefault="00032FA3" w14:paraId="5500A931" w14:textId="19063971">
      <w:pPr>
        <w:rPr>
          <w:i/>
        </w:rPr>
      </w:pPr>
      <w:r w:rsidRPr="00032FA3">
        <w:t xml:space="preserve">It was noted by </w:t>
      </w:r>
      <w:r w:rsidR="00BE248B">
        <w:t>Primary ITO tha</w:t>
      </w:r>
      <w:r w:rsidR="001C1A9D">
        <w:t>t</w:t>
      </w:r>
      <w:r w:rsidRPr="00032FA3">
        <w:t xml:space="preserve"> </w:t>
      </w:r>
      <w:r w:rsidRPr="00032FA3">
        <w:rPr>
          <w:i/>
          <w:iCs/>
        </w:rPr>
        <w:t>“The</w:t>
      </w:r>
      <w:r w:rsidRPr="00032FA3">
        <w:rPr>
          <w:i/>
        </w:rPr>
        <w:t xml:space="preserve"> contributing activity statements provide no</w:t>
      </w:r>
      <w:r w:rsidRPr="00032FA3">
        <w:rPr>
          <w:i/>
          <w:iCs/>
        </w:rPr>
        <w:t xml:space="preserve"> outcomes or New Zealand Workforce benefit approaches”.</w:t>
      </w:r>
    </w:p>
    <w:p w:rsidRPr="00032FA3" w:rsidR="00032FA3" w:rsidP="00CD0EC2" w:rsidRDefault="00032FA3" w14:paraId="1567AF4B" w14:textId="4DD9DDDB">
      <w:pPr>
        <w:pStyle w:val="Heading4"/>
      </w:pPr>
      <w:r w:rsidRPr="00032FA3">
        <w:t>Educator</w:t>
      </w:r>
      <w:r w:rsidR="00CD0EC2">
        <w:t>s</w:t>
      </w:r>
      <w:r w:rsidRPr="00032FA3">
        <w:t>/Student</w:t>
      </w:r>
      <w:r w:rsidR="00CD0EC2">
        <w:t>s</w:t>
      </w:r>
    </w:p>
    <w:p w:rsidRPr="00032FA3" w:rsidR="00032FA3" w:rsidP="00032FA3" w:rsidRDefault="00032FA3" w14:paraId="6F3AFDAA" w14:textId="5E8F7070">
      <w:r w:rsidRPr="00032FA3">
        <w:rPr>
          <w:bCs/>
        </w:rPr>
        <w:t>Two submitters made comments, with one submitter noting that more funding needs to be allocated to student support functions.</w:t>
      </w:r>
    </w:p>
    <w:p w:rsidRPr="001C1A9D" w:rsidR="00032FA3" w:rsidP="001548BD" w:rsidRDefault="00032FA3" w14:paraId="45225F83" w14:textId="79DE3B1D">
      <w:pPr>
        <w:pStyle w:val="Quote"/>
        <w:rPr>
          <w:i w:val="0"/>
          <w:iCs w:val="0"/>
        </w:rPr>
      </w:pPr>
      <w:r w:rsidRPr="00032FA3">
        <w:t>For international education to be sustainable and ethical, the TES must commit to protecting educational standards, ensuring fair employment for staff, and embedding student wellbeing in every aspect of delivery.</w:t>
      </w:r>
      <w:r w:rsidR="001C1A9D">
        <w:t xml:space="preserve"> </w:t>
      </w:r>
      <w:r w:rsidRPr="001C1A9D" w:rsidR="001C1A9D">
        <w:rPr>
          <w:i w:val="0"/>
          <w:iCs w:val="0"/>
        </w:rPr>
        <w:t>(TEU)</w:t>
      </w:r>
    </w:p>
    <w:p w:rsidRPr="00032FA3" w:rsidR="00032FA3" w:rsidP="00032FA3" w:rsidRDefault="003D22B6" w14:paraId="52B70F10" w14:textId="7A93EB8C">
      <w:pPr>
        <w:rPr>
          <w:b/>
          <w:i/>
        </w:rPr>
      </w:pPr>
      <w:r>
        <w:rPr>
          <w:bCs/>
        </w:rPr>
        <w:t>TEU also</w:t>
      </w:r>
      <w:r w:rsidRPr="00032FA3" w:rsidR="00032FA3">
        <w:rPr>
          <w:bCs/>
        </w:rPr>
        <w:t xml:space="preserve"> stated </w:t>
      </w:r>
      <w:r w:rsidRPr="00032FA3" w:rsidR="00032FA3">
        <w:rPr>
          <w:bCs/>
          <w:i/>
          <w:iCs/>
        </w:rPr>
        <w:t>“Marketing strategies cannot substitute for investment in the teaching and support infrastructure that sustains high-quality education.”</w:t>
      </w:r>
    </w:p>
    <w:p w:rsidRPr="00032FA3" w:rsidR="00032FA3" w:rsidP="00CD0EC2" w:rsidRDefault="00032FA3" w14:paraId="53C9B6EC" w14:textId="40CC5FA6">
      <w:pPr>
        <w:pStyle w:val="Heading4"/>
      </w:pPr>
      <w:r w:rsidRPr="00032FA3">
        <w:t>Industry</w:t>
      </w:r>
    </w:p>
    <w:p w:rsidRPr="00032FA3" w:rsidR="00032FA3" w:rsidP="00032FA3" w:rsidRDefault="00032FA3" w14:paraId="7C7B5AF7" w14:textId="77777777">
      <w:pPr>
        <w:rPr>
          <w:bCs/>
        </w:rPr>
      </w:pPr>
      <w:r w:rsidRPr="00032FA3">
        <w:rPr>
          <w:bCs/>
        </w:rPr>
        <w:t>Ten</w:t>
      </w:r>
      <w:r w:rsidRPr="00032FA3">
        <w:t xml:space="preserve"> submitters provided comments with suggestions for additional activities. </w:t>
      </w:r>
      <w:r w:rsidRPr="00032FA3">
        <w:rPr>
          <w:bCs/>
        </w:rPr>
        <w:t>Two submitters suggested a more coordinated strategy for international education and one submitter noted that at present, there is a reliance on marketing and promotional activity.</w:t>
      </w:r>
    </w:p>
    <w:p w:rsidRPr="00032FA3" w:rsidR="00032FA3" w:rsidP="00032FA3" w:rsidRDefault="00032FA3" w14:paraId="235DB0C4" w14:textId="238BCCBA">
      <w:pPr>
        <w:rPr>
          <w:bCs/>
        </w:rPr>
      </w:pPr>
      <w:r w:rsidRPr="00032FA3">
        <w:rPr>
          <w:bCs/>
        </w:rPr>
        <w:t xml:space="preserve">Visa and workforce alignment was raised by three submitters, with concerns around employers facing uncertainty around </w:t>
      </w:r>
      <w:r w:rsidR="0043188E">
        <w:rPr>
          <w:bCs/>
        </w:rPr>
        <w:t>v</w:t>
      </w:r>
      <w:r w:rsidRPr="00032FA3">
        <w:rPr>
          <w:bCs/>
        </w:rPr>
        <w:t xml:space="preserve">isa arrangements and funding and a need for </w:t>
      </w:r>
      <w:r w:rsidR="0043188E">
        <w:rPr>
          <w:bCs/>
        </w:rPr>
        <w:t>v</w:t>
      </w:r>
      <w:r w:rsidRPr="00032FA3">
        <w:rPr>
          <w:bCs/>
        </w:rPr>
        <w:t>isa holders to be able to access subsidised training alongside international student programmes.</w:t>
      </w:r>
    </w:p>
    <w:p w:rsidRPr="00032FA3" w:rsidR="00032FA3" w:rsidP="00CD0EC2" w:rsidRDefault="00032FA3" w14:paraId="5C530C91" w14:textId="1A64EA97">
      <w:pPr>
        <w:pStyle w:val="Heading4"/>
      </w:pPr>
      <w:r w:rsidRPr="00032FA3">
        <w:t xml:space="preserve">Research </w:t>
      </w:r>
      <w:r w:rsidR="00C63383">
        <w:t>organisations</w:t>
      </w:r>
    </w:p>
    <w:p w:rsidRPr="00032FA3" w:rsidR="00032FA3" w:rsidP="00032FA3" w:rsidRDefault="00274321" w14:paraId="79160DCF" w14:textId="13F34D7A">
      <w:pPr>
        <w:rPr>
          <w:bCs/>
        </w:rPr>
      </w:pPr>
      <w:r>
        <w:rPr>
          <w:bCs/>
        </w:rPr>
        <w:t>One research sub</w:t>
      </w:r>
      <w:r w:rsidR="006702D4">
        <w:rPr>
          <w:bCs/>
        </w:rPr>
        <w:t>mitter proposed a different approach to encouraging international education</w:t>
      </w:r>
      <w:r w:rsidR="003E3DC7">
        <w:rPr>
          <w:bCs/>
        </w:rPr>
        <w:t>:</w:t>
      </w:r>
    </w:p>
    <w:p w:rsidRPr="00032FA3" w:rsidR="00032FA3" w:rsidP="001548BD" w:rsidRDefault="00032FA3" w14:paraId="5E1CB70F" w14:textId="1DBE265C">
      <w:pPr>
        <w:pStyle w:val="Quote"/>
      </w:pPr>
      <w:r w:rsidRPr="00032FA3">
        <w:t>…. a healthy quota of international students provided for in our education system, for all the positive benefits that international students provide, but that we only charge domestic fees for such students. This would be a driver of excellence, support equity and international science-diplomacy (education-diplomacy?) and avoid the distortionary effects of over-reliance on international student income that we have seen too often elsewhere.</w:t>
      </w:r>
      <w:r w:rsidR="005F6454">
        <w:t xml:space="preserve"> </w:t>
      </w:r>
      <w:r w:rsidRPr="005F6454" w:rsidR="005F6454">
        <w:rPr>
          <w:i w:val="0"/>
          <w:iCs w:val="0"/>
        </w:rPr>
        <w:t>(</w:t>
      </w:r>
      <w:r w:rsidRPr="005F6454" w:rsidR="005F6454">
        <w:rPr>
          <w:bCs/>
          <w:i w:val="0"/>
          <w:iCs w:val="0"/>
        </w:rPr>
        <w:t>MacDiarmid Institute)</w:t>
      </w:r>
    </w:p>
    <w:p w:rsidRPr="00032FA3" w:rsidR="00032FA3" w:rsidP="00032FA3" w:rsidRDefault="00032FA3" w14:paraId="0EA793D8" w14:textId="77777777"/>
    <w:p w:rsidR="00E8197B" w:rsidRDefault="00E8197B" w14:paraId="12D62D71" w14:textId="1D20D5EC">
      <w:r>
        <w:br w:type="page"/>
      </w:r>
    </w:p>
    <w:p w:rsidRPr="00E8197B" w:rsidR="00E8197B" w:rsidP="00CD0EC2" w:rsidRDefault="00E8197B" w14:paraId="0E966967" w14:textId="387D9411">
      <w:pPr>
        <w:pStyle w:val="Heading1"/>
      </w:pPr>
      <w:bookmarkStart w:name="_Toc211314492" w:id="48"/>
      <w:bookmarkStart w:name="_Toc211348947" w:id="49"/>
      <w:r w:rsidRPr="00E8197B">
        <w:t xml:space="preserve">Delivery </w:t>
      </w:r>
      <w:r w:rsidR="00253250">
        <w:t xml:space="preserve">of </w:t>
      </w:r>
      <w:r w:rsidRPr="00E8197B">
        <w:t>the Strategy</w:t>
      </w:r>
      <w:bookmarkEnd w:id="48"/>
      <w:bookmarkEnd w:id="49"/>
      <w:r w:rsidRPr="00E8197B">
        <w:t xml:space="preserve"> </w:t>
      </w:r>
    </w:p>
    <w:p w:rsidRPr="00E8197B" w:rsidR="00E8197B" w:rsidP="00E8197B" w:rsidRDefault="00E8197B" w14:paraId="3B564160" w14:textId="7E3A5F8A">
      <w:r w:rsidRPr="00E8197B">
        <w:t xml:space="preserve">The draft TES outlined roles for different provider groups – universities, wānanga, polytechnics and PTEs </w:t>
      </w:r>
      <w:r w:rsidR="007D1C08">
        <w:t xml:space="preserve">– and </w:t>
      </w:r>
      <w:r w:rsidRPr="00E8197B">
        <w:t xml:space="preserve">referenced the role that the new Industry </w:t>
      </w:r>
      <w:r w:rsidR="003A3B24">
        <w:t xml:space="preserve">Skills </w:t>
      </w:r>
      <w:r w:rsidRPr="00E8197B">
        <w:t xml:space="preserve">Boards (ISBs) will play in vocational education and training. The draft TES also </w:t>
      </w:r>
      <w:r w:rsidR="007D1C08">
        <w:t>detailed</w:t>
      </w:r>
      <w:r w:rsidRPr="00E8197B">
        <w:t xml:space="preserve"> the role that different government agencies play in creating the policy, funding and regulatory environment that providers operate in.</w:t>
      </w:r>
    </w:p>
    <w:p w:rsidRPr="00E8197B" w:rsidR="00E8197B" w:rsidP="00E8197B" w:rsidRDefault="00E8197B" w14:paraId="7716D91D" w14:textId="77777777">
      <w:r w:rsidRPr="00E8197B">
        <w:t>Submitters were then asked:</w:t>
      </w:r>
    </w:p>
    <w:p w:rsidRPr="00861397" w:rsidR="00E8197B" w:rsidP="00861397" w:rsidRDefault="00E8197B" w14:paraId="42941430" w14:textId="77777777">
      <w:pPr>
        <w:pStyle w:val="ListBullet"/>
        <w:rPr>
          <w:i/>
          <w:iCs/>
        </w:rPr>
      </w:pPr>
      <w:r w:rsidRPr="00861397">
        <w:rPr>
          <w:i/>
          <w:iCs/>
        </w:rPr>
        <w:t>Do you have any comments on the roles and expectations for different parts of the tertiary education system in delivery on the TES?</w:t>
      </w:r>
    </w:p>
    <w:p w:rsidRPr="00E8197B" w:rsidR="00E8197B" w:rsidP="00CD0EC2" w:rsidRDefault="00E8197B" w14:paraId="45D74995" w14:textId="77777777">
      <w:pPr>
        <w:pStyle w:val="Heading2"/>
      </w:pPr>
      <w:bookmarkStart w:name="_Toc211314493" w:id="50"/>
      <w:bookmarkStart w:name="_Toc211348948" w:id="51"/>
      <w:r w:rsidRPr="00E8197B">
        <w:t>Provider roles and expectations</w:t>
      </w:r>
      <w:bookmarkEnd w:id="50"/>
      <w:bookmarkEnd w:id="51"/>
    </w:p>
    <w:p w:rsidRPr="00E8197B" w:rsidR="00E8197B" w:rsidP="00CD0EC2" w:rsidRDefault="00E8197B" w14:paraId="6F2EB24B" w14:textId="77777777">
      <w:pPr>
        <w:pStyle w:val="Heading4"/>
      </w:pPr>
      <w:r w:rsidRPr="00E8197B">
        <w:t>Universities</w:t>
      </w:r>
    </w:p>
    <w:p w:rsidRPr="00E8197B" w:rsidR="00E8197B" w:rsidP="00E8197B" w:rsidRDefault="00E8197B" w14:paraId="6D7AC6ED" w14:textId="77AB39DA">
      <w:r w:rsidRPr="00E8197B">
        <w:t>Ten submitters commented on the role of universities (</w:t>
      </w:r>
      <w:r w:rsidRPr="00E8197B" w:rsidR="001F6E00">
        <w:t xml:space="preserve">four </w:t>
      </w:r>
      <w:r w:rsidR="001F6E00">
        <w:t>i</w:t>
      </w:r>
      <w:r w:rsidRPr="00E8197B" w:rsidR="001F6E00">
        <w:t>ndustry</w:t>
      </w:r>
      <w:r w:rsidR="001F6E00">
        <w:t xml:space="preserve">, </w:t>
      </w:r>
      <w:r w:rsidRPr="00E8197B">
        <w:t xml:space="preserve">three TEOs, </w:t>
      </w:r>
      <w:r w:rsidRPr="00E8197B" w:rsidR="001F6E00">
        <w:t xml:space="preserve">two </w:t>
      </w:r>
      <w:r w:rsidR="001F6E00">
        <w:t>r</w:t>
      </w:r>
      <w:r w:rsidRPr="00E8197B" w:rsidR="001F6E00">
        <w:t>esearch organisations</w:t>
      </w:r>
      <w:r w:rsidR="001F6E00">
        <w:t>, and</w:t>
      </w:r>
      <w:r w:rsidRPr="00E8197B" w:rsidR="001F6E00">
        <w:t xml:space="preserve"> </w:t>
      </w:r>
      <w:r w:rsidRPr="00E8197B">
        <w:t xml:space="preserve">one </w:t>
      </w:r>
      <w:r w:rsidR="00684411">
        <w:t>student association</w:t>
      </w:r>
      <w:r w:rsidRPr="00E8197B">
        <w:t xml:space="preserve">). Five submitters (four </w:t>
      </w:r>
      <w:r w:rsidR="001F6E00">
        <w:t>i</w:t>
      </w:r>
      <w:r w:rsidRPr="00E8197B">
        <w:t xml:space="preserve">ndustry and one TEO) highlighted the role of universities in delivery of research and the opportunities for partnering with industry. </w:t>
      </w:r>
    </w:p>
    <w:p w:rsidRPr="00E8197B" w:rsidR="00E8197B" w:rsidP="00684411" w:rsidRDefault="00E8197B" w14:paraId="1A2E70A7" w14:textId="77777777">
      <w:r w:rsidRPr="00E8197B">
        <w:t>One submitter noted the request for increased specialisation in university provision and referenced that the Education Act includes a requirement to deliver a certain breadth of academic disciplines.</w:t>
      </w:r>
    </w:p>
    <w:p w:rsidRPr="00E8197B" w:rsidR="00E8197B" w:rsidP="00E8197B" w:rsidRDefault="00E8197B" w14:paraId="02A48892" w14:textId="57B1B228">
      <w:r w:rsidRPr="00E8197B">
        <w:t>One</w:t>
      </w:r>
      <w:r w:rsidR="00CE41EA">
        <w:t xml:space="preserve"> student association</w:t>
      </w:r>
      <w:r w:rsidRPr="00E8197B">
        <w:t xml:space="preserve"> raised the impact of fiscal constraints on how universities operate</w:t>
      </w:r>
      <w:r w:rsidR="00BE2D23">
        <w:t>:</w:t>
      </w:r>
    </w:p>
    <w:p w:rsidRPr="00E8197B" w:rsidR="00E8197B" w:rsidP="00861397" w:rsidRDefault="00E8197B" w14:paraId="7D17EA9B" w14:textId="77777777">
      <w:pPr>
        <w:pStyle w:val="Quote"/>
      </w:pPr>
      <w:r w:rsidRPr="00E8197B">
        <w:t xml:space="preserve">Need to be funded to prioritize [sic] teaching and research for the public benefit, not forced into corporate </w:t>
      </w:r>
      <w:proofErr w:type="spellStart"/>
      <w:r w:rsidRPr="00E8197B">
        <w:t>behavior</w:t>
      </w:r>
      <w:proofErr w:type="spellEnd"/>
      <w:r w:rsidRPr="00E8197B">
        <w:t xml:space="preserve"> [sic].</w:t>
      </w:r>
    </w:p>
    <w:p w:rsidRPr="00E8197B" w:rsidR="00E8197B" w:rsidP="00CD0EC2" w:rsidRDefault="00E8197B" w14:paraId="1990248A" w14:textId="77777777">
      <w:pPr>
        <w:pStyle w:val="Heading4"/>
        <w:rPr>
          <w:b w:val="0"/>
          <w:bCs/>
        </w:rPr>
      </w:pPr>
      <w:r w:rsidRPr="00E8197B">
        <w:rPr>
          <w:bCs/>
        </w:rPr>
        <w:t xml:space="preserve">Wānanga </w:t>
      </w:r>
    </w:p>
    <w:p w:rsidRPr="00E8197B" w:rsidR="00E8197B" w:rsidP="00E8197B" w:rsidRDefault="00E8197B" w14:paraId="49D67FA6" w14:textId="079A29DC">
      <w:r w:rsidRPr="00E8197B">
        <w:t>Nine submitters commented on the role of wānanga (</w:t>
      </w:r>
      <w:r w:rsidRPr="00E8197B" w:rsidR="00684411">
        <w:t xml:space="preserve">six </w:t>
      </w:r>
      <w:r w:rsidR="00684411">
        <w:t>i</w:t>
      </w:r>
      <w:r w:rsidRPr="00E8197B" w:rsidR="00684411">
        <w:t>ndustry submitters</w:t>
      </w:r>
      <w:r w:rsidR="00684411">
        <w:t>,</w:t>
      </w:r>
      <w:r w:rsidRPr="00E8197B" w:rsidR="00684411">
        <w:t xml:space="preserve"> </w:t>
      </w:r>
      <w:r w:rsidRPr="00E8197B">
        <w:t>two TEOs, and the TEC Board)</w:t>
      </w:r>
      <w:r w:rsidR="00591863">
        <w:t xml:space="preserve"> noting</w:t>
      </w:r>
      <w:r w:rsidRPr="00E8197B">
        <w:t xml:space="preserve"> their unique role in the sector.</w:t>
      </w:r>
    </w:p>
    <w:p w:rsidRPr="00E8197B" w:rsidR="00E8197B" w:rsidP="00861397" w:rsidRDefault="00E8197B" w14:paraId="44EBE204" w14:textId="47221926">
      <w:pPr>
        <w:pStyle w:val="Quote"/>
      </w:pPr>
      <w:r w:rsidRPr="00E8197B">
        <w:t>We are also pleased to see the TES acknowledge Wānanga’s unique role and the critical contribution they make to Māori learners achieving their aspirations and growing the Māori economy. Better outcomes for Māori and a thriving Māori economy are key contributors to New Zealand’s broader economic growth.</w:t>
      </w:r>
      <w:r w:rsidR="00591863">
        <w:t xml:space="preserve"> </w:t>
      </w:r>
      <w:r w:rsidRPr="00591863" w:rsidR="00591863">
        <w:rPr>
          <w:i w:val="0"/>
          <w:iCs w:val="0"/>
        </w:rPr>
        <w:t>(TEC Board)</w:t>
      </w:r>
    </w:p>
    <w:p w:rsidRPr="00E8197B" w:rsidR="00E8197B" w:rsidP="00E8197B" w:rsidRDefault="00E8197B" w14:paraId="4CC562D1" w14:textId="20F2836D">
      <w:r w:rsidRPr="00E8197B">
        <w:t xml:space="preserve">One </w:t>
      </w:r>
      <w:r w:rsidR="00591863">
        <w:t>i</w:t>
      </w:r>
      <w:r w:rsidRPr="00E8197B">
        <w:t xml:space="preserve">ndustry submitter noted the role of wānanga in supporting </w:t>
      </w:r>
      <w:proofErr w:type="spellStart"/>
      <w:r w:rsidRPr="00E8197B">
        <w:t>ākonga</w:t>
      </w:r>
      <w:proofErr w:type="spellEnd"/>
      <w:r w:rsidRPr="00E8197B">
        <w:t xml:space="preserve"> success and through “</w:t>
      </w:r>
      <w:r w:rsidRPr="00E8197B">
        <w:rPr>
          <w:i/>
        </w:rPr>
        <w:t xml:space="preserve">the delivery of </w:t>
      </w:r>
      <w:proofErr w:type="spellStart"/>
      <w:r w:rsidRPr="00E8197B">
        <w:rPr>
          <w:i/>
        </w:rPr>
        <w:t>kaupapa</w:t>
      </w:r>
      <w:proofErr w:type="spellEnd"/>
      <w:r w:rsidRPr="00E8197B">
        <w:rPr>
          <w:i/>
        </w:rPr>
        <w:t xml:space="preserve"> Māori provision, </w:t>
      </w:r>
      <w:proofErr w:type="spellStart"/>
      <w:r w:rsidRPr="00E8197B">
        <w:rPr>
          <w:i/>
        </w:rPr>
        <w:t>mātauranga</w:t>
      </w:r>
      <w:proofErr w:type="spellEnd"/>
      <w:r w:rsidRPr="00E8197B">
        <w:rPr>
          <w:i/>
        </w:rPr>
        <w:t xml:space="preserve"> Māori-led curricula and </w:t>
      </w:r>
      <w:proofErr w:type="spellStart"/>
      <w:r w:rsidRPr="00E8197B">
        <w:rPr>
          <w:i/>
        </w:rPr>
        <w:t>te</w:t>
      </w:r>
      <w:proofErr w:type="spellEnd"/>
      <w:r w:rsidRPr="00E8197B">
        <w:rPr>
          <w:i/>
        </w:rPr>
        <w:t xml:space="preserve"> </w:t>
      </w:r>
      <w:proofErr w:type="spellStart"/>
      <w:r w:rsidRPr="00E8197B">
        <w:rPr>
          <w:i/>
        </w:rPr>
        <w:t>reo</w:t>
      </w:r>
      <w:proofErr w:type="spellEnd"/>
      <w:r w:rsidRPr="00E8197B">
        <w:rPr>
          <w:i/>
        </w:rPr>
        <w:t xml:space="preserve"> Māori content</w:t>
      </w:r>
      <w:r w:rsidRPr="00E8197B">
        <w:rPr>
          <w:i/>
          <w:iCs/>
        </w:rPr>
        <w:t>”</w:t>
      </w:r>
      <w:r w:rsidRPr="00E8197B">
        <w:t xml:space="preserve">. Other </w:t>
      </w:r>
      <w:r w:rsidR="00591863">
        <w:t>i</w:t>
      </w:r>
      <w:r w:rsidRPr="00E8197B">
        <w:t xml:space="preserve">ndustry submitters highlighted the role that wānanga play in supporting Māori </w:t>
      </w:r>
      <w:proofErr w:type="spellStart"/>
      <w:r w:rsidRPr="00E8197B">
        <w:t>ākonga</w:t>
      </w:r>
      <w:proofErr w:type="spellEnd"/>
      <w:r w:rsidRPr="00E8197B">
        <w:t xml:space="preserve"> to gain skills that relate to regional workforce needs. </w:t>
      </w:r>
    </w:p>
    <w:p w:rsidRPr="00E8197B" w:rsidR="00E8197B" w:rsidP="00861397" w:rsidRDefault="00E8197B" w14:paraId="4B6CD281" w14:textId="77777777">
      <w:pPr>
        <w:pStyle w:val="Quote"/>
      </w:pPr>
      <w:r w:rsidRPr="00E8197B">
        <w:t xml:space="preserve">Should focus on delivery aligned to industry skill needs, flexible learning, and regional accessibility. </w:t>
      </w:r>
      <w:r w:rsidRPr="00861397">
        <w:rPr>
          <w:i w:val="0"/>
          <w:iCs w:val="0"/>
        </w:rPr>
        <w:t>(Hospitality NZ)</w:t>
      </w:r>
    </w:p>
    <w:p w:rsidRPr="00E8197B" w:rsidR="00E8197B" w:rsidP="00CD0EC2" w:rsidRDefault="00E8197B" w14:paraId="28D46BE4" w14:textId="77777777">
      <w:pPr>
        <w:pStyle w:val="Heading4"/>
        <w:rPr>
          <w:b w:val="0"/>
          <w:bCs/>
        </w:rPr>
      </w:pPr>
      <w:r w:rsidRPr="00E8197B">
        <w:rPr>
          <w:bCs/>
        </w:rPr>
        <w:t>Polytechnics</w:t>
      </w:r>
    </w:p>
    <w:p w:rsidRPr="00E8197B" w:rsidR="00E8197B" w:rsidP="00E8197B" w:rsidRDefault="00E8197B" w14:paraId="783BD92D" w14:textId="26E82F79">
      <w:r w:rsidRPr="00E8197B">
        <w:t>Thirteen submitters (</w:t>
      </w:r>
      <w:r w:rsidRPr="00E8197B" w:rsidR="00684411">
        <w:t xml:space="preserve">six </w:t>
      </w:r>
      <w:r w:rsidR="00684411">
        <w:t>i</w:t>
      </w:r>
      <w:r w:rsidRPr="00E8197B" w:rsidR="00684411">
        <w:t>ndustry submitters</w:t>
      </w:r>
      <w:r w:rsidR="00684411">
        <w:t>,</w:t>
      </w:r>
      <w:r w:rsidRPr="00E8197B" w:rsidR="00684411">
        <w:t xml:space="preserve"> </w:t>
      </w:r>
      <w:r w:rsidRPr="00E8197B">
        <w:t xml:space="preserve">five TEOs, one </w:t>
      </w:r>
      <w:r w:rsidR="00591863">
        <w:t>educator/student</w:t>
      </w:r>
      <w:r w:rsidRPr="00E8197B">
        <w:t xml:space="preserve">, </w:t>
      </w:r>
      <w:r w:rsidR="003B70EE">
        <w:t xml:space="preserve">and </w:t>
      </w:r>
      <w:r w:rsidRPr="00E8197B" w:rsidR="00591863">
        <w:t>the TEC Board</w:t>
      </w:r>
      <w:r w:rsidR="00591863">
        <w:t>)</w:t>
      </w:r>
      <w:r w:rsidRPr="00E8197B">
        <w:t xml:space="preserve"> and commented on the role of polytechnics. Nine of these submitters referenced the role of polytechnics in regional delivery, and six </w:t>
      </w:r>
      <w:r w:rsidR="00FA75B9">
        <w:t>i</w:t>
      </w:r>
      <w:r w:rsidRPr="00E8197B">
        <w:t xml:space="preserve">ndustry submitters highlighted the role they play in industry-linked delivery. </w:t>
      </w:r>
    </w:p>
    <w:p w:rsidRPr="00E8197B" w:rsidR="00E8197B" w:rsidP="00861397" w:rsidRDefault="00E8197B" w14:paraId="2B077AE6" w14:textId="77777777">
      <w:pPr>
        <w:pStyle w:val="Quote"/>
      </w:pPr>
      <w:r w:rsidRPr="00E8197B">
        <w:t xml:space="preserve">Rebuilding regional polytechnics and ensuring flexible delivery will be particularly important for </w:t>
      </w:r>
      <w:r w:rsidRPr="00DE387B">
        <w:rPr>
          <w:i w:val="0"/>
          <w:iCs w:val="0"/>
        </w:rPr>
        <w:t>[aged residential care]</w:t>
      </w:r>
      <w:r w:rsidRPr="00E8197B">
        <w:t xml:space="preserve">, given many providers operate in rural and regional communities. </w:t>
      </w:r>
      <w:r w:rsidRPr="00861397">
        <w:rPr>
          <w:i w:val="0"/>
          <w:iCs w:val="0"/>
        </w:rPr>
        <w:t>(Aged Care Association)</w:t>
      </w:r>
    </w:p>
    <w:p w:rsidRPr="00E8197B" w:rsidR="00E8197B" w:rsidP="00E8197B" w:rsidRDefault="00E8197B" w14:paraId="5902A497" w14:textId="77777777">
      <w:pPr>
        <w:rPr>
          <w:i/>
        </w:rPr>
      </w:pPr>
      <w:r w:rsidRPr="00E8197B">
        <w:t>Three submitters referred to the recent changes in the sector, and the need for a period of stability. The TEC Board recognised that “</w:t>
      </w:r>
      <w:r w:rsidRPr="00E8197B">
        <w:rPr>
          <w:i/>
          <w:iCs/>
        </w:rPr>
        <w:t>much of the sector is busy grappling with structural changes to the VET system.”</w:t>
      </w:r>
    </w:p>
    <w:p w:rsidRPr="00E8197B" w:rsidR="00E8197B" w:rsidP="00CD0EC2" w:rsidRDefault="00E8197B" w14:paraId="5571294B" w14:textId="77777777">
      <w:pPr>
        <w:pStyle w:val="Heading4"/>
        <w:rPr>
          <w:b w:val="0"/>
          <w:bCs/>
        </w:rPr>
      </w:pPr>
      <w:r w:rsidRPr="00E8197B">
        <w:rPr>
          <w:bCs/>
        </w:rPr>
        <w:t>Private Training Establishments</w:t>
      </w:r>
    </w:p>
    <w:p w:rsidRPr="00E8197B" w:rsidR="00E8197B" w:rsidP="00E8197B" w:rsidRDefault="00E8197B" w14:paraId="714A066C" w14:textId="3471F073">
      <w:r w:rsidRPr="00E8197B">
        <w:t xml:space="preserve">Thirteen submitters (eight TEOs and five </w:t>
      </w:r>
      <w:r w:rsidR="003C64F7">
        <w:t>i</w:t>
      </w:r>
      <w:r w:rsidRPr="00E8197B">
        <w:t>ndustry submitters) commented on the role of PTEs. Industry submitters raised the role that PTEs play in delivery that is ‘flexible’ and ‘industry-responsive’.</w:t>
      </w:r>
    </w:p>
    <w:p w:rsidRPr="00E8197B" w:rsidR="00E8197B" w:rsidP="00861397" w:rsidRDefault="00E8197B" w14:paraId="3FE557D1" w14:textId="77777777">
      <w:pPr>
        <w:pStyle w:val="Quote"/>
      </w:pPr>
      <w:r w:rsidRPr="00E8197B">
        <w:t xml:space="preserve">Delivering practical, industry-aligned training that supports careers and strengthens business performance” </w:t>
      </w:r>
      <w:r w:rsidRPr="00861397">
        <w:rPr>
          <w:i w:val="0"/>
          <w:iCs w:val="0"/>
        </w:rPr>
        <w:t>(Dairy NZ)</w:t>
      </w:r>
    </w:p>
    <w:p w:rsidRPr="00E8197B" w:rsidR="00E8197B" w:rsidP="00E8197B" w:rsidRDefault="00E8197B" w14:paraId="5C66CD0F" w14:textId="4C9405F5">
      <w:pPr>
        <w:rPr>
          <w:iCs/>
        </w:rPr>
      </w:pPr>
      <w:proofErr w:type="spellStart"/>
      <w:r w:rsidRPr="00E8197B">
        <w:rPr>
          <w:iCs/>
        </w:rPr>
        <w:t>Te</w:t>
      </w:r>
      <w:proofErr w:type="spellEnd"/>
      <w:r w:rsidRPr="00E8197B">
        <w:rPr>
          <w:iCs/>
        </w:rPr>
        <w:t xml:space="preserve"> </w:t>
      </w:r>
      <w:proofErr w:type="spellStart"/>
      <w:r w:rsidRPr="00E8197B">
        <w:rPr>
          <w:iCs/>
        </w:rPr>
        <w:t>Pūkenga</w:t>
      </w:r>
      <w:proofErr w:type="spellEnd"/>
      <w:r w:rsidRPr="00E8197B">
        <w:rPr>
          <w:iCs/>
        </w:rPr>
        <w:t xml:space="preserve"> feedback emphasised the role that PTEs play in delivery of specialised and small</w:t>
      </w:r>
      <w:r w:rsidRPr="00E8197B" w:rsidR="003C64F7">
        <w:rPr>
          <w:iCs/>
        </w:rPr>
        <w:t>-</w:t>
      </w:r>
      <w:r w:rsidRPr="00E8197B">
        <w:rPr>
          <w:iCs/>
        </w:rPr>
        <w:t>scale provision.</w:t>
      </w:r>
    </w:p>
    <w:p w:rsidRPr="00E8197B" w:rsidR="00E8197B" w:rsidP="00861397" w:rsidRDefault="00E8197B" w14:paraId="6ED59402" w14:textId="77777777">
      <w:pPr>
        <w:pStyle w:val="Quote"/>
      </w:pPr>
      <w:r w:rsidRPr="00E8197B">
        <w:t xml:space="preserve">Emphasis should be on training spaces where polytechnics, wānanga or universities don’t have the scope or agility to deliver the specialised training i.e.; it should be complementary not competing. </w:t>
      </w:r>
      <w:r w:rsidRPr="00861397">
        <w:rPr>
          <w:i w:val="0"/>
          <w:iCs w:val="0"/>
        </w:rPr>
        <w:t>(NMIT)</w:t>
      </w:r>
    </w:p>
    <w:p w:rsidRPr="00E8197B" w:rsidR="00E8197B" w:rsidP="00E8197B" w:rsidRDefault="00E8197B" w14:paraId="129C0F95" w14:textId="33A41737">
      <w:pPr>
        <w:rPr>
          <w:iCs/>
        </w:rPr>
      </w:pPr>
      <w:r w:rsidRPr="00E8197B">
        <w:rPr>
          <w:iCs/>
        </w:rPr>
        <w:t>PTE submitters also emphasised their ability to deliver tertiary education that is responsive to community or industry needs. One PTE submitter suggested</w:t>
      </w:r>
      <w:r w:rsidR="008772CB">
        <w:rPr>
          <w:iCs/>
        </w:rPr>
        <w:t>:</w:t>
      </w:r>
      <w:r w:rsidRPr="00E8197B">
        <w:rPr>
          <w:iCs/>
        </w:rPr>
        <w:t xml:space="preserve"> </w:t>
      </w:r>
    </w:p>
    <w:p w:rsidRPr="00E8197B" w:rsidR="00E8197B" w:rsidP="00861397" w:rsidRDefault="00E8197B" w14:paraId="080E8E8A" w14:textId="1A66DC70">
      <w:pPr>
        <w:pStyle w:val="Quote"/>
      </w:pPr>
      <w:r w:rsidRPr="00E8197B">
        <w:t xml:space="preserve">… it is crucial that this recognition is translated into a policy and funding environment that enables PTEs to fully leverage their strengths, rather than being treated as an afterthought in a system </w:t>
      </w:r>
      <w:proofErr w:type="spellStart"/>
      <w:r w:rsidRPr="00E8197B">
        <w:t>centered</w:t>
      </w:r>
      <w:proofErr w:type="spellEnd"/>
      <w:r w:rsidRPr="00E8197B">
        <w:t xml:space="preserve"> </w:t>
      </w:r>
      <w:r w:rsidRPr="00980311">
        <w:rPr>
          <w:i w:val="0"/>
          <w:iCs w:val="0"/>
        </w:rPr>
        <w:t>[sic]</w:t>
      </w:r>
      <w:r w:rsidRPr="00E8197B">
        <w:t xml:space="preserve"> on public institutions.</w:t>
      </w:r>
      <w:r w:rsidR="00B639F3">
        <w:t xml:space="preserve"> </w:t>
      </w:r>
      <w:r w:rsidRPr="00B639F3" w:rsidR="00B639F3">
        <w:rPr>
          <w:i w:val="0"/>
          <w:iCs w:val="0"/>
        </w:rPr>
        <w:t>(QTI)</w:t>
      </w:r>
    </w:p>
    <w:p w:rsidRPr="00E8197B" w:rsidR="00E8197B" w:rsidP="00CD0EC2" w:rsidRDefault="00E8197B" w14:paraId="317EFB95" w14:textId="77777777">
      <w:pPr>
        <w:pStyle w:val="Heading4"/>
        <w:rPr>
          <w:b w:val="0"/>
          <w:bCs/>
        </w:rPr>
      </w:pPr>
      <w:r w:rsidRPr="00E8197B">
        <w:rPr>
          <w:bCs/>
        </w:rPr>
        <w:t>Industry Skills Boards</w:t>
      </w:r>
    </w:p>
    <w:p w:rsidRPr="00E8197B" w:rsidR="00E8197B" w:rsidP="00E8197B" w:rsidRDefault="00E8197B" w14:paraId="6F86467D" w14:textId="391B713F">
      <w:r w:rsidRPr="00E8197B">
        <w:t xml:space="preserve">The role of </w:t>
      </w:r>
      <w:r w:rsidR="008772CB">
        <w:t>ISBs</w:t>
      </w:r>
      <w:r w:rsidRPr="00E8197B">
        <w:t xml:space="preserve"> was raised throughout the submissions. In this section we have focused on the information that submitters provided in response to the question about their role and responsibilities.</w:t>
      </w:r>
    </w:p>
    <w:p w:rsidRPr="00E8197B" w:rsidR="00E8197B" w:rsidP="00E8197B" w:rsidRDefault="00E8197B" w14:paraId="0D4B0E91" w14:textId="1A0611BE">
      <w:r w:rsidRPr="00E8197B">
        <w:t>Twenty-seven submitters (</w:t>
      </w:r>
      <w:r w:rsidR="003B70EE">
        <w:t>14</w:t>
      </w:r>
      <w:r w:rsidRPr="00E8197B">
        <w:t xml:space="preserve"> TEOs, </w:t>
      </w:r>
      <w:r w:rsidRPr="00E8197B" w:rsidR="003B70EE">
        <w:t xml:space="preserve">11 </w:t>
      </w:r>
      <w:r w:rsidR="003B70EE">
        <w:t>i</w:t>
      </w:r>
      <w:r w:rsidRPr="00E8197B" w:rsidR="003B70EE">
        <w:t>ndustry submitters</w:t>
      </w:r>
      <w:r w:rsidR="003B70EE">
        <w:t xml:space="preserve">, and </w:t>
      </w:r>
      <w:r w:rsidRPr="00E8197B">
        <w:t xml:space="preserve">two </w:t>
      </w:r>
      <w:r w:rsidR="00D218F5">
        <w:t>e</w:t>
      </w:r>
      <w:r w:rsidRPr="00E8197B">
        <w:t>ducator</w:t>
      </w:r>
      <w:r w:rsidR="00D218F5">
        <w:t>/st</w:t>
      </w:r>
      <w:r w:rsidRPr="00E8197B">
        <w:t>udent</w:t>
      </w:r>
      <w:r w:rsidR="00D218F5">
        <w:t>s</w:t>
      </w:r>
      <w:r w:rsidRPr="00E8197B">
        <w:t xml:space="preserve">) commented on the role and responsibility of ISBs. Eight submitters raised concerns </w:t>
      </w:r>
      <w:r w:rsidRPr="00E8197B">
        <w:t xml:space="preserve">about whether the ISBs will be funded sufficiently to deliver on their remit. As </w:t>
      </w:r>
      <w:r w:rsidR="00FE3443">
        <w:t xml:space="preserve">a WDC </w:t>
      </w:r>
      <w:r w:rsidRPr="00E8197B">
        <w:t>submitter explained:</w:t>
      </w:r>
    </w:p>
    <w:p w:rsidRPr="00861397" w:rsidR="00E8197B" w:rsidP="00861397" w:rsidRDefault="00E8197B" w14:paraId="137A8C8C" w14:textId="77777777">
      <w:pPr>
        <w:pStyle w:val="Quote"/>
        <w:rPr>
          <w:i w:val="0"/>
          <w:iCs w:val="0"/>
        </w:rPr>
      </w:pPr>
      <w:r w:rsidRPr="00E8197B">
        <w:t xml:space="preserve">Despite assertions ISBs will act as the voice of industry in the Strategy… with a reduction of funding and a narrowing of scope towards quality assurance and standard setting, there is a mismatch between the aspirations of what ISBs will do and what they are funded to do. </w:t>
      </w:r>
      <w:r w:rsidRPr="00861397">
        <w:rPr>
          <w:i w:val="0"/>
          <w:iCs w:val="0"/>
        </w:rPr>
        <w:t>(Toi Mai)</w:t>
      </w:r>
    </w:p>
    <w:p w:rsidRPr="00E8197B" w:rsidR="00E8197B" w:rsidP="00E8197B" w:rsidRDefault="00E8197B" w14:paraId="5F6E8F5B" w14:textId="1B3DF572">
      <w:pPr>
        <w:rPr>
          <w:i/>
          <w:iCs/>
        </w:rPr>
      </w:pPr>
      <w:r w:rsidRPr="00E8197B">
        <w:t>Industry submitters raised the importance of having industry and priority population representation to support “</w:t>
      </w:r>
      <w:r w:rsidRPr="00E8197B">
        <w:rPr>
          <w:i/>
          <w:iCs/>
        </w:rPr>
        <w:t xml:space="preserve">aligning programmes to real-world practice”. </w:t>
      </w:r>
    </w:p>
    <w:p w:rsidRPr="00E8197B" w:rsidR="00E8197B" w:rsidP="00861397" w:rsidRDefault="00E8197B" w14:paraId="2F7E6E40" w14:textId="77777777">
      <w:pPr>
        <w:pStyle w:val="Quote"/>
      </w:pPr>
      <w:r w:rsidRPr="00E8197B">
        <w:t xml:space="preserve">It is imperative that direct feedback loops and a constructive working relationship between industry and government agencies is established to provide insights on the change programme as it is implemented. </w:t>
      </w:r>
      <w:r w:rsidRPr="00861397">
        <w:rPr>
          <w:i w:val="0"/>
          <w:iCs w:val="0"/>
        </w:rPr>
        <w:t>(Business NZ)</w:t>
      </w:r>
    </w:p>
    <w:p w:rsidRPr="00E8197B" w:rsidR="00E8197B" w:rsidP="00E8197B" w:rsidRDefault="00E8197B" w14:paraId="20585F13" w14:textId="7FE96991">
      <w:pPr>
        <w:rPr>
          <w:iCs/>
        </w:rPr>
      </w:pPr>
      <w:r w:rsidRPr="00E8197B">
        <w:rPr>
          <w:iCs/>
        </w:rPr>
        <w:t>Two TEO submitters recommended that the ISB</w:t>
      </w:r>
      <w:r w:rsidR="007362DF">
        <w:rPr>
          <w:iCs/>
        </w:rPr>
        <w:t>s’</w:t>
      </w:r>
      <w:r w:rsidRPr="00E8197B">
        <w:rPr>
          <w:iCs/>
        </w:rPr>
        <w:t xml:space="preserve"> remit be broadened to include provision at </w:t>
      </w:r>
      <w:r w:rsidR="007362DF">
        <w:rPr>
          <w:iCs/>
        </w:rPr>
        <w:t>L</w:t>
      </w:r>
      <w:r w:rsidRPr="00E8197B">
        <w:rPr>
          <w:iCs/>
        </w:rPr>
        <w:t xml:space="preserve">evel 7 and above, including </w:t>
      </w:r>
      <w:r w:rsidR="00FF661B">
        <w:rPr>
          <w:iCs/>
        </w:rPr>
        <w:t>delivery</w:t>
      </w:r>
      <w:r w:rsidRPr="00E8197B">
        <w:rPr>
          <w:iCs/>
        </w:rPr>
        <w:t xml:space="preserve"> by universities.</w:t>
      </w:r>
    </w:p>
    <w:p w:rsidRPr="00E8197B" w:rsidR="00E8197B" w:rsidP="00861397" w:rsidRDefault="00E8197B" w14:paraId="79441CDD" w14:textId="77777777">
      <w:pPr>
        <w:pStyle w:val="Quote"/>
      </w:pPr>
      <w:proofErr w:type="gramStart"/>
      <w:r w:rsidRPr="00E8197B">
        <w:t>The vast majority of</w:t>
      </w:r>
      <w:proofErr w:type="gramEnd"/>
      <w:r w:rsidRPr="00E8197B">
        <w:t xml:space="preserve"> university graduates move into the workforce – not merely into postgraduate study and then research roles. </w:t>
      </w:r>
      <w:r w:rsidRPr="00861397">
        <w:rPr>
          <w:i w:val="0"/>
          <w:iCs w:val="0"/>
        </w:rPr>
        <w:t>(MIT &amp; Unitec)</w:t>
      </w:r>
    </w:p>
    <w:p w:rsidRPr="00E8197B" w:rsidR="00E8197B" w:rsidP="00CD0EC2" w:rsidRDefault="00E8197B" w14:paraId="451436A2" w14:textId="77777777">
      <w:pPr>
        <w:pStyle w:val="Heading4"/>
        <w:rPr>
          <w:b w:val="0"/>
          <w:bCs/>
        </w:rPr>
      </w:pPr>
      <w:r w:rsidRPr="00E8197B">
        <w:rPr>
          <w:bCs/>
        </w:rPr>
        <w:t>Other tertiary provision/the sector as a whole</w:t>
      </w:r>
    </w:p>
    <w:p w:rsidRPr="00E8197B" w:rsidR="00E8197B" w:rsidP="00E8197B" w:rsidRDefault="00E8197B" w14:paraId="3380B181" w14:textId="13450DBD">
      <w:r w:rsidRPr="00E8197B">
        <w:t>Twelve submitters (</w:t>
      </w:r>
      <w:r w:rsidR="00FE3443">
        <w:t>six</w:t>
      </w:r>
      <w:r w:rsidRPr="00E8197B">
        <w:t xml:space="preserve"> TEOs, </w:t>
      </w:r>
      <w:r w:rsidRPr="00E8197B" w:rsidR="005A1F9B">
        <w:t xml:space="preserve">three </w:t>
      </w:r>
      <w:r w:rsidR="005A1F9B">
        <w:t>i</w:t>
      </w:r>
      <w:r w:rsidRPr="00E8197B" w:rsidR="005A1F9B">
        <w:t>ndustry submitters</w:t>
      </w:r>
      <w:r w:rsidR="005A1F9B">
        <w:t>,</w:t>
      </w:r>
      <w:r w:rsidRPr="00E8197B" w:rsidR="005A1F9B">
        <w:t xml:space="preserve"> </w:t>
      </w:r>
      <w:r w:rsidRPr="00E8197B">
        <w:t xml:space="preserve">one </w:t>
      </w:r>
      <w:r w:rsidR="00162000">
        <w:t>student association</w:t>
      </w:r>
      <w:r w:rsidRPr="00E8197B">
        <w:t>, and the TEC Board) made comments about tertiary education provision that did not specifically relate to one provider type as outlined in the draft TES.</w:t>
      </w:r>
    </w:p>
    <w:p w:rsidRPr="00E8197B" w:rsidR="00E8197B" w:rsidP="00E8197B" w:rsidRDefault="00E8197B" w14:paraId="6B2674BB" w14:textId="05742F1F">
      <w:r w:rsidRPr="00E8197B">
        <w:t>Two submitters (</w:t>
      </w:r>
      <w:r w:rsidR="00162000">
        <w:t>u</w:t>
      </w:r>
      <w:r w:rsidRPr="00E8197B">
        <w:t xml:space="preserve">niversity and </w:t>
      </w:r>
      <w:r w:rsidR="00162000">
        <w:t>r</w:t>
      </w:r>
      <w:r w:rsidRPr="00E8197B">
        <w:t xml:space="preserve">esearch) commented on the absence of </w:t>
      </w:r>
      <w:r w:rsidR="00E45992">
        <w:t>Centres of Research Excellence (</w:t>
      </w:r>
      <w:proofErr w:type="spellStart"/>
      <w:r w:rsidRPr="00E8197B">
        <w:t>CoREs</w:t>
      </w:r>
      <w:proofErr w:type="spellEnd"/>
      <w:r w:rsidR="00E45992">
        <w:t>)</w:t>
      </w:r>
      <w:r w:rsidRPr="00E8197B">
        <w:t xml:space="preserve"> in the TES, yet they play a role in delivery of the </w:t>
      </w:r>
      <w:r w:rsidR="00683F03">
        <w:t>TES</w:t>
      </w:r>
      <w:r w:rsidRPr="00E8197B">
        <w:t>.</w:t>
      </w:r>
    </w:p>
    <w:p w:rsidRPr="00E8197B" w:rsidR="00E8197B" w:rsidP="00861397" w:rsidRDefault="00E8197B" w14:paraId="3D592617" w14:textId="77777777">
      <w:pPr>
        <w:pStyle w:val="Quote"/>
      </w:pPr>
      <w:proofErr w:type="spellStart"/>
      <w:r w:rsidRPr="00E8197B">
        <w:t>CoREs</w:t>
      </w:r>
      <w:proofErr w:type="spellEnd"/>
      <w:r w:rsidRPr="00E8197B">
        <w:t xml:space="preserve"> and national research centres are absent from the document yet can play a valuable role in meeting these strategic goals. Advantageously these are often trans institutional and have a New Zealand focus. </w:t>
      </w:r>
      <w:r w:rsidRPr="00861397">
        <w:rPr>
          <w:i w:val="0"/>
          <w:iCs w:val="0"/>
        </w:rPr>
        <w:t>(</w:t>
      </w:r>
      <w:proofErr w:type="spellStart"/>
      <w:r w:rsidRPr="00861397">
        <w:rPr>
          <w:i w:val="0"/>
          <w:iCs w:val="0"/>
        </w:rPr>
        <w:t>Te</w:t>
      </w:r>
      <w:proofErr w:type="spellEnd"/>
      <w:r w:rsidRPr="00861397">
        <w:rPr>
          <w:i w:val="0"/>
          <w:iCs w:val="0"/>
        </w:rPr>
        <w:t xml:space="preserve"> </w:t>
      </w:r>
      <w:proofErr w:type="spellStart"/>
      <w:r w:rsidRPr="00861397">
        <w:rPr>
          <w:i w:val="0"/>
          <w:iCs w:val="0"/>
        </w:rPr>
        <w:t>Whai</w:t>
      </w:r>
      <w:proofErr w:type="spellEnd"/>
      <w:r w:rsidRPr="00861397">
        <w:rPr>
          <w:i w:val="0"/>
          <w:iCs w:val="0"/>
        </w:rPr>
        <w:t xml:space="preserve"> Ao)</w:t>
      </w:r>
    </w:p>
    <w:p w:rsidRPr="00E8197B" w:rsidR="00E8197B" w:rsidP="00E8197B" w:rsidRDefault="00E8197B" w14:paraId="20171973" w14:textId="40ACD3DE">
      <w:r w:rsidRPr="00E8197B">
        <w:t xml:space="preserve">Two submitters raised the shared role of different provider </w:t>
      </w:r>
      <w:proofErr w:type="gramStart"/>
      <w:r w:rsidRPr="00E8197B">
        <w:t>types</w:t>
      </w:r>
      <w:proofErr w:type="gramEnd"/>
      <w:r w:rsidRPr="00E8197B">
        <w:t xml:space="preserve"> and that the TES should not articulate any one form of provision as better than others. </w:t>
      </w:r>
    </w:p>
    <w:p w:rsidRPr="00E8197B" w:rsidR="00E8197B" w:rsidP="00861397" w:rsidRDefault="00E8197B" w14:paraId="31380321" w14:textId="77777777">
      <w:pPr>
        <w:pStyle w:val="Quote"/>
      </w:pPr>
      <w:r w:rsidRPr="00E8197B">
        <w:t xml:space="preserve">… avoid using evaluative language in the Tertiary Education Strategy in its differentiation of types of providers. </w:t>
      </w:r>
      <w:r w:rsidRPr="00861397">
        <w:rPr>
          <w:i w:val="0"/>
          <w:iCs w:val="0"/>
        </w:rPr>
        <w:t>(MIT &amp; Unitec)</w:t>
      </w:r>
    </w:p>
    <w:p w:rsidRPr="00E8197B" w:rsidR="00E8197B" w:rsidP="00E8197B" w:rsidRDefault="00E8197B" w14:paraId="4CDCE539" w14:textId="0F6D628A">
      <w:pPr>
        <w:rPr>
          <w:iCs/>
        </w:rPr>
      </w:pPr>
      <w:r w:rsidRPr="00E8197B">
        <w:rPr>
          <w:iCs/>
        </w:rPr>
        <w:t xml:space="preserve">Two submitters suggested the TES would be strengthened by adding explicit reference to different providers within each </w:t>
      </w:r>
      <w:r w:rsidR="00E45992">
        <w:rPr>
          <w:iCs/>
        </w:rPr>
        <w:t>p</w:t>
      </w:r>
      <w:r w:rsidRPr="00E8197B">
        <w:rPr>
          <w:iCs/>
        </w:rPr>
        <w:t xml:space="preserve">riority. </w:t>
      </w:r>
      <w:r w:rsidR="00162000">
        <w:rPr>
          <w:iCs/>
        </w:rPr>
        <w:t>One university submitter</w:t>
      </w:r>
      <w:r w:rsidRPr="00E8197B">
        <w:rPr>
          <w:iCs/>
        </w:rPr>
        <w:t xml:space="preserve"> provided the following example of how this could be done</w:t>
      </w:r>
      <w:r w:rsidR="00B65101">
        <w:rPr>
          <w:iCs/>
        </w:rPr>
        <w:t>:</w:t>
      </w:r>
      <w:r w:rsidRPr="00E8197B">
        <w:rPr>
          <w:iCs/>
        </w:rPr>
        <w:t xml:space="preserve"> </w:t>
      </w:r>
    </w:p>
    <w:p w:rsidRPr="00E8197B" w:rsidR="00E8197B" w:rsidP="00D945B1" w:rsidRDefault="00E8197B" w14:paraId="5152AC8C" w14:textId="450A7FB7">
      <w:pPr>
        <w:pStyle w:val="Quote"/>
      </w:pPr>
      <w:r w:rsidRPr="00E8197B">
        <w:t xml:space="preserve">Align their educational delivery and research activities with the TES priorities, including by lifting access and participation, responding to </w:t>
      </w:r>
      <w:r w:rsidRPr="00E8197B">
        <w:t>workforce needs, improving outcomes for under-served students and trainees, and contributing to national and regional development.</w:t>
      </w:r>
      <w:r w:rsidR="00162000">
        <w:t xml:space="preserve"> </w:t>
      </w:r>
      <w:r w:rsidRPr="00162000" w:rsidR="00162000">
        <w:rPr>
          <w:i w:val="0"/>
          <w:iCs w:val="0"/>
        </w:rPr>
        <w:t>(University of Canterbury)</w:t>
      </w:r>
    </w:p>
    <w:p w:rsidRPr="00E8197B" w:rsidR="00E8197B" w:rsidP="00CD0EC2" w:rsidRDefault="00E8197B" w14:paraId="6BB265D3" w14:textId="4B923DEC">
      <w:pPr>
        <w:pStyle w:val="Heading2"/>
      </w:pPr>
      <w:bookmarkStart w:name="_Toc211314494" w:id="52"/>
      <w:bookmarkStart w:name="_Toc211348949" w:id="53"/>
      <w:r w:rsidRPr="00E8197B">
        <w:t xml:space="preserve">Government </w:t>
      </w:r>
      <w:r w:rsidR="00D0733C">
        <w:t>a</w:t>
      </w:r>
      <w:r w:rsidRPr="00E8197B">
        <w:t xml:space="preserve">gency </w:t>
      </w:r>
      <w:r w:rsidR="00D0733C">
        <w:t>r</w:t>
      </w:r>
      <w:r w:rsidRPr="00E8197B">
        <w:t>oles</w:t>
      </w:r>
      <w:bookmarkEnd w:id="52"/>
      <w:bookmarkEnd w:id="53"/>
    </w:p>
    <w:p w:rsidRPr="00E8197B" w:rsidR="00E8197B" w:rsidP="00D945B1" w:rsidRDefault="00E8197B" w14:paraId="35F9503B" w14:textId="7002D0AB">
      <w:pPr>
        <w:pStyle w:val="Heading4"/>
      </w:pPr>
      <w:r w:rsidRPr="00E8197B">
        <w:t xml:space="preserve">Tertiary Education Commission </w:t>
      </w:r>
    </w:p>
    <w:p w:rsidRPr="00E8197B" w:rsidR="00E8197B" w:rsidP="00E8197B" w:rsidRDefault="00E8197B" w14:paraId="3887B596" w14:textId="1A29531D">
      <w:r w:rsidRPr="00E8197B">
        <w:t xml:space="preserve">Nine submitters (five TEOs, </w:t>
      </w:r>
      <w:r w:rsidRPr="00E8197B" w:rsidR="00FE3443">
        <w:t xml:space="preserve">three </w:t>
      </w:r>
      <w:r w:rsidR="00FE3443">
        <w:t>i</w:t>
      </w:r>
      <w:r w:rsidRPr="00E8197B" w:rsidR="00FE3443">
        <w:t>ndustry</w:t>
      </w:r>
      <w:r w:rsidR="00FE3443">
        <w:t xml:space="preserve"> submitters, and</w:t>
      </w:r>
      <w:r w:rsidRPr="00E8197B" w:rsidR="00FE3443">
        <w:t xml:space="preserve"> </w:t>
      </w:r>
      <w:r w:rsidRPr="00E8197B">
        <w:t xml:space="preserve">the TEC Board) commented on the role of the </w:t>
      </w:r>
      <w:r w:rsidR="00E45992">
        <w:t>Tertiary Education Commission</w:t>
      </w:r>
      <w:r w:rsidRPr="00E8197B">
        <w:t xml:space="preserve">. Submitters from TEOs and </w:t>
      </w:r>
      <w:r w:rsidR="00162000">
        <w:t>i</w:t>
      </w:r>
      <w:r w:rsidRPr="00E8197B">
        <w:t xml:space="preserve">ndustry suggested TEC should play a stronger role in bringing together providers, industry and community representatives. </w:t>
      </w:r>
    </w:p>
    <w:p w:rsidRPr="00E8197B" w:rsidR="00E8197B" w:rsidP="00861397" w:rsidRDefault="00E8197B" w14:paraId="494E0047" w14:textId="77777777">
      <w:pPr>
        <w:pStyle w:val="Quote"/>
      </w:pPr>
      <w:r w:rsidRPr="00E8197B">
        <w:t xml:space="preserve">Recognising that the TEC is not solely responsible to ensure an effective, joined-up and collaborative tertiary education sector, that the TEC consider facilitating greater cross-sector engagement, including representatives of the ACE sector, to guide policy and practical solutions for the tertiary education system. </w:t>
      </w:r>
      <w:r w:rsidRPr="00861397">
        <w:rPr>
          <w:i w:val="0"/>
          <w:iCs w:val="0"/>
        </w:rPr>
        <w:t>(Ace Aotearoa)</w:t>
      </w:r>
    </w:p>
    <w:p w:rsidRPr="00E8197B" w:rsidR="00E8197B" w:rsidP="00E8197B" w:rsidRDefault="00AB7F7C" w14:paraId="506D73E4" w14:textId="66A708D2">
      <w:r>
        <w:t xml:space="preserve">The </w:t>
      </w:r>
      <w:r w:rsidRPr="00E8197B" w:rsidR="00E8197B">
        <w:t>TEC was encouraged to ensure flexibility in its funding models and incentivise innovation and responsiveness</w:t>
      </w:r>
      <w:r w:rsidR="00217CDB">
        <w:t>,</w:t>
      </w:r>
      <w:r w:rsidRPr="00E8197B" w:rsidR="00E8197B">
        <w:t xml:space="preserve"> rather than penalising over-performance. Submitters expressed concern that TEC’s current processes and compliance requirements can act as a barrier to progress and innovation, highlighting the need for greater agility, clearer accountability for outcomes and stronger collaboration with </w:t>
      </w:r>
      <w:r w:rsidR="00217CDB">
        <w:t>the New Zealand Qualifications Authority (</w:t>
      </w:r>
      <w:r w:rsidRPr="00E8197B" w:rsidR="00E8197B">
        <w:t>NZQA</w:t>
      </w:r>
      <w:r w:rsidR="00217CDB">
        <w:t>)</w:t>
      </w:r>
      <w:r w:rsidRPr="00E8197B" w:rsidR="00E8197B">
        <w:t>.</w:t>
      </w:r>
    </w:p>
    <w:p w:rsidRPr="00E8197B" w:rsidR="00E8197B" w:rsidP="00861397" w:rsidRDefault="00E8197B" w14:paraId="1203D257" w14:textId="77777777">
      <w:pPr>
        <w:pStyle w:val="Quote"/>
      </w:pPr>
      <w:r w:rsidRPr="00E8197B">
        <w:t xml:space="preserve">Over-achieving investment plans should be seen as a sign of successfully filling student and industry demand - a sign of success rather than failure. A shift to incentives rather than financial penalties would go a long way to unlocking innovation and economic growth in the sector. </w:t>
      </w:r>
      <w:r w:rsidRPr="00861397">
        <w:rPr>
          <w:i w:val="0"/>
          <w:iCs w:val="0"/>
        </w:rPr>
        <w:t>(QTI)</w:t>
      </w:r>
    </w:p>
    <w:p w:rsidRPr="00E8197B" w:rsidR="00E8197B" w:rsidP="00D945B1" w:rsidRDefault="00E8197B" w14:paraId="37A90549" w14:textId="1BD7A179">
      <w:pPr>
        <w:pStyle w:val="Heading4"/>
        <w:rPr>
          <w:b w:val="0"/>
          <w:bCs/>
        </w:rPr>
      </w:pPr>
      <w:r w:rsidRPr="00E8197B">
        <w:rPr>
          <w:bCs/>
        </w:rPr>
        <w:t xml:space="preserve">New Zealand Qualifications Authority </w:t>
      </w:r>
    </w:p>
    <w:p w:rsidRPr="00E8197B" w:rsidR="00E8197B" w:rsidP="00E8197B" w:rsidRDefault="00E8197B" w14:paraId="6A3C8567" w14:textId="2BBBAB1C">
      <w:r w:rsidRPr="00E8197B">
        <w:t xml:space="preserve">Three submitters spoke to the role of NZQA. A </w:t>
      </w:r>
      <w:r w:rsidR="00735990">
        <w:t>student association</w:t>
      </w:r>
      <w:r w:rsidRPr="00E8197B">
        <w:t xml:space="preserve"> suggested this section should also reference </w:t>
      </w:r>
      <w:r w:rsidR="00217CDB">
        <w:t>NZQA’s</w:t>
      </w:r>
      <w:r w:rsidRPr="00E8197B">
        <w:t xml:space="preserve"> role as administrators of the Education (Pastoral Care of Tertiary and International) Code of Practice 2021. Two TEOs spoke to the need for NZQA to be ‘agile’ and the impact of having to pay for NZQA services.</w:t>
      </w:r>
    </w:p>
    <w:p w:rsidRPr="00E8197B" w:rsidR="00E8197B" w:rsidP="00861397" w:rsidRDefault="00E8197B" w14:paraId="2ED6AFFD" w14:textId="77777777">
      <w:pPr>
        <w:pStyle w:val="Quote"/>
      </w:pPr>
      <w:r w:rsidRPr="00E8197B">
        <w:t xml:space="preserve">As providers increasingly pay more for NZQA services, then NZQA services should be delivered in a commercially responsible way that understands and reflects the needs of the sector. </w:t>
      </w:r>
      <w:r w:rsidRPr="00861397">
        <w:rPr>
          <w:i w:val="0"/>
          <w:iCs w:val="0"/>
        </w:rPr>
        <w:t>(NMIT)</w:t>
      </w:r>
      <w:r w:rsidRPr="00E8197B">
        <w:t xml:space="preserve"> </w:t>
      </w:r>
    </w:p>
    <w:p w:rsidRPr="00E8197B" w:rsidR="00E8197B" w:rsidP="00D945B1" w:rsidRDefault="00E8197B" w14:paraId="7D2A4224" w14:textId="77777777">
      <w:pPr>
        <w:pStyle w:val="Heading4"/>
        <w:rPr>
          <w:b w:val="0"/>
          <w:bCs/>
        </w:rPr>
      </w:pPr>
      <w:r w:rsidRPr="00E8197B">
        <w:rPr>
          <w:bCs/>
        </w:rPr>
        <w:t>Ministry of Education</w:t>
      </w:r>
    </w:p>
    <w:p w:rsidR="00B639F3" w:rsidP="00E8197B" w:rsidRDefault="00E8197B" w14:paraId="256E18C6" w14:textId="221DD955">
      <w:r w:rsidRPr="00E8197B">
        <w:t xml:space="preserve">Two submitters spoke to the role of the Ministry of Education. An </w:t>
      </w:r>
      <w:r w:rsidR="004E0B9B">
        <w:t>i</w:t>
      </w:r>
      <w:r w:rsidRPr="00E8197B">
        <w:t xml:space="preserve">ndustry submitter noted the role </w:t>
      </w:r>
      <w:r w:rsidR="003E347F">
        <w:t>the Ministry of Education</w:t>
      </w:r>
      <w:r w:rsidRPr="00E8197B">
        <w:t xml:space="preserve"> plays in establishing the policy settings for the </w:t>
      </w:r>
      <w:r w:rsidRPr="00E8197B">
        <w:t xml:space="preserve">sector and the risks if these settings are not flexible enough to allow industry to inform work-based provision. </w:t>
      </w:r>
    </w:p>
    <w:p w:rsidRPr="00E8197B" w:rsidR="00E8197B" w:rsidP="00E8197B" w:rsidRDefault="00E8197B" w14:paraId="593858FC" w14:textId="7C9B4BFC">
      <w:r w:rsidRPr="00E8197B">
        <w:t>The TEC Board submission supported this point</w:t>
      </w:r>
      <w:r w:rsidR="004D497E">
        <w:t>:</w:t>
      </w:r>
      <w:r w:rsidRPr="00E8197B">
        <w:t xml:space="preserve"> </w:t>
      </w:r>
    </w:p>
    <w:p w:rsidRPr="00E8197B" w:rsidR="00E8197B" w:rsidP="00861397" w:rsidRDefault="00E8197B" w14:paraId="61BAA9C4" w14:textId="77777777">
      <w:pPr>
        <w:pStyle w:val="Quote"/>
      </w:pPr>
      <w:r w:rsidRPr="00E8197B">
        <w:t>We recommend considering how settings and incentives across the education and employment systems can interact to grow work-integrated and work-based learning.</w:t>
      </w:r>
    </w:p>
    <w:p w:rsidRPr="00E8197B" w:rsidR="00E8197B" w:rsidP="00D945B1" w:rsidRDefault="00E8197B" w14:paraId="510FA576" w14:textId="77777777">
      <w:pPr>
        <w:pStyle w:val="Heading4"/>
        <w:rPr>
          <w:b w:val="0"/>
          <w:bCs/>
        </w:rPr>
      </w:pPr>
      <w:r w:rsidRPr="00E8197B">
        <w:rPr>
          <w:bCs/>
        </w:rPr>
        <w:t>Other comments on the role of government agencies</w:t>
      </w:r>
    </w:p>
    <w:p w:rsidRPr="00E8197B" w:rsidR="00E8197B" w:rsidP="00E8197B" w:rsidRDefault="00E8197B" w14:paraId="604B70DD" w14:textId="53C93A07">
      <w:r w:rsidRPr="00E8197B">
        <w:t xml:space="preserve">Twenty-one submitters commented on </w:t>
      </w:r>
      <w:r w:rsidR="00491D81">
        <w:t xml:space="preserve">the </w:t>
      </w:r>
      <w:r w:rsidRPr="00E8197B">
        <w:t xml:space="preserve">role of government in supporting the tertiary education sector without making specific reference to an individual agency. This feedback centred on the importance of government </w:t>
      </w:r>
      <w:r w:rsidR="00A12FFB">
        <w:t xml:space="preserve">agencies </w:t>
      </w:r>
      <w:r w:rsidRPr="00E8197B">
        <w:t xml:space="preserve">working together to ensure settings are fit for purpose and </w:t>
      </w:r>
      <w:r w:rsidR="00362AF6">
        <w:t xml:space="preserve">a </w:t>
      </w:r>
      <w:r w:rsidRPr="00E8197B">
        <w:t xml:space="preserve">low compliance </w:t>
      </w:r>
      <w:r w:rsidR="00362AF6">
        <w:t xml:space="preserve">approach is used </w:t>
      </w:r>
      <w:r w:rsidRPr="00E8197B">
        <w:t xml:space="preserve">where appropriate. </w:t>
      </w:r>
    </w:p>
    <w:p w:rsidRPr="00E8197B" w:rsidR="00E8197B" w:rsidP="00861397" w:rsidRDefault="00E8197B" w14:paraId="4935B5B0" w14:textId="77777777">
      <w:pPr>
        <w:pStyle w:val="Quote"/>
      </w:pPr>
      <w:r w:rsidRPr="00E8197B">
        <w:t xml:space="preserve">A responsive government would trust providers to manage their resources efficiently while holding them accountable for high-level results. Instead of one-size-fits-all policies, funding decisions could be informed by a nuanced understanding of a provider's performance, student demographics, and regional needs. </w:t>
      </w:r>
      <w:r w:rsidRPr="00861397">
        <w:rPr>
          <w:i w:val="0"/>
          <w:iCs w:val="0"/>
        </w:rPr>
        <w:t>(QTI)</w:t>
      </w:r>
    </w:p>
    <w:p w:rsidRPr="00E8197B" w:rsidR="00E8197B" w:rsidP="00E8197B" w:rsidRDefault="00E8197B" w14:paraId="2C87EDE4" w14:textId="79904996">
      <w:r w:rsidRPr="00E8197B">
        <w:t>Business NZ also commented that government needs to be better linked up with agencies that fund delivery outside of the Education Budget line</w:t>
      </w:r>
      <w:r w:rsidR="007145CE">
        <w:t>:</w:t>
      </w:r>
      <w:r w:rsidRPr="00E8197B">
        <w:t xml:space="preserve"> </w:t>
      </w:r>
    </w:p>
    <w:p w:rsidRPr="00E8197B" w:rsidR="00E8197B" w:rsidP="00861397" w:rsidRDefault="00E8197B" w14:paraId="75BE0C35" w14:textId="77777777">
      <w:pPr>
        <w:pStyle w:val="Quote"/>
      </w:pPr>
      <w:proofErr w:type="spellStart"/>
      <w:r w:rsidRPr="00E8197B">
        <w:t>BusinessNZ</w:t>
      </w:r>
      <w:proofErr w:type="spellEnd"/>
      <w:r w:rsidRPr="00E8197B">
        <w:t xml:space="preserve"> has consistently highlighted in previous submissions on vocational education the need for stronger alignment between the Ministry of Social Development and the tertiary system.</w:t>
      </w:r>
    </w:p>
    <w:p w:rsidR="00CE5E1C" w:rsidRDefault="00E8197B" w14:paraId="74B1180C" w14:textId="192F6956">
      <w:r w:rsidRPr="00E8197B">
        <w:t xml:space="preserve">One submitter referenced the role that Immigration </w:t>
      </w:r>
      <w:r w:rsidR="008C6F0E">
        <w:t>New Zealand</w:t>
      </w:r>
      <w:r w:rsidRPr="00E8197B">
        <w:t xml:space="preserve"> </w:t>
      </w:r>
      <w:r w:rsidR="00E25767">
        <w:t xml:space="preserve">fills </w:t>
      </w:r>
      <w:r w:rsidRPr="00E8197B">
        <w:t xml:space="preserve">in allowing International Education </w:t>
      </w:r>
      <w:r w:rsidR="00E25767">
        <w:t>in</w:t>
      </w:r>
      <w:r w:rsidRPr="00E8197B">
        <w:t xml:space="preserve"> </w:t>
      </w:r>
      <w:r w:rsidR="00176A3E">
        <w:t>sup</w:t>
      </w:r>
      <w:r w:rsidR="00E25767">
        <w:t>p</w:t>
      </w:r>
      <w:r w:rsidR="00176A3E">
        <w:t>ort</w:t>
      </w:r>
      <w:r w:rsidR="00E25767">
        <w:t xml:space="preserve">ing the achievement of expected </w:t>
      </w:r>
      <w:r w:rsidRPr="00E8197B">
        <w:t>“</w:t>
      </w:r>
      <w:r w:rsidRPr="00E8197B">
        <w:rPr>
          <w:i/>
          <w:iCs/>
        </w:rPr>
        <w:t>economic growth, innovation and productivity</w:t>
      </w:r>
      <w:r w:rsidRPr="00E8197B">
        <w:t>”.</w:t>
      </w:r>
      <w:r w:rsidR="00CE5E1C">
        <w:br w:type="page"/>
      </w:r>
    </w:p>
    <w:p w:rsidRPr="00AD62F3" w:rsidR="00AD62F3" w:rsidP="00D945B1" w:rsidRDefault="00AD62F3" w14:paraId="6AB4791C" w14:textId="77777777">
      <w:pPr>
        <w:pStyle w:val="Heading1"/>
      </w:pPr>
      <w:bookmarkStart w:name="_Toc211314495" w:id="54"/>
      <w:bookmarkStart w:name="_Toc211348950" w:id="55"/>
      <w:r w:rsidRPr="00AD62F3">
        <w:t>Monitoring TES Outcomes and System Performance</w:t>
      </w:r>
      <w:bookmarkEnd w:id="54"/>
      <w:bookmarkEnd w:id="55"/>
      <w:r w:rsidRPr="00AD62F3">
        <w:t xml:space="preserve"> </w:t>
      </w:r>
    </w:p>
    <w:p w:rsidRPr="00AD62F3" w:rsidR="00AD62F3" w:rsidP="00AD62F3" w:rsidRDefault="00AD62F3" w14:paraId="289726B4" w14:textId="048ABACD">
      <w:r w:rsidRPr="00AD62F3">
        <w:t xml:space="preserve">This section of the draft TES outlined how government will monitor the implementation of the TES, outlining key success measures for each </w:t>
      </w:r>
      <w:r w:rsidR="00217DE3">
        <w:t>p</w:t>
      </w:r>
      <w:r w:rsidRPr="00AD62F3">
        <w:t>riority, including opportunities to strengthen these measures.</w:t>
      </w:r>
    </w:p>
    <w:p w:rsidRPr="00AD62F3" w:rsidR="00AD62F3" w:rsidP="00AD62F3" w:rsidRDefault="00AD62F3" w14:paraId="49B480B6" w14:textId="77777777">
      <w:r w:rsidRPr="00AD62F3">
        <w:t>Submitters were then asked:</w:t>
      </w:r>
    </w:p>
    <w:p w:rsidRPr="00861397" w:rsidR="00AD62F3" w:rsidP="00861397" w:rsidRDefault="00AD62F3" w14:paraId="2CBA9E3C" w14:textId="77777777">
      <w:pPr>
        <w:pStyle w:val="ListBullet"/>
        <w:rPr>
          <w:i/>
          <w:iCs/>
        </w:rPr>
      </w:pPr>
      <w:r w:rsidRPr="00861397">
        <w:rPr>
          <w:i/>
          <w:iCs/>
        </w:rPr>
        <w:t xml:space="preserve">Do you have any comments on the proposed approach to monitoring progress against the TES priorities? Please include suggestions for how progress could be monitored, including additional indicators. </w:t>
      </w:r>
    </w:p>
    <w:p w:rsidR="00B55F24" w:rsidP="00AD62F3" w:rsidRDefault="000765DE" w14:paraId="1BD64945" w14:textId="64A4FDA1">
      <w:r>
        <w:t>Thirty-one</w:t>
      </w:r>
      <w:r w:rsidR="00AC18E5">
        <w:t xml:space="preserve"> submitters </w:t>
      </w:r>
      <w:r w:rsidR="007E453B">
        <w:t>(</w:t>
      </w:r>
      <w:r w:rsidR="004261BC">
        <w:t>16</w:t>
      </w:r>
      <w:r w:rsidR="007E453B">
        <w:t xml:space="preserve"> TEOs, </w:t>
      </w:r>
      <w:r>
        <w:t>11 industry</w:t>
      </w:r>
      <w:r w:rsidR="004261BC">
        <w:t xml:space="preserve"> submitters</w:t>
      </w:r>
      <w:r w:rsidR="001B3C2D">
        <w:t>,</w:t>
      </w:r>
      <w:r>
        <w:t xml:space="preserve"> t</w:t>
      </w:r>
      <w:r w:rsidR="003D7147">
        <w:t>hree</w:t>
      </w:r>
      <w:r>
        <w:t xml:space="preserve"> research organisations</w:t>
      </w:r>
      <w:r w:rsidR="004261BC">
        <w:t>,</w:t>
      </w:r>
      <w:r w:rsidR="001B3C2D">
        <w:t xml:space="preserve"> and the TEC Board</w:t>
      </w:r>
      <w:r>
        <w:t>) provided comment on the overarching approach</w:t>
      </w:r>
      <w:r w:rsidR="003D7147">
        <w:t xml:space="preserve"> to mon</w:t>
      </w:r>
      <w:r w:rsidR="00B55F24">
        <w:t xml:space="preserve">itoring progress. </w:t>
      </w:r>
    </w:p>
    <w:p w:rsidR="00AD62F3" w:rsidP="00CB1074" w:rsidRDefault="00AD62F3" w14:paraId="09DD8EBA" w14:textId="77777777">
      <w:pPr>
        <w:pStyle w:val="Heading4"/>
      </w:pPr>
      <w:r w:rsidRPr="00AD62F3">
        <w:t>Achievement</w:t>
      </w:r>
    </w:p>
    <w:p w:rsidR="00921D16" w:rsidP="00921D16" w:rsidRDefault="00CB146E" w14:paraId="63AB048D" w14:textId="518171B0">
      <w:r>
        <w:t>Twenty-eight</w:t>
      </w:r>
      <w:r w:rsidR="00921D16">
        <w:t xml:space="preserve"> submitters (</w:t>
      </w:r>
      <w:r w:rsidR="00D675F5">
        <w:t>19</w:t>
      </w:r>
      <w:r w:rsidR="00306466">
        <w:t xml:space="preserve"> TEOs, </w:t>
      </w:r>
      <w:r w:rsidR="00D675F5">
        <w:t xml:space="preserve">five industry submitters, three educator/students, and </w:t>
      </w:r>
      <w:r w:rsidR="00306466">
        <w:t>the TEC Board)</w:t>
      </w:r>
      <w:r w:rsidR="00E953FB">
        <w:t xml:space="preserve"> </w:t>
      </w:r>
      <w:r w:rsidR="00921D16">
        <w:t xml:space="preserve">provided comment specifically on monitoring the Achievement priority. </w:t>
      </w:r>
    </w:p>
    <w:p w:rsidR="00F843A8" w:rsidP="00921D16" w:rsidRDefault="00F843A8" w14:paraId="3DC26F93" w14:textId="6B09D8BC">
      <w:r>
        <w:t xml:space="preserve">University submitters </w:t>
      </w:r>
      <w:r w:rsidRPr="00F843A8">
        <w:t>supported the introduction of more meaningful and flexible measures of learner achievement</w:t>
      </w:r>
      <w:r>
        <w:t>,</w:t>
      </w:r>
      <w:r w:rsidRPr="00F843A8">
        <w:t xml:space="preserve"> particularly “distance travelled” and employment outcomes</w:t>
      </w:r>
      <w:r>
        <w:t>.</w:t>
      </w:r>
      <w:r w:rsidRPr="00F843A8">
        <w:t xml:space="preserve"> They argued for a reduced and more focused set of indicators that balance quantitative and qualitative insights, allow for institutional flexibility, and avoid the distortions created by simplistic measures such as graduate earnings</w:t>
      </w:r>
      <w:r w:rsidR="005B4EF6">
        <w:t>.</w:t>
      </w:r>
    </w:p>
    <w:p w:rsidR="005B4EF6" w:rsidP="00970AC9" w:rsidRDefault="00970AC9" w14:paraId="07B96EE9" w14:textId="75BBCB30">
      <w:pPr>
        <w:pStyle w:val="Quote"/>
        <w:rPr>
          <w:i w:val="0"/>
          <w:iCs w:val="0"/>
        </w:rPr>
      </w:pPr>
      <w:r w:rsidRPr="00970AC9">
        <w:t>The current approach of using common sector-level KPIs directly for each institution should be altered to allow custom KPIs for each institution… [to] demonstrate how they impact the sector-level outcome-based indicators.</w:t>
      </w:r>
      <w:r w:rsidR="00000BD9">
        <w:t xml:space="preserve"> </w:t>
      </w:r>
      <w:r w:rsidR="00000BD9">
        <w:rPr>
          <w:i w:val="0"/>
          <w:iCs w:val="0"/>
        </w:rPr>
        <w:t>(University of Otago)</w:t>
      </w:r>
    </w:p>
    <w:p w:rsidR="00CD2268" w:rsidP="00CD2268" w:rsidRDefault="00CD2268" w14:paraId="2B7B77C7" w14:textId="21E34115">
      <w:pPr>
        <w:rPr>
          <w:color w:val="404040" w:themeColor="text1" w:themeTint="BF"/>
        </w:rPr>
      </w:pPr>
      <w:r>
        <w:rPr>
          <w:color w:val="404040" w:themeColor="text1" w:themeTint="BF"/>
        </w:rPr>
        <w:t xml:space="preserve">Other TEOs </w:t>
      </w:r>
      <w:r w:rsidR="0037223D">
        <w:rPr>
          <w:color w:val="404040" w:themeColor="text1" w:themeTint="BF"/>
        </w:rPr>
        <w:t xml:space="preserve">supported the universities feedback </w:t>
      </w:r>
      <w:proofErr w:type="gramStart"/>
      <w:r w:rsidR="0037223D">
        <w:rPr>
          <w:color w:val="404040" w:themeColor="text1" w:themeTint="BF"/>
        </w:rPr>
        <w:t>and also</w:t>
      </w:r>
      <w:proofErr w:type="gramEnd"/>
      <w:r w:rsidR="0037223D">
        <w:rPr>
          <w:color w:val="404040" w:themeColor="text1" w:themeTint="BF"/>
        </w:rPr>
        <w:t xml:space="preserve"> commented </w:t>
      </w:r>
      <w:r w:rsidRPr="0037223D" w:rsidR="0037223D">
        <w:rPr>
          <w:color w:val="404040" w:themeColor="text1" w:themeTint="BF"/>
        </w:rPr>
        <w:t xml:space="preserve">that monitoring should not be limited to economic or qualification-based outputs. They called for measures that recognise wider contributions alongside learner-centred evidence such as learner voice, employer feedback, and whānau perspectives. </w:t>
      </w:r>
      <w:r w:rsidR="004A556E">
        <w:rPr>
          <w:color w:val="404040" w:themeColor="text1" w:themeTint="BF"/>
        </w:rPr>
        <w:t xml:space="preserve">Submitters </w:t>
      </w:r>
      <w:r w:rsidRPr="0037223D" w:rsidR="0037223D">
        <w:rPr>
          <w:color w:val="404040" w:themeColor="text1" w:themeTint="BF"/>
        </w:rPr>
        <w:t>cautioned that overemphasising completions and earnings risks distorting provider behaviour and disadvantaging underserved learners.</w:t>
      </w:r>
    </w:p>
    <w:p w:rsidR="00EB6167" w:rsidP="00C97A63" w:rsidRDefault="00C97A63" w14:paraId="551CD104" w14:textId="13FCAE92">
      <w:pPr>
        <w:pStyle w:val="Quote"/>
        <w:rPr>
          <w:i w:val="0"/>
          <w:iCs w:val="0"/>
        </w:rPr>
      </w:pPr>
      <w:r w:rsidRPr="00C97A63">
        <w:t>Hard reliance on completions and graduate earnings will skew provider behaviours (and underserved learners might get ignored in the process</w:t>
      </w:r>
      <w:r>
        <w:t xml:space="preserve">. </w:t>
      </w:r>
      <w:r>
        <w:rPr>
          <w:i w:val="0"/>
          <w:iCs w:val="0"/>
        </w:rPr>
        <w:t>(Ako Aotearoa)</w:t>
      </w:r>
    </w:p>
    <w:p w:rsidR="004A556E" w:rsidP="004A556E" w:rsidRDefault="004A556E" w14:paraId="2C2E9313" w14:textId="76F5BCEA">
      <w:pPr>
        <w:rPr>
          <w:color w:val="404040" w:themeColor="text1" w:themeTint="BF"/>
        </w:rPr>
      </w:pPr>
      <w:r>
        <w:rPr>
          <w:color w:val="404040" w:themeColor="text1" w:themeTint="BF"/>
        </w:rPr>
        <w:t xml:space="preserve">These </w:t>
      </w:r>
      <w:r w:rsidR="00403A5D">
        <w:rPr>
          <w:color w:val="404040" w:themeColor="text1" w:themeTint="BF"/>
        </w:rPr>
        <w:t>submitters</w:t>
      </w:r>
      <w:r w:rsidRPr="004A556E">
        <w:rPr>
          <w:color w:val="404040" w:themeColor="text1" w:themeTint="BF"/>
        </w:rPr>
        <w:t xml:space="preserve"> supported the intent of “distance travelled” but wanted clearer guidance on its design, consistent implementation across agencies, and better system data integration to make it meaningful. They recommended aligning secondary and </w:t>
      </w:r>
      <w:r w:rsidRPr="004A556E">
        <w:rPr>
          <w:color w:val="404040" w:themeColor="text1" w:themeTint="BF"/>
        </w:rPr>
        <w:t xml:space="preserve">tertiary reporting to track learner progress, recognising non-linear pathways like staircasing, and sharing data across government to avoid duplication. </w:t>
      </w:r>
      <w:r w:rsidR="00927FEC">
        <w:rPr>
          <w:color w:val="404040" w:themeColor="text1" w:themeTint="BF"/>
        </w:rPr>
        <w:t xml:space="preserve">Like the universities they </w:t>
      </w:r>
      <w:r w:rsidRPr="004A556E">
        <w:rPr>
          <w:color w:val="404040" w:themeColor="text1" w:themeTint="BF"/>
        </w:rPr>
        <w:t>also noted the need to reflect the time, effort, and context of different qualification levels, rather than applying uniform expectations.</w:t>
      </w:r>
    </w:p>
    <w:p w:rsidRPr="00AA0F35" w:rsidR="00AA0F35" w:rsidP="007F7D61" w:rsidRDefault="00AA0F35" w14:paraId="4086432D" w14:textId="186FE6FA">
      <w:pPr>
        <w:pStyle w:val="Quote"/>
        <w:rPr>
          <w:i w:val="0"/>
          <w:iCs w:val="0"/>
        </w:rPr>
      </w:pPr>
      <w:r w:rsidRPr="00AA0F35">
        <w:t xml:space="preserve">A seamless approach to learner reporting from their time in the secondary setting to tertiary should be established to track success of the education system </w:t>
      </w:r>
      <w:proofErr w:type="gramStart"/>
      <w:r w:rsidRPr="00AA0F35">
        <w:t>support as a whole</w:t>
      </w:r>
      <w:proofErr w:type="gramEnd"/>
      <w:r w:rsidRPr="00AA0F35">
        <w:t>.</w:t>
      </w:r>
      <w:r>
        <w:t xml:space="preserve"> </w:t>
      </w:r>
      <w:r>
        <w:rPr>
          <w:i w:val="0"/>
          <w:iCs w:val="0"/>
        </w:rPr>
        <w:t>(</w:t>
      </w:r>
      <w:proofErr w:type="spellStart"/>
      <w:r>
        <w:rPr>
          <w:i w:val="0"/>
          <w:iCs w:val="0"/>
        </w:rPr>
        <w:t>Competenz</w:t>
      </w:r>
      <w:proofErr w:type="spellEnd"/>
      <w:r>
        <w:rPr>
          <w:i w:val="0"/>
          <w:iCs w:val="0"/>
        </w:rPr>
        <w:t>)</w:t>
      </w:r>
    </w:p>
    <w:p w:rsidRPr="00BB567C" w:rsidR="00927FEC" w:rsidP="007F7D61" w:rsidRDefault="007F7D61" w14:paraId="36464180" w14:textId="272D6CB4">
      <w:pPr>
        <w:pStyle w:val="Quote"/>
        <w:rPr>
          <w:i w:val="0"/>
          <w:iCs w:val="0"/>
        </w:rPr>
      </w:pPr>
      <w:r w:rsidRPr="007F7D61">
        <w:t>Clarify the concept of ‘distance travelled’… time and effort (not just qualification level) must be recognised in measuring learner progress</w:t>
      </w:r>
      <w:r>
        <w:t>.</w:t>
      </w:r>
      <w:r w:rsidR="00BB567C">
        <w:t xml:space="preserve"> </w:t>
      </w:r>
      <w:r w:rsidR="00BB567C">
        <w:rPr>
          <w:i w:val="0"/>
          <w:iCs w:val="0"/>
        </w:rPr>
        <w:t xml:space="preserve">(Whitireia and </w:t>
      </w:r>
      <w:proofErr w:type="spellStart"/>
      <w:r w:rsidR="00BB567C">
        <w:rPr>
          <w:i w:val="0"/>
          <w:iCs w:val="0"/>
        </w:rPr>
        <w:t>Weltec</w:t>
      </w:r>
      <w:proofErr w:type="spellEnd"/>
      <w:r w:rsidR="00BB567C">
        <w:rPr>
          <w:i w:val="0"/>
          <w:iCs w:val="0"/>
        </w:rPr>
        <w:t>)</w:t>
      </w:r>
    </w:p>
    <w:p w:rsidR="007F7D61" w:rsidP="007F7D61" w:rsidRDefault="00A70114" w14:paraId="6A2DD171" w14:textId="7650751A">
      <w:r>
        <w:t xml:space="preserve">The TEC Board commented </w:t>
      </w:r>
      <w:r w:rsidR="00292C54">
        <w:t>that s</w:t>
      </w:r>
      <w:r w:rsidRPr="00292C54" w:rsidR="00292C54">
        <w:t>trengthened monitoring in these areas would improve understanding of system performance, support better government policy and investment decisions, and ultimately enhance learner outcomes and economic growth.</w:t>
      </w:r>
    </w:p>
    <w:p w:rsidR="00292C54" w:rsidP="007F7D61" w:rsidRDefault="003F0076" w14:paraId="08C280D5" w14:textId="7EB8D8A4">
      <w:pPr>
        <w:rPr>
          <w:i/>
          <w:iCs/>
        </w:rPr>
      </w:pPr>
      <w:r w:rsidRPr="003F0076">
        <w:t xml:space="preserve">Educators and students called for the TES to move beyond narrow measures such as qualification completions and employment outcomes, to recognise academic progress, intellectual growth, civic engagement, and cultural development as integral aspects of achievement. </w:t>
      </w:r>
      <w:r>
        <w:t>However, t</w:t>
      </w:r>
      <w:r w:rsidRPr="003F0076">
        <w:t>hey also cautioned that initiatives like “distance travelled”</w:t>
      </w:r>
      <w:r w:rsidR="00C12E24">
        <w:t xml:space="preserve"> with one student association highlighting that these “</w:t>
      </w:r>
      <w:r w:rsidRPr="00C12E24" w:rsidR="00C12E24">
        <w:rPr>
          <w:i/>
          <w:iCs/>
        </w:rPr>
        <w:t>will remain tokenistic if not properly resourced and implemented”.</w:t>
      </w:r>
    </w:p>
    <w:p w:rsidR="00942518" w:rsidP="007F7D61" w:rsidRDefault="00942518" w14:paraId="160FDBB9" w14:textId="71447D5A">
      <w:r w:rsidRPr="00942518">
        <w:t>Industry s</w:t>
      </w:r>
      <w:r w:rsidR="00D336D5">
        <w:t>ubmitters</w:t>
      </w:r>
      <w:r w:rsidRPr="00942518">
        <w:t xml:space="preserve"> emphasised that achievement monitoring should better reflect skills development, practical competence, and mobility across learning and work contexts, rather than narrowly focusing on qualification completion. They highlighted the need for measures that recognise career progression, applied learning, and creative or entrepreneurial outcomes, and for assessment approaches that do not disadvantage capable workers who struggle with traditional evidence requirements.</w:t>
      </w:r>
    </w:p>
    <w:p w:rsidRPr="00A12A67" w:rsidR="00552178" w:rsidP="004126E0" w:rsidRDefault="00EB7013" w14:paraId="301E7171" w14:textId="16B891F6">
      <w:pPr>
        <w:pStyle w:val="Quote"/>
        <w:rPr>
          <w:i w:val="0"/>
          <w:iCs w:val="0"/>
        </w:rPr>
      </w:pPr>
      <w:r w:rsidRPr="00EB7013">
        <w:t>System-level monitoring… must be redesigned to better enable mobility of learning, recognising progression and skills acquisition across contexts rather than treating anything short of completion with a single provider as failure.</w:t>
      </w:r>
      <w:r w:rsidR="00A12A67">
        <w:t xml:space="preserve"> </w:t>
      </w:r>
      <w:r w:rsidR="00A12A67">
        <w:rPr>
          <w:i w:val="0"/>
          <w:iCs w:val="0"/>
        </w:rPr>
        <w:t>(Business NZ)</w:t>
      </w:r>
    </w:p>
    <w:p w:rsidRPr="00AD62F3" w:rsidR="00AD62F3" w:rsidP="00CB1074" w:rsidRDefault="00AD62F3" w14:paraId="61B5DD82" w14:textId="77777777">
      <w:pPr>
        <w:pStyle w:val="Heading4"/>
      </w:pPr>
      <w:r w:rsidRPr="00AD62F3">
        <w:t>Economic Impact and Innovation</w:t>
      </w:r>
    </w:p>
    <w:p w:rsidR="00262F8B" w:rsidP="00AD62F3" w:rsidRDefault="00FC737A" w14:paraId="136EAA1B" w14:textId="209B1DCD">
      <w:r>
        <w:t>Fifteen submitters (</w:t>
      </w:r>
      <w:r w:rsidR="00DC09AF">
        <w:t>seven</w:t>
      </w:r>
      <w:r w:rsidR="00746D07">
        <w:t xml:space="preserve"> TEOs, </w:t>
      </w:r>
      <w:r w:rsidR="00DC09AF">
        <w:t xml:space="preserve">six industry submitters, </w:t>
      </w:r>
      <w:r w:rsidR="003748CA">
        <w:t>one student association, and one research organisation)</w:t>
      </w:r>
      <w:r w:rsidR="00E15DC1">
        <w:t xml:space="preserve"> commented on approaches to monitoring economic impact and innovation. </w:t>
      </w:r>
    </w:p>
    <w:p w:rsidR="00374AF4" w:rsidP="00AD62F3" w:rsidRDefault="00DC09AF" w14:paraId="0C553CA5" w14:textId="31BEC982">
      <w:r>
        <w:t>The</w:t>
      </w:r>
      <w:r w:rsidR="00262F8B">
        <w:t xml:space="preserve"> TEO s</w:t>
      </w:r>
      <w:r w:rsidRPr="00E15DC1" w:rsidR="00E15DC1">
        <w:t>ubmitters supported tracking long</w:t>
      </w:r>
      <w:r w:rsidR="00E15DC1">
        <w:t>er</w:t>
      </w:r>
      <w:r w:rsidRPr="00E15DC1" w:rsidR="00E15DC1">
        <w:t xml:space="preserve">-term graduate outcomes (over five to ten years) to understand the sustained economic and employment impact of tertiary education. They also called for indicators that capture community wellbeing, research capability, and the contributions of under-served groups. </w:t>
      </w:r>
    </w:p>
    <w:p w:rsidR="00AD62F3" w:rsidP="00AD62F3" w:rsidRDefault="00262F8B" w14:paraId="18FFAE7A" w14:textId="4954237A">
      <w:r>
        <w:t>These s</w:t>
      </w:r>
      <w:r w:rsidR="007222A6">
        <w:t>ubmitters recognised</w:t>
      </w:r>
      <w:r w:rsidRPr="00E15DC1" w:rsidR="00E15DC1">
        <w:t xml:space="preserve"> that economic metrics such as employment and income must be interpreted carefully to avoid misleading conclusions and to recognise ongoing industry investment in research and skills.</w:t>
      </w:r>
    </w:p>
    <w:p w:rsidR="007222A6" w:rsidP="00374AF4" w:rsidRDefault="00374AF4" w14:paraId="705BEB44" w14:textId="0536258C">
      <w:pPr>
        <w:pStyle w:val="Quote"/>
        <w:rPr>
          <w:i w:val="0"/>
          <w:iCs w:val="0"/>
        </w:rPr>
      </w:pPr>
      <w:r w:rsidRPr="00374AF4">
        <w:t xml:space="preserve">Employment metrics can be misleading… the measurement of research uptake by industry is likely to be complex and require a proxy </w:t>
      </w:r>
      <w:proofErr w:type="gramStart"/>
      <w:r w:rsidRPr="00374AF4">
        <w:t>measure, but</w:t>
      </w:r>
      <w:proofErr w:type="gramEnd"/>
      <w:r w:rsidRPr="00374AF4">
        <w:t xml:space="preserve"> is also only one part of the picture.</w:t>
      </w:r>
      <w:r w:rsidR="00262F8B">
        <w:t xml:space="preserve"> </w:t>
      </w:r>
      <w:r w:rsidR="00262F8B">
        <w:rPr>
          <w:i w:val="0"/>
          <w:iCs w:val="0"/>
        </w:rPr>
        <w:t>(Massey University)</w:t>
      </w:r>
    </w:p>
    <w:p w:rsidR="005E7EB5" w:rsidP="005E7EB5" w:rsidRDefault="005E7EB5" w14:paraId="567D4B43" w14:textId="59956DF2">
      <w:pPr>
        <w:rPr>
          <w:color w:val="404040" w:themeColor="text1" w:themeTint="BF"/>
        </w:rPr>
      </w:pPr>
      <w:r>
        <w:rPr>
          <w:color w:val="404040" w:themeColor="text1" w:themeTint="BF"/>
        </w:rPr>
        <w:t xml:space="preserve">These submitters also commented on the relationship with the funding system and </w:t>
      </w:r>
      <w:r w:rsidRPr="005E7EB5">
        <w:rPr>
          <w:color w:val="404040" w:themeColor="text1" w:themeTint="BF"/>
        </w:rPr>
        <w:t xml:space="preserve">argued that </w:t>
      </w:r>
      <w:r>
        <w:rPr>
          <w:color w:val="404040" w:themeColor="text1" w:themeTint="BF"/>
        </w:rPr>
        <w:t>it</w:t>
      </w:r>
      <w:r w:rsidRPr="005E7EB5">
        <w:rPr>
          <w:color w:val="404040" w:themeColor="text1" w:themeTint="BF"/>
        </w:rPr>
        <w:t xml:space="preserve"> must incentivise innovation and responsiveness to industry and learner demand. They recommended rewarding over-achievement in meeting market needs and strengthening accountability measures for underperforming institutions.</w:t>
      </w:r>
    </w:p>
    <w:p w:rsidR="003170CC" w:rsidP="003170CC" w:rsidRDefault="003170CC" w14:paraId="6ED54424" w14:textId="0F376114">
      <w:pPr>
        <w:pStyle w:val="Quote"/>
        <w:rPr>
          <w:i w:val="0"/>
          <w:iCs w:val="0"/>
        </w:rPr>
      </w:pPr>
      <w:r w:rsidRPr="003170CC">
        <w:t>Establishing performance levers and accountability measures for underperforming providers drives continuous improvement and safeguards public investment.</w:t>
      </w:r>
      <w:r w:rsidR="0083764B">
        <w:t xml:space="preserve"> </w:t>
      </w:r>
      <w:r w:rsidR="0083764B">
        <w:rPr>
          <w:i w:val="0"/>
          <w:iCs w:val="0"/>
        </w:rPr>
        <w:t>(MITO)</w:t>
      </w:r>
    </w:p>
    <w:p w:rsidR="00C41735" w:rsidP="00C41735" w:rsidRDefault="00C41735" w14:paraId="1ECE9C02" w14:textId="729532FE">
      <w:pPr>
        <w:rPr>
          <w:color w:val="404040" w:themeColor="text1" w:themeTint="BF"/>
        </w:rPr>
      </w:pPr>
      <w:r>
        <w:rPr>
          <w:color w:val="404040" w:themeColor="text1" w:themeTint="BF"/>
        </w:rPr>
        <w:t xml:space="preserve">Industry submitters </w:t>
      </w:r>
      <w:r w:rsidRPr="00C41735">
        <w:rPr>
          <w:color w:val="404040" w:themeColor="text1" w:themeTint="BF"/>
        </w:rPr>
        <w:t>highlighted the need for a wider set of indicators to capture the full contribution of tertiary education to the economy, innovation, and industry development. They argued that monitoring should go beyond traditional graduate employment rates to include measures of skills relevance, research impact, productivity, and creative entrepreneurship. This would ensure that diverse forms of success</w:t>
      </w:r>
      <w:r>
        <w:rPr>
          <w:color w:val="404040" w:themeColor="text1" w:themeTint="BF"/>
        </w:rPr>
        <w:t>,</w:t>
      </w:r>
      <w:r w:rsidRPr="00C41735">
        <w:rPr>
          <w:color w:val="404040" w:themeColor="text1" w:themeTint="BF"/>
        </w:rPr>
        <w:t xml:space="preserve"> including unqualified but valued employees, freelancers, and creative professionals</w:t>
      </w:r>
      <w:r>
        <w:rPr>
          <w:color w:val="404040" w:themeColor="text1" w:themeTint="BF"/>
        </w:rPr>
        <w:t>,</w:t>
      </w:r>
      <w:r w:rsidRPr="00C41735">
        <w:rPr>
          <w:color w:val="404040" w:themeColor="text1" w:themeTint="BF"/>
        </w:rPr>
        <w:t xml:space="preserve"> are properly recognised.</w:t>
      </w:r>
    </w:p>
    <w:p w:rsidRPr="0051456C" w:rsidR="00DE5FFD" w:rsidP="00DE5FFD" w:rsidRDefault="00DE5FFD" w14:paraId="2E82ACD2" w14:textId="2187BF5C">
      <w:pPr>
        <w:pStyle w:val="Quote"/>
        <w:rPr>
          <w:i w:val="0"/>
          <w:iCs w:val="0"/>
        </w:rPr>
      </w:pPr>
      <w:r w:rsidRPr="00DE5FFD">
        <w:t>Consider a broader range of economic monitoring measures… labour market outcomes, skills relevance and utilisation, innovation and research impact, labour productivity measures.</w:t>
      </w:r>
      <w:r w:rsidR="0051456C">
        <w:t xml:space="preserve"> </w:t>
      </w:r>
      <w:r w:rsidR="0051456C">
        <w:rPr>
          <w:i w:val="0"/>
          <w:iCs w:val="0"/>
        </w:rPr>
        <w:t>(Business NZ)</w:t>
      </w:r>
    </w:p>
    <w:p w:rsidRPr="00AD62F3" w:rsidR="00AD62F3" w:rsidP="00CB1074" w:rsidRDefault="00AD62F3" w14:paraId="23D54787" w14:textId="77777777">
      <w:pPr>
        <w:pStyle w:val="Heading4"/>
      </w:pPr>
      <w:r w:rsidRPr="00AD62F3">
        <w:t>Access and Participation</w:t>
      </w:r>
    </w:p>
    <w:p w:rsidR="00AD62F3" w:rsidP="00AD62F3" w:rsidRDefault="00BB713B" w14:paraId="4825CB47" w14:textId="288C7D6D">
      <w:r>
        <w:t>Ten submitters (</w:t>
      </w:r>
      <w:r w:rsidR="002A6ED5">
        <w:t>seven</w:t>
      </w:r>
      <w:r w:rsidR="00E77D65">
        <w:t xml:space="preserve"> TEOs, </w:t>
      </w:r>
      <w:r w:rsidR="002A6ED5">
        <w:t xml:space="preserve">two industry submitters, and </w:t>
      </w:r>
      <w:r w:rsidR="00E77D65">
        <w:t xml:space="preserve">one student association) </w:t>
      </w:r>
      <w:r w:rsidR="00115763">
        <w:t xml:space="preserve">commented on </w:t>
      </w:r>
      <w:r w:rsidR="00DC5131">
        <w:t xml:space="preserve">monitoring access and participation and </w:t>
      </w:r>
      <w:r w:rsidRPr="00DC5131" w:rsidR="00DC5131">
        <w:t>called for disaggregated, quantitative data on participation, retention, and achievement</w:t>
      </w:r>
      <w:r w:rsidR="00DC5131">
        <w:t xml:space="preserve"> for priority groups, </w:t>
      </w:r>
      <w:r w:rsidRPr="00DC5131" w:rsidR="00DC5131">
        <w:t>particularly for Māori, Pacific peoples, disabled learners, and those from low-income backgrounds. They emphasised the need for clear, measurable reporting that shows actual numbers rather than percentages to make disparities more visible.</w:t>
      </w:r>
    </w:p>
    <w:p w:rsidR="00DC5131" w:rsidP="00257FF5" w:rsidRDefault="00257FF5" w14:paraId="743D0337" w14:textId="42E4FF70">
      <w:pPr>
        <w:pStyle w:val="Quote"/>
        <w:rPr>
          <w:i w:val="0"/>
          <w:iCs w:val="0"/>
        </w:rPr>
      </w:pPr>
      <w:r w:rsidRPr="00257FF5">
        <w:t xml:space="preserve">Setting quantitative targets… would clearly signal the level of ambition within the </w:t>
      </w:r>
      <w:proofErr w:type="gramStart"/>
      <w:r w:rsidRPr="00257FF5">
        <w:t>strategy, and</w:t>
      </w:r>
      <w:proofErr w:type="gramEnd"/>
      <w:r w:rsidRPr="00257FF5">
        <w:t xml:space="preserve"> allow ready disaggregation of the measures and targets by individual providers.</w:t>
      </w:r>
      <w:r>
        <w:t xml:space="preserve"> </w:t>
      </w:r>
      <w:r>
        <w:rPr>
          <w:i w:val="0"/>
          <w:iCs w:val="0"/>
        </w:rPr>
        <w:t>(University of Canterbury)</w:t>
      </w:r>
    </w:p>
    <w:p w:rsidR="00BD2DCD" w:rsidP="00BD2DCD" w:rsidRDefault="00FA44B5" w14:paraId="5C8044DD" w14:textId="71C72DFE">
      <w:pPr>
        <w:rPr>
          <w:color w:val="404040" w:themeColor="text1" w:themeTint="BF"/>
        </w:rPr>
      </w:pPr>
      <w:r>
        <w:rPr>
          <w:color w:val="404040" w:themeColor="text1" w:themeTint="BF"/>
        </w:rPr>
        <w:t>Two s</w:t>
      </w:r>
      <w:r w:rsidR="00BD2DCD">
        <w:rPr>
          <w:color w:val="404040" w:themeColor="text1" w:themeTint="BF"/>
        </w:rPr>
        <w:t xml:space="preserve">ubmitters </w:t>
      </w:r>
      <w:r w:rsidR="006D39FF">
        <w:rPr>
          <w:color w:val="404040" w:themeColor="text1" w:themeTint="BF"/>
        </w:rPr>
        <w:t>wanted</w:t>
      </w:r>
      <w:r w:rsidR="00BD2DCD">
        <w:rPr>
          <w:color w:val="404040" w:themeColor="text1" w:themeTint="BF"/>
        </w:rPr>
        <w:t xml:space="preserve"> access and participation </w:t>
      </w:r>
      <w:r w:rsidR="006D39FF">
        <w:rPr>
          <w:color w:val="404040" w:themeColor="text1" w:themeTint="BF"/>
        </w:rPr>
        <w:t>monitoring being about more than enrolment numbers</w:t>
      </w:r>
      <w:r w:rsidRPr="006D39FF" w:rsidR="006D39FF">
        <w:rPr>
          <w:color w:val="404040" w:themeColor="text1" w:themeTint="BF"/>
        </w:rPr>
        <w:t xml:space="preserve"> to include indicators of wellbeing, engagement, and inclusion. They viewed these as essential to understanding whether learners are genuinely participating and succeeding.</w:t>
      </w:r>
    </w:p>
    <w:p w:rsidR="00FA44B5" w:rsidP="00FA3FD5" w:rsidRDefault="00FA3FD5" w14:paraId="06005B23" w14:textId="6FE48CD0">
      <w:pPr>
        <w:pStyle w:val="Quote"/>
        <w:rPr>
          <w:i w:val="0"/>
          <w:iCs w:val="0"/>
        </w:rPr>
      </w:pPr>
      <w:r w:rsidRPr="00FA3FD5">
        <w:t>It is essential to track and monitor wellbeing and learner engagement as part of system performance.</w:t>
      </w:r>
      <w:r>
        <w:t xml:space="preserve"> </w:t>
      </w:r>
      <w:r>
        <w:rPr>
          <w:i w:val="0"/>
          <w:iCs w:val="0"/>
        </w:rPr>
        <w:t>(Ako Aotearoa)</w:t>
      </w:r>
    </w:p>
    <w:p w:rsidRPr="00AD62F3" w:rsidR="00AD62F3" w:rsidP="00CB1074" w:rsidRDefault="00AD62F3" w14:paraId="6CF43656" w14:textId="77777777">
      <w:pPr>
        <w:pStyle w:val="Heading4"/>
      </w:pPr>
      <w:r w:rsidRPr="00AD62F3">
        <w:t>Integration and Collaboration</w:t>
      </w:r>
    </w:p>
    <w:p w:rsidR="00BE493B" w:rsidP="00AD62F3" w:rsidRDefault="00D91142" w14:paraId="2BB04B35" w14:textId="352840FD">
      <w:r>
        <w:t xml:space="preserve">Four submitters (two TEOs, one industry, and one research organisation) </w:t>
      </w:r>
      <w:r w:rsidR="0085263B">
        <w:t xml:space="preserve">emphasised the relationship between collaboration and cross-sector </w:t>
      </w:r>
      <w:r w:rsidRPr="0085263B" w:rsidR="0085263B">
        <w:t xml:space="preserve">data collection and public reporting to enable shared learning, improve efficiency, and strengthen collaboration across the tertiary system. </w:t>
      </w:r>
    </w:p>
    <w:p w:rsidR="00AD62F3" w:rsidP="00AD62F3" w:rsidRDefault="00005FE2" w14:paraId="6FD56F62" w14:textId="2CAAB361">
      <w:r>
        <w:t>Three submitter</w:t>
      </w:r>
      <w:r w:rsidRPr="0085263B" w:rsidR="0085263B">
        <w:t xml:space="preserve"> proposed national data platforms and capability measures that would allow providers—large and small—to benchmark performance, identify gaps, and reduce duplication.</w:t>
      </w:r>
    </w:p>
    <w:p w:rsidR="00005FE2" w:rsidP="00BE493B" w:rsidRDefault="00BE493B" w14:paraId="68B0A211" w14:textId="72832837">
      <w:pPr>
        <w:pStyle w:val="Quote"/>
        <w:rPr>
          <w:i w:val="0"/>
          <w:iCs w:val="0"/>
        </w:rPr>
      </w:pPr>
      <w:r w:rsidRPr="00BE493B">
        <w:t>Monitoring and evaluation should be consistent across providers (however realistic this could be), data dashboards should be publicly available so smaller providers can do their own internal analyses using the nation-wide data sets readily available.</w:t>
      </w:r>
      <w:r>
        <w:t xml:space="preserve"> </w:t>
      </w:r>
      <w:r>
        <w:rPr>
          <w:i w:val="0"/>
          <w:iCs w:val="0"/>
        </w:rPr>
        <w:t>(Ako Aotearoa)</w:t>
      </w:r>
    </w:p>
    <w:p w:rsidR="00BE493B" w:rsidP="00BE493B" w:rsidRDefault="00100607" w14:paraId="71422F9F" w14:textId="7D1CEABB">
      <w:r>
        <w:t xml:space="preserve">This feedback was supported by a call for </w:t>
      </w:r>
      <w:r w:rsidRPr="00100607">
        <w:t>structures that make collaboration more tangible</w:t>
      </w:r>
      <w:r w:rsidR="00B973E8">
        <w:t>, including</w:t>
      </w:r>
      <w:r>
        <w:t xml:space="preserve"> </w:t>
      </w:r>
      <w:r w:rsidRPr="00100607">
        <w:t>a national framework for recognising prior learning, shared industry projects, and international partnerships. These mechanisms would make it easier for learners to move across the system and for providers and industries to work together on innovation and workforce development.</w:t>
      </w:r>
      <w:r w:rsidR="007F0380">
        <w:t xml:space="preserve"> One PTE submitter explained: </w:t>
      </w:r>
    </w:p>
    <w:p w:rsidRPr="00D57B19" w:rsidR="00D57B19" w:rsidP="00D57B19" w:rsidRDefault="00D57B19" w14:paraId="7D13F5FB" w14:textId="22BF10F3">
      <w:pPr>
        <w:pStyle w:val="Quote"/>
        <w:rPr>
          <w:i w:val="0"/>
          <w:iCs w:val="0"/>
        </w:rPr>
      </w:pPr>
      <w:r w:rsidRPr="00D57B19">
        <w:t>This would be a game-changer for collaboration, as it would enable students to move seamlessly through the system, and it would encourage providers to work together to create clearer, more flexible learning pathways.</w:t>
      </w:r>
      <w:r>
        <w:t xml:space="preserve"> </w:t>
      </w:r>
      <w:r>
        <w:rPr>
          <w:i w:val="0"/>
          <w:iCs w:val="0"/>
        </w:rPr>
        <w:t>(QTI)</w:t>
      </w:r>
    </w:p>
    <w:p w:rsidRPr="00AD62F3" w:rsidR="00AD62F3" w:rsidP="00CB1074" w:rsidRDefault="00AD62F3" w14:paraId="6A1F0367" w14:textId="71EB6913">
      <w:pPr>
        <w:pStyle w:val="Heading4"/>
      </w:pPr>
      <w:r w:rsidRPr="00AD62F3">
        <w:t xml:space="preserve">International </w:t>
      </w:r>
      <w:r w:rsidR="00D0733C">
        <w:t>E</w:t>
      </w:r>
      <w:r w:rsidRPr="00AD62F3">
        <w:t>ducation</w:t>
      </w:r>
    </w:p>
    <w:p w:rsidRPr="00EC3872" w:rsidR="00AD62F3" w:rsidP="00AD62F3" w:rsidRDefault="00C6345F" w14:paraId="42D2698C" w14:textId="42FCB948">
      <w:r>
        <w:t>Two submitters (one educator and one industry)</w:t>
      </w:r>
      <w:r w:rsidR="00B15143">
        <w:t xml:space="preserve">. </w:t>
      </w:r>
      <w:r w:rsidR="004C391A">
        <w:t>The TEU</w:t>
      </w:r>
      <w:r w:rsidR="00B15143">
        <w:t xml:space="preserve"> </w:t>
      </w:r>
      <w:r w:rsidR="00DE5271">
        <w:t xml:space="preserve">commented on the need </w:t>
      </w:r>
      <w:r w:rsidR="00EC3872">
        <w:t>for commitment and tracking of</w:t>
      </w:r>
      <w:r w:rsidR="00DE5271">
        <w:t xml:space="preserve"> </w:t>
      </w:r>
      <w:r w:rsidRPr="004C391A" w:rsidR="004C391A">
        <w:rPr>
          <w:i/>
          <w:iCs/>
        </w:rPr>
        <w:t>“high-quality teaching and research conditions”</w:t>
      </w:r>
      <w:r w:rsidR="004C391A">
        <w:t xml:space="preserve"> and </w:t>
      </w:r>
      <w:r w:rsidRPr="004C391A" w:rsidR="004C391A">
        <w:rPr>
          <w:i/>
          <w:iCs/>
        </w:rPr>
        <w:t>“protections for the wellbeing and rights of international students”</w:t>
      </w:r>
      <w:r w:rsidR="00EC3872">
        <w:rPr>
          <w:i/>
          <w:iCs/>
        </w:rPr>
        <w:t xml:space="preserve">. </w:t>
      </w:r>
      <w:r w:rsidR="00EC3872">
        <w:t xml:space="preserve">The </w:t>
      </w:r>
      <w:r w:rsidR="004B3EBC">
        <w:t>Tourism Industry Association referred to the relationship between international education and tourism and th</w:t>
      </w:r>
      <w:r w:rsidR="00F505C1">
        <w:t xml:space="preserve">e need for the two sectors to work together to achieve the targets set out in the </w:t>
      </w:r>
      <w:r w:rsidR="003D7BD7">
        <w:t>International Education Going for Growth Plan.</w:t>
      </w:r>
    </w:p>
    <w:p w:rsidRPr="00AD62F3" w:rsidR="00AD62F3" w:rsidP="00CB1074" w:rsidRDefault="0074287C" w14:paraId="1D28059D" w14:textId="45562E0E">
      <w:pPr>
        <w:pStyle w:val="Heading4"/>
      </w:pPr>
      <w:r>
        <w:t>Other feedback including a</w:t>
      </w:r>
      <w:r w:rsidRPr="00AD62F3" w:rsidR="00AD62F3">
        <w:t xml:space="preserve">dditional </w:t>
      </w:r>
      <w:r>
        <w:t>i</w:t>
      </w:r>
      <w:r w:rsidRPr="00AD62F3" w:rsidR="00AD62F3">
        <w:t>ndicators</w:t>
      </w:r>
    </w:p>
    <w:p w:rsidR="0074287C" w:rsidP="0074287C" w:rsidRDefault="00A01997" w14:paraId="434D9F11" w14:textId="584518A6">
      <w:r>
        <w:t xml:space="preserve">Other feedback was received </w:t>
      </w:r>
      <w:r w:rsidR="008B0B6D">
        <w:t xml:space="preserve">from </w:t>
      </w:r>
      <w:r w:rsidR="001211ED">
        <w:t xml:space="preserve">nine </w:t>
      </w:r>
      <w:r w:rsidR="008B0B6D">
        <w:t>TEO submitters (</w:t>
      </w:r>
      <w:r w:rsidR="003A7E6A">
        <w:rPr>
          <w:color w:val="404040" w:themeColor="text1" w:themeTint="BF"/>
        </w:rPr>
        <w:t xml:space="preserve">four universities, </w:t>
      </w:r>
      <w:r>
        <w:rPr>
          <w:color w:val="404040" w:themeColor="text1" w:themeTint="BF"/>
        </w:rPr>
        <w:t xml:space="preserve">two </w:t>
      </w:r>
      <w:proofErr w:type="spellStart"/>
      <w:r>
        <w:rPr>
          <w:color w:val="404040" w:themeColor="text1" w:themeTint="BF"/>
        </w:rPr>
        <w:t>Te</w:t>
      </w:r>
      <w:proofErr w:type="spellEnd"/>
      <w:r>
        <w:rPr>
          <w:color w:val="404040" w:themeColor="text1" w:themeTint="BF"/>
        </w:rPr>
        <w:t xml:space="preserve"> </w:t>
      </w:r>
      <w:proofErr w:type="spellStart"/>
      <w:r>
        <w:rPr>
          <w:color w:val="404040" w:themeColor="text1" w:themeTint="BF"/>
        </w:rPr>
        <w:t>Pūkenga</w:t>
      </w:r>
      <w:proofErr w:type="spellEnd"/>
      <w:r>
        <w:rPr>
          <w:color w:val="404040" w:themeColor="text1" w:themeTint="BF"/>
        </w:rPr>
        <w:t xml:space="preserve"> divisions, two PTEs and </w:t>
      </w:r>
      <w:r w:rsidR="000F4C10">
        <w:rPr>
          <w:color w:val="404040" w:themeColor="text1" w:themeTint="BF"/>
        </w:rPr>
        <w:t>one</w:t>
      </w:r>
      <w:r w:rsidR="003A7E6A">
        <w:rPr>
          <w:color w:val="404040" w:themeColor="text1" w:themeTint="BF"/>
        </w:rPr>
        <w:t xml:space="preserve"> </w:t>
      </w:r>
      <w:r w:rsidR="003A7E6A">
        <w:t>tertiary sector enti</w:t>
      </w:r>
      <w:r>
        <w:t>ty</w:t>
      </w:r>
      <w:r w:rsidR="003A7E6A">
        <w:rPr>
          <w:color w:val="404040" w:themeColor="text1" w:themeTint="BF"/>
        </w:rPr>
        <w:t>)</w:t>
      </w:r>
      <w:r>
        <w:rPr>
          <w:color w:val="404040" w:themeColor="text1" w:themeTint="BF"/>
        </w:rPr>
        <w:t>.</w:t>
      </w:r>
      <w:r w:rsidR="008B0B6D">
        <w:t xml:space="preserve"> </w:t>
      </w:r>
      <w:r w:rsidR="0074287C">
        <w:t xml:space="preserve">The feedback from universities </w:t>
      </w:r>
      <w:r w:rsidRPr="0072004E" w:rsidR="0074287C">
        <w:t>supported expanding the suite of performance measures to capture qualitative outcomes, such as “distance travelled</w:t>
      </w:r>
      <w:r w:rsidR="0074287C">
        <w:t>”</w:t>
      </w:r>
      <w:r w:rsidRPr="0072004E" w:rsidR="0074287C">
        <w:t xml:space="preserve">, employment outcomes, and progress for learners who do not complete a formal qualification. </w:t>
      </w:r>
      <w:r w:rsidR="0074287C">
        <w:t xml:space="preserve">One submitter </w:t>
      </w:r>
      <w:r w:rsidRPr="0072004E" w:rsidR="0074287C">
        <w:t>emphasised that measures should support improvement, not just compliance</w:t>
      </w:r>
      <w:r w:rsidR="00107534">
        <w:t>:</w:t>
      </w:r>
    </w:p>
    <w:p w:rsidR="0074287C" w:rsidP="0074287C" w:rsidRDefault="0074287C" w14:paraId="13DC34EE" w14:textId="77777777">
      <w:pPr>
        <w:pStyle w:val="Quote"/>
      </w:pPr>
      <w:r w:rsidRPr="00BD6F0A">
        <w:t xml:space="preserve">We strongly agree with developing a wider suite of measures… especially those that will measure distance travelled and outcomes that </w:t>
      </w:r>
      <w:r w:rsidRPr="00BD6F0A">
        <w:t>support employment while not resulting in a formal qualification.</w:t>
      </w:r>
      <w:r>
        <w:t xml:space="preserve"> </w:t>
      </w:r>
      <w:r w:rsidRPr="00BA2753">
        <w:rPr>
          <w:i w:val="0"/>
          <w:iCs w:val="0"/>
        </w:rPr>
        <w:t>(Massey University)</w:t>
      </w:r>
      <w:r>
        <w:t xml:space="preserve"> </w:t>
      </w:r>
    </w:p>
    <w:p w:rsidR="0074287C" w:rsidP="0074287C" w:rsidRDefault="0074287C" w14:paraId="01E75B91" w14:textId="77777777">
      <w:r>
        <w:t xml:space="preserve">University submitters also commented that </w:t>
      </w:r>
      <w:r w:rsidRPr="003D65D7">
        <w:t>monitoring must explicitly reflect equity priorities, including disaggregated measures for Māori and Pacific learners. Generic categories were seen as insufficient to assess belonging, cultural safety, and contribution to communities</w:t>
      </w:r>
      <w:r>
        <w:t>.</w:t>
      </w:r>
    </w:p>
    <w:p w:rsidR="0074287C" w:rsidP="0074287C" w:rsidRDefault="0074287C" w14:paraId="23B079A2" w14:textId="77777777">
      <w:pPr>
        <w:pStyle w:val="Quote"/>
        <w:rPr>
          <w:i w:val="0"/>
          <w:iCs w:val="0"/>
        </w:rPr>
      </w:pPr>
      <w:r w:rsidRPr="00243610">
        <w:t>Monitoring must include explicit equity targets and Pacific-specific indicators, not just generic categories</w:t>
      </w:r>
      <w:r>
        <w:t xml:space="preserve">. </w:t>
      </w:r>
      <w:r>
        <w:rPr>
          <w:i w:val="0"/>
          <w:iCs w:val="0"/>
        </w:rPr>
        <w:t>(Komiti Pasifika)</w:t>
      </w:r>
    </w:p>
    <w:p w:rsidR="0074287C" w:rsidP="0074287C" w:rsidRDefault="0074287C" w14:paraId="4436F8EC" w14:textId="77777777">
      <w:pPr>
        <w:rPr>
          <w:color w:val="404040" w:themeColor="text1" w:themeTint="BF"/>
        </w:rPr>
      </w:pPr>
      <w:r>
        <w:rPr>
          <w:color w:val="404040" w:themeColor="text1" w:themeTint="BF"/>
        </w:rPr>
        <w:t xml:space="preserve">University submitters </w:t>
      </w:r>
      <w:r w:rsidRPr="009A54B2">
        <w:rPr>
          <w:color w:val="404040" w:themeColor="text1" w:themeTint="BF"/>
        </w:rPr>
        <w:t>wanted providers to be closely involved in designing the monitoring framework, ensuring it differentiates between provider-level and system-level measures and avoids unnecessary administrative burden.</w:t>
      </w:r>
    </w:p>
    <w:p w:rsidR="0074287C" w:rsidP="0074287C" w:rsidRDefault="0074287C" w14:paraId="0BF841A4" w14:textId="77777777">
      <w:pPr>
        <w:pStyle w:val="Quote"/>
        <w:rPr>
          <w:i w:val="0"/>
          <w:iCs w:val="0"/>
        </w:rPr>
      </w:pPr>
      <w:r w:rsidRPr="006A68D4">
        <w:t>Any requirements and monitoring should be light touch and proportionate, drawing on existing data and monitoring as far as possible.</w:t>
      </w:r>
      <w:r>
        <w:t xml:space="preserve"> </w:t>
      </w:r>
      <w:r w:rsidRPr="006A68D4">
        <w:t>A joint sector-agency work programme is recommended to develop an appropriate measurement framework</w:t>
      </w:r>
      <w:r>
        <w:t xml:space="preserve">. </w:t>
      </w:r>
      <w:r>
        <w:rPr>
          <w:i w:val="0"/>
          <w:iCs w:val="0"/>
        </w:rPr>
        <w:t>(University of Otago)</w:t>
      </w:r>
    </w:p>
    <w:p w:rsidR="0074287C" w:rsidP="0074287C" w:rsidRDefault="0074287C" w14:paraId="2D0E9EA1" w14:textId="32AEB6BD">
      <w:pPr>
        <w:rPr>
          <w:color w:val="404040" w:themeColor="text1" w:themeTint="BF"/>
        </w:rPr>
      </w:pPr>
      <w:r>
        <w:rPr>
          <w:color w:val="404040" w:themeColor="text1" w:themeTint="BF"/>
        </w:rPr>
        <w:t xml:space="preserve">Other TEO submitters also raised the importance of strengthening equity and data </w:t>
      </w:r>
      <w:r w:rsidR="00320744">
        <w:rPr>
          <w:color w:val="404040" w:themeColor="text1" w:themeTint="BF"/>
        </w:rPr>
        <w:t>disaggregation and</w:t>
      </w:r>
      <w:r>
        <w:rPr>
          <w:color w:val="404040" w:themeColor="text1" w:themeTint="BF"/>
        </w:rPr>
        <w:t xml:space="preserve"> using existing systems for monitoring where possible. </w:t>
      </w:r>
      <w:r w:rsidR="00625BF3">
        <w:rPr>
          <w:color w:val="404040" w:themeColor="text1" w:themeTint="BF"/>
        </w:rPr>
        <w:t>These submitters</w:t>
      </w:r>
      <w:r>
        <w:rPr>
          <w:color w:val="404040" w:themeColor="text1" w:themeTint="BF"/>
        </w:rPr>
        <w:t xml:space="preserve"> </w:t>
      </w:r>
      <w:r w:rsidRPr="0040188C">
        <w:rPr>
          <w:color w:val="404040" w:themeColor="text1" w:themeTint="BF"/>
        </w:rPr>
        <w:t>emphasis</w:t>
      </w:r>
      <w:r w:rsidR="00625BF3">
        <w:rPr>
          <w:color w:val="404040" w:themeColor="text1" w:themeTint="BF"/>
        </w:rPr>
        <w:t>ed</w:t>
      </w:r>
      <w:r>
        <w:rPr>
          <w:color w:val="404040" w:themeColor="text1" w:themeTint="BF"/>
        </w:rPr>
        <w:t xml:space="preserve"> </w:t>
      </w:r>
      <w:r w:rsidR="00625BF3">
        <w:rPr>
          <w:color w:val="404040" w:themeColor="text1" w:themeTint="BF"/>
        </w:rPr>
        <w:t>t</w:t>
      </w:r>
      <w:r w:rsidRPr="0040188C">
        <w:rPr>
          <w:color w:val="404040" w:themeColor="text1" w:themeTint="BF"/>
        </w:rPr>
        <w:t>he need for coordinated data systems, shared frameworks, and the use of technology to improve analysis and integration across agencies.</w:t>
      </w:r>
    </w:p>
    <w:p w:rsidR="0074287C" w:rsidP="0074287C" w:rsidRDefault="0074287C" w14:paraId="24E85BC2" w14:textId="77777777">
      <w:pPr>
        <w:pStyle w:val="Quote"/>
        <w:rPr>
          <w:i w:val="0"/>
          <w:iCs w:val="0"/>
        </w:rPr>
      </w:pPr>
      <w:r w:rsidRPr="00E66D76">
        <w:t>Implementation will require dedicated investment in coordination mechanisms, shared data systems, and aligned accountability frameworks.</w:t>
      </w:r>
      <w:r>
        <w:t xml:space="preserve"> </w:t>
      </w:r>
      <w:r w:rsidRPr="00E66D76">
        <w:rPr>
          <w:i w:val="0"/>
          <w:iCs w:val="0"/>
        </w:rPr>
        <w:t>(Toi Mai)</w:t>
      </w:r>
    </w:p>
    <w:p w:rsidR="0074287C" w:rsidP="0074287C" w:rsidRDefault="00F850E1" w14:paraId="0114F015" w14:textId="1B6C883A">
      <w:r>
        <w:t>Feedback from WDC</w:t>
      </w:r>
      <w:r w:rsidR="0074287C">
        <w:t xml:space="preserve"> submitters also </w:t>
      </w:r>
      <w:r w:rsidRPr="00DF480E" w:rsidR="0074287C">
        <w:t>sought stronger tracking of graduate outcomes over time, including the relevance of employment to field of study, and recommended using national student surveys.</w:t>
      </w:r>
    </w:p>
    <w:p w:rsidR="0074287C" w:rsidP="0074287C" w:rsidRDefault="0074287C" w14:paraId="1B4AF780" w14:textId="77777777">
      <w:pPr>
        <w:pStyle w:val="Quote"/>
        <w:rPr>
          <w:i w:val="0"/>
          <w:iCs w:val="0"/>
        </w:rPr>
      </w:pPr>
      <w:r w:rsidRPr="00BD04E8">
        <w:t xml:space="preserve">There should be explicit measurement of employment outcomes immediately after study </w:t>
      </w:r>
      <w:proofErr w:type="gramStart"/>
      <w:r w:rsidRPr="00BD04E8">
        <w:t>and also</w:t>
      </w:r>
      <w:proofErr w:type="gramEnd"/>
      <w:r w:rsidRPr="00BD04E8">
        <w:t xml:space="preserve"> in the years following… </w:t>
      </w:r>
      <w:proofErr w:type="gramStart"/>
      <w:r w:rsidRPr="009D4F49">
        <w:t>A number of</w:t>
      </w:r>
      <w:proofErr w:type="gramEnd"/>
      <w:r w:rsidRPr="009D4F49">
        <w:t xml:space="preserve"> other countries have improved measuring of tertiary education by introducing national student surveys which is something we believe could strengthen and </w:t>
      </w:r>
      <w:proofErr w:type="spellStart"/>
      <w:r w:rsidRPr="009D4F49">
        <w:t>compliment</w:t>
      </w:r>
      <w:proofErr w:type="spellEnd"/>
      <w:r w:rsidRPr="009D4F49">
        <w:t xml:space="preserve"> existing measures.</w:t>
      </w:r>
      <w:r>
        <w:t xml:space="preserve"> </w:t>
      </w:r>
      <w:r w:rsidRPr="00E33F1C">
        <w:rPr>
          <w:i w:val="0"/>
          <w:iCs w:val="0"/>
        </w:rPr>
        <w:t>(</w:t>
      </w:r>
      <w:proofErr w:type="spellStart"/>
      <w:r w:rsidRPr="00E33F1C">
        <w:rPr>
          <w:i w:val="0"/>
          <w:iCs w:val="0"/>
        </w:rPr>
        <w:t>Ringa</w:t>
      </w:r>
      <w:proofErr w:type="spellEnd"/>
      <w:r w:rsidRPr="00E33F1C">
        <w:rPr>
          <w:i w:val="0"/>
          <w:iCs w:val="0"/>
        </w:rPr>
        <w:t xml:space="preserve"> Hora)</w:t>
      </w:r>
    </w:p>
    <w:p w:rsidR="0074287C" w:rsidP="0074287C" w:rsidRDefault="0074287C" w14:paraId="2605A0E0" w14:textId="03D54A04">
      <w:pPr>
        <w:rPr>
          <w:color w:val="404040" w:themeColor="text1" w:themeTint="BF"/>
        </w:rPr>
      </w:pPr>
      <w:r>
        <w:rPr>
          <w:color w:val="404040" w:themeColor="text1" w:themeTint="BF"/>
        </w:rPr>
        <w:t>Supporting provider comments on the need to consider implementation, the TEC Board also emphasised that changing measures takes time both to develop and to implement and that sector buy-in is critical to success</w:t>
      </w:r>
      <w:r w:rsidR="0077201B">
        <w:rPr>
          <w:color w:val="404040" w:themeColor="text1" w:themeTint="BF"/>
        </w:rPr>
        <w:t>:</w:t>
      </w:r>
    </w:p>
    <w:p w:rsidR="0074287C" w:rsidP="0074287C" w:rsidRDefault="0074287C" w14:paraId="40F97945" w14:textId="77777777">
      <w:pPr>
        <w:pStyle w:val="Quote"/>
      </w:pPr>
      <w:r>
        <w:t>Once new measures are implemented, it will take time for data to be collected by TEOs, reported to TEC, potentially integrated with other sources (e.g. IDI data), and finally analysed to produce actionable information.</w:t>
      </w:r>
    </w:p>
    <w:p w:rsidR="0074287C" w:rsidP="0074287C" w:rsidRDefault="0074287C" w14:paraId="3DAE1DA0" w14:textId="77777777">
      <w:r>
        <w:t xml:space="preserve">Feedback from industry submitters called for tailored measures that </w:t>
      </w:r>
      <w:r w:rsidRPr="00D255F4">
        <w:t xml:space="preserve">reflect the diversity of tertiary education </w:t>
      </w:r>
      <w:r>
        <w:t>delivery</w:t>
      </w:r>
      <w:r w:rsidRPr="00D255F4">
        <w:t xml:space="preserve"> and</w:t>
      </w:r>
      <w:r>
        <w:t xml:space="preserve"> their specific</w:t>
      </w:r>
      <w:r w:rsidRPr="00D255F4">
        <w:t xml:space="preserve"> industry context</w:t>
      </w:r>
      <w:r>
        <w:t>. They also emphasised the importance of</w:t>
      </w:r>
      <w:r w:rsidRPr="00E9406C">
        <w:t xml:space="preserve"> ensuring monitoring directly informs investment and decision-making, with clarity on stakeholder roles such as </w:t>
      </w:r>
      <w:r>
        <w:t>ISBs</w:t>
      </w:r>
      <w:r w:rsidRPr="00E9406C">
        <w:t>.</w:t>
      </w:r>
    </w:p>
    <w:p w:rsidR="0074287C" w:rsidP="0074287C" w:rsidRDefault="0074287C" w14:paraId="5BB36548" w14:textId="77E5A85D">
      <w:r>
        <w:t>Research submitters provided feedback about potential alignment with international approaches to measurement and reporting. One submitter offered to support this work</w:t>
      </w:r>
      <w:r w:rsidR="00350721">
        <w:t>:</w:t>
      </w:r>
    </w:p>
    <w:p w:rsidRPr="00C546B2" w:rsidR="0074287C" w:rsidP="0074287C" w:rsidRDefault="0074287C" w14:paraId="0C41530D" w14:textId="77777777">
      <w:pPr>
        <w:pStyle w:val="Quote"/>
        <w:rPr>
          <w:i w:val="0"/>
          <w:iCs w:val="0"/>
        </w:rPr>
      </w:pPr>
      <w:r>
        <w:t xml:space="preserve">NZ should align the TES monitoring framework to ATTP/WIPO definitions rather than inventing bespoke KPIs. </w:t>
      </w:r>
      <w:proofErr w:type="spellStart"/>
      <w:r>
        <w:t>KiwiNet</w:t>
      </w:r>
      <w:proofErr w:type="spellEnd"/>
      <w:r>
        <w:t xml:space="preserve"> can act as NZ’s conduit into this work and help the TEC embed it consistently. </w:t>
      </w:r>
      <w:r>
        <w:rPr>
          <w:i w:val="0"/>
          <w:iCs w:val="0"/>
        </w:rPr>
        <w:t>(</w:t>
      </w:r>
      <w:proofErr w:type="spellStart"/>
      <w:r>
        <w:rPr>
          <w:i w:val="0"/>
          <w:iCs w:val="0"/>
        </w:rPr>
        <w:t>KiwiNet</w:t>
      </w:r>
      <w:proofErr w:type="spellEnd"/>
      <w:r>
        <w:rPr>
          <w:i w:val="0"/>
          <w:iCs w:val="0"/>
        </w:rPr>
        <w:t>)</w:t>
      </w:r>
    </w:p>
    <w:p w:rsidRPr="00AD62F3" w:rsidR="00AD62F3" w:rsidP="00AD62F3" w:rsidRDefault="00AD62F3" w14:paraId="06D98609" w14:textId="2B73CAE1">
      <w:r w:rsidRPr="00AD62F3">
        <w:t xml:space="preserve">Submitter suggestions for additional indicators can be considered in three key areas – equity indicators, workforce/industry alignment, </w:t>
      </w:r>
      <w:r w:rsidR="00217DE3">
        <w:t>and</w:t>
      </w:r>
      <w:r w:rsidRPr="00AD62F3">
        <w:t xml:space="preserve"> longitudinal and learner-centred indicators. Three TEO submitters felt that equity indicators were particularly important, particularly for Access and Participation and Achievement priorities. </w:t>
      </w:r>
    </w:p>
    <w:p w:rsidRPr="004331C0" w:rsidR="00AD62F3" w:rsidP="004331C0" w:rsidRDefault="00AD62F3" w14:paraId="61F7C456" w14:textId="77777777">
      <w:pPr>
        <w:pStyle w:val="Quote"/>
        <w:rPr>
          <w:i w:val="0"/>
          <w:iCs w:val="0"/>
        </w:rPr>
      </w:pPr>
      <w:r w:rsidRPr="00AD62F3">
        <w:t xml:space="preserve">It will also be valuable to measure and report on achievements toward diversity, equity and balance and the proposed TES priorities, providing annual comparisons over the following years – celebrating successes, and recognising, </w:t>
      </w:r>
      <w:proofErr w:type="gramStart"/>
      <w:r w:rsidRPr="00AD62F3">
        <w:t>in order to</w:t>
      </w:r>
      <w:proofErr w:type="gramEnd"/>
      <w:r w:rsidRPr="00AD62F3">
        <w:t xml:space="preserve"> then address, where greater effort and improvement is required across the tertiary education system. </w:t>
      </w:r>
      <w:r w:rsidRPr="004331C0">
        <w:rPr>
          <w:i w:val="0"/>
          <w:iCs w:val="0"/>
        </w:rPr>
        <w:t>(Ace Aotearoa)</w:t>
      </w:r>
    </w:p>
    <w:p w:rsidRPr="00AD62F3" w:rsidR="00AD62F3" w:rsidP="00AD62F3" w:rsidRDefault="00AD62F3" w14:paraId="7933F280" w14:textId="4660FA61">
      <w:r w:rsidRPr="00AD62F3">
        <w:t xml:space="preserve">Five </w:t>
      </w:r>
      <w:r w:rsidR="00FA75B9">
        <w:t>i</w:t>
      </w:r>
      <w:r w:rsidRPr="00AD62F3">
        <w:t xml:space="preserve">ndustry submitters emphasised the need for workforce or industry focused indicators </w:t>
      </w:r>
      <w:r w:rsidR="00217DE3">
        <w:t>to better help</w:t>
      </w:r>
      <w:r w:rsidRPr="00AD62F3">
        <w:t xml:space="preserve"> understand how the tertiary education sector is supporting workforce and economic growth.</w:t>
      </w:r>
    </w:p>
    <w:p w:rsidRPr="00AD62F3" w:rsidR="00AD62F3" w:rsidP="003F4DBA" w:rsidRDefault="00AD62F3" w14:paraId="58EB21D8" w14:textId="77777777">
      <w:pPr>
        <w:pStyle w:val="Quote"/>
      </w:pPr>
      <w:r w:rsidRPr="00AD62F3">
        <w:t xml:space="preserve">… the TES strengthen its monitoring framework by measuring the productivity impact of tertiary education through a combination of graduate employment outcomes, earnings premiums, skills utilisation, and research commercialisation, alongside labour market productivity measures. </w:t>
      </w:r>
      <w:r w:rsidRPr="003F4DBA">
        <w:rPr>
          <w:i w:val="0"/>
          <w:iCs w:val="0"/>
        </w:rPr>
        <w:t>(Business NZ)</w:t>
      </w:r>
    </w:p>
    <w:p w:rsidRPr="00AD62F3" w:rsidR="00AD62F3" w:rsidP="00AD62F3" w:rsidRDefault="00AD62F3" w14:paraId="4F7E335C" w14:textId="6200D6F0">
      <w:pPr>
        <w:rPr>
          <w:i/>
          <w:iCs/>
        </w:rPr>
      </w:pPr>
      <w:r w:rsidRPr="00AD62F3">
        <w:t>Eight submitters (</w:t>
      </w:r>
      <w:r w:rsidR="001665A0">
        <w:t>four</w:t>
      </w:r>
      <w:r w:rsidRPr="00AD62F3">
        <w:t xml:space="preserve"> TEOs,</w:t>
      </w:r>
      <w:r w:rsidR="001665A0">
        <w:t xml:space="preserve"> </w:t>
      </w:r>
      <w:r w:rsidRPr="00AD62F3" w:rsidR="001665A0">
        <w:t xml:space="preserve">two </w:t>
      </w:r>
      <w:r w:rsidR="001665A0">
        <w:t>i</w:t>
      </w:r>
      <w:r w:rsidRPr="00AD62F3" w:rsidR="001665A0">
        <w:t>ndustry submitters</w:t>
      </w:r>
      <w:r w:rsidR="001665A0">
        <w:t>,</w:t>
      </w:r>
      <w:r w:rsidRPr="00AD62F3">
        <w:t xml:space="preserve"> the TEC Board, </w:t>
      </w:r>
      <w:r w:rsidR="001665A0">
        <w:t xml:space="preserve">and </w:t>
      </w:r>
      <w:r w:rsidRPr="00AD62F3">
        <w:t xml:space="preserve">one </w:t>
      </w:r>
      <w:r w:rsidR="006F375A">
        <w:t>s</w:t>
      </w:r>
      <w:r w:rsidRPr="00AD62F3">
        <w:t xml:space="preserve">tudent </w:t>
      </w:r>
      <w:r w:rsidR="006F375A">
        <w:t>a</w:t>
      </w:r>
      <w:r w:rsidRPr="00AD62F3">
        <w:t>ssociatio</w:t>
      </w:r>
      <w:r w:rsidR="001665A0">
        <w:t>n</w:t>
      </w:r>
      <w:r w:rsidRPr="00AD62F3">
        <w:t xml:space="preserve">) called for longitudinal or learner-centred indicators. The TEC Board noted that </w:t>
      </w:r>
      <w:r w:rsidRPr="00AD62F3">
        <w:rPr>
          <w:i/>
          <w:iCs/>
        </w:rPr>
        <w:t xml:space="preserve">“distance travelled has been very difficult to measure reliably to date”. </w:t>
      </w:r>
    </w:p>
    <w:p w:rsidRPr="00AD62F3" w:rsidR="00AD62F3" w:rsidP="00AD62F3" w:rsidRDefault="00AD62F3" w14:paraId="37852CBC" w14:textId="6258D780">
      <w:pPr>
        <w:rPr>
          <w:i/>
          <w:iCs/>
        </w:rPr>
      </w:pPr>
      <w:r w:rsidRPr="00AD62F3">
        <w:t xml:space="preserve">One </w:t>
      </w:r>
      <w:r w:rsidR="007B00FA">
        <w:t>i</w:t>
      </w:r>
      <w:r w:rsidRPr="00AD62F3">
        <w:t>ndustry submitter suggested that qualitative data could be used to better understand the impact of the TES priorities for learners using “</w:t>
      </w:r>
      <w:r w:rsidRPr="00AD62F3">
        <w:rPr>
          <w:i/>
          <w:iCs/>
        </w:rPr>
        <w:t>case studies, stakeholder interviews, and learner narratives to capture the real-world impact of training”.</w:t>
      </w:r>
    </w:p>
    <w:p w:rsidRPr="00AD62F3" w:rsidR="00AD62F3" w:rsidP="00AD62F3" w:rsidRDefault="007B00FA" w14:paraId="0B11F9BF" w14:textId="623FE19F">
      <w:r>
        <w:t xml:space="preserve">Another </w:t>
      </w:r>
      <w:r w:rsidRPr="00AD62F3" w:rsidR="00AD62F3">
        <w:t>TEO submitter suggested that indicators could be added to better understand the secondary to tertiary transition, and how this could be strengthened for learners.</w:t>
      </w:r>
    </w:p>
    <w:p w:rsidRPr="00AD62F3" w:rsidR="00AD62F3" w:rsidP="003F4DBA" w:rsidRDefault="00AD62F3" w14:paraId="4BA6D8DF" w14:textId="77777777">
      <w:pPr>
        <w:pStyle w:val="Quote"/>
      </w:pPr>
      <w:r w:rsidRPr="00AD62F3">
        <w:t xml:space="preserve">There are risks and gaps as students move from the secondary school to tertiary, and closer monitoring should enable tertiary providers to provide the bespoke support that a learner may need. </w:t>
      </w:r>
      <w:r w:rsidRPr="003F4DBA">
        <w:rPr>
          <w:i w:val="0"/>
          <w:iCs w:val="0"/>
        </w:rPr>
        <w:t>(</w:t>
      </w:r>
      <w:proofErr w:type="spellStart"/>
      <w:r w:rsidRPr="003F4DBA">
        <w:rPr>
          <w:i w:val="0"/>
          <w:iCs w:val="0"/>
        </w:rPr>
        <w:t>Competenz</w:t>
      </w:r>
      <w:proofErr w:type="spellEnd"/>
      <w:r w:rsidRPr="003F4DBA">
        <w:rPr>
          <w:i w:val="0"/>
          <w:iCs w:val="0"/>
        </w:rPr>
        <w:t>)</w:t>
      </w:r>
      <w:r w:rsidRPr="00AD62F3">
        <w:t xml:space="preserve"> </w:t>
      </w:r>
    </w:p>
    <w:p w:rsidRPr="00AD62F3" w:rsidR="00AD62F3" w:rsidP="002D76CF" w:rsidRDefault="00AD62F3" w14:paraId="5ADABD99" w14:textId="72FE4426">
      <w:pPr>
        <w:pStyle w:val="Heading1"/>
      </w:pPr>
      <w:bookmarkStart w:name="_Toc211314496" w:id="56"/>
      <w:bookmarkStart w:name="_Toc211348951" w:id="57"/>
      <w:r w:rsidRPr="00AD62F3">
        <w:t>Other comments on the draft TES</w:t>
      </w:r>
      <w:bookmarkEnd w:id="56"/>
      <w:bookmarkEnd w:id="57"/>
    </w:p>
    <w:p w:rsidRPr="00AD62F3" w:rsidR="00AD62F3" w:rsidP="00AD62F3" w:rsidRDefault="00AD62F3" w14:paraId="14A88794" w14:textId="79B21CD7">
      <w:r w:rsidRPr="00AD62F3">
        <w:t xml:space="preserve">Forty submitters responded to the invitation to provide other comments on the draft TES. Many submitters used this as an opportunity to reiterate points they had raised earlier in their submissions. </w:t>
      </w:r>
    </w:p>
    <w:p w:rsidRPr="00AD62F3" w:rsidR="00AD62F3" w:rsidP="00AD62F3" w:rsidRDefault="00AD62F3" w14:paraId="2065E8F2" w14:textId="2CCEBA63">
      <w:r w:rsidRPr="00AD62F3">
        <w:t xml:space="preserve">This included reiterating support for the general direction of the Strategy, noting the role that funding availability will have on the implementation of the TES and the extent to which the </w:t>
      </w:r>
      <w:r w:rsidR="00217DE3">
        <w:t>p</w:t>
      </w:r>
      <w:r w:rsidRPr="00AD62F3">
        <w:t>riorities will be achieved</w:t>
      </w:r>
      <w:r w:rsidR="00B56EEC">
        <w:t xml:space="preserve">. There was also some </w:t>
      </w:r>
      <w:r w:rsidRPr="00AD62F3">
        <w:t xml:space="preserve">concern that the focus on the economic outcomes of tertiary education participation omits the wider social and community benefits. </w:t>
      </w:r>
    </w:p>
    <w:p w:rsidRPr="00AD62F3" w:rsidR="00AD62F3" w:rsidP="003F4DBA" w:rsidRDefault="00AD62F3" w14:paraId="00A65DE4" w14:textId="77777777">
      <w:pPr>
        <w:pStyle w:val="Heading4"/>
      </w:pPr>
      <w:r w:rsidRPr="00AD62F3">
        <w:t xml:space="preserve">Equity and Inclusion </w:t>
      </w:r>
    </w:p>
    <w:p w:rsidRPr="00AD62F3" w:rsidR="00AD62F3" w:rsidP="00AD62F3" w:rsidRDefault="00AD62F3" w14:paraId="096C9C5E" w14:textId="06E8E8EE">
      <w:r w:rsidRPr="00AD62F3">
        <w:t>Six submitters (</w:t>
      </w:r>
      <w:r w:rsidR="001665A0">
        <w:t>five</w:t>
      </w:r>
      <w:r w:rsidRPr="00AD62F3">
        <w:t xml:space="preserve"> TEOs and one </w:t>
      </w:r>
      <w:r w:rsidR="003C559A">
        <w:t>e</w:t>
      </w:r>
      <w:r w:rsidRPr="00AD62F3">
        <w:t>ducator</w:t>
      </w:r>
      <w:r w:rsidR="003C559A">
        <w:t xml:space="preserve"> group</w:t>
      </w:r>
      <w:r w:rsidRPr="00AD62F3">
        <w:t xml:space="preserve">) emphasised that the TES must deliver equitable access and success for all learners, particularly those experiencing marginalisation, disengagement and disadvantage. They called for stronger acknowledgement of </w:t>
      </w:r>
      <w:proofErr w:type="spellStart"/>
      <w:r w:rsidRPr="00AD62F3">
        <w:t>Te</w:t>
      </w:r>
      <w:proofErr w:type="spellEnd"/>
      <w:r w:rsidRPr="00AD62F3">
        <w:t xml:space="preserve"> </w:t>
      </w:r>
      <w:proofErr w:type="spellStart"/>
      <w:r w:rsidRPr="00AD62F3">
        <w:t>Tiriti</w:t>
      </w:r>
      <w:proofErr w:type="spellEnd"/>
      <w:r w:rsidRPr="00AD62F3">
        <w:t xml:space="preserve"> o Waitangi, equity and Pacific success as system-wide priorities rather than marginal considerations. </w:t>
      </w:r>
    </w:p>
    <w:p w:rsidRPr="00AD62F3" w:rsidR="00AD62F3" w:rsidP="003F4DBA" w:rsidRDefault="00AD62F3" w14:paraId="26B77FE4" w14:textId="77777777">
      <w:pPr>
        <w:pStyle w:val="Quote"/>
      </w:pPr>
      <w:r w:rsidRPr="00AD62F3">
        <w:t xml:space="preserve">Greater nationwide promotion of the benefits of tertiary education… inclusive of those who experience marginalism, disengagement and disadvantage would be a valuable way to enhance achievement of the TES. </w:t>
      </w:r>
      <w:r w:rsidRPr="003F4DBA">
        <w:rPr>
          <w:i w:val="0"/>
          <w:iCs w:val="0"/>
        </w:rPr>
        <w:t>(Ace Aotearoa)</w:t>
      </w:r>
    </w:p>
    <w:p w:rsidRPr="00AD62F3" w:rsidR="00AD62F3" w:rsidP="003F4DBA" w:rsidRDefault="00AD62F3" w14:paraId="68B22694" w14:textId="77777777">
      <w:pPr>
        <w:pStyle w:val="Quote"/>
      </w:pPr>
      <w:r w:rsidRPr="00AD62F3">
        <w:t xml:space="preserve">For the TES to be genuinely transformative, it must embed commitments to equity, </w:t>
      </w:r>
      <w:proofErr w:type="spellStart"/>
      <w:r w:rsidRPr="00AD62F3">
        <w:t>Te</w:t>
      </w:r>
      <w:proofErr w:type="spellEnd"/>
      <w:r w:rsidRPr="00AD62F3">
        <w:t xml:space="preserve"> </w:t>
      </w:r>
      <w:proofErr w:type="spellStart"/>
      <w:r w:rsidRPr="00AD62F3">
        <w:t>Tiriti</w:t>
      </w:r>
      <w:proofErr w:type="spellEnd"/>
      <w:r w:rsidRPr="00AD62F3">
        <w:t xml:space="preserve"> o Waitangi, academic freedom, environmental responsibility, and decent work for staff across all priorities. </w:t>
      </w:r>
      <w:r w:rsidRPr="003F4DBA">
        <w:rPr>
          <w:i w:val="0"/>
          <w:iCs w:val="0"/>
        </w:rPr>
        <w:t>(TEU)</w:t>
      </w:r>
    </w:p>
    <w:p w:rsidRPr="00AD62F3" w:rsidR="00AD62F3" w:rsidP="003F4DBA" w:rsidRDefault="00AD62F3" w14:paraId="157EEEAC" w14:textId="161574A3">
      <w:pPr>
        <w:pStyle w:val="Heading4"/>
        <w:rPr>
          <w:b w:val="0"/>
          <w:bCs/>
        </w:rPr>
      </w:pPr>
      <w:r w:rsidRPr="00AD62F3">
        <w:rPr>
          <w:bCs/>
        </w:rPr>
        <w:t xml:space="preserve">Sector </w:t>
      </w:r>
      <w:r w:rsidR="00AB7B7D">
        <w:rPr>
          <w:bCs/>
        </w:rPr>
        <w:t>S</w:t>
      </w:r>
      <w:r w:rsidRPr="00AD62F3">
        <w:rPr>
          <w:bCs/>
        </w:rPr>
        <w:t xml:space="preserve">ustainability and </w:t>
      </w:r>
      <w:r w:rsidR="00AB7B7D">
        <w:rPr>
          <w:bCs/>
        </w:rPr>
        <w:t>F</w:t>
      </w:r>
      <w:r w:rsidRPr="00AD62F3">
        <w:rPr>
          <w:bCs/>
        </w:rPr>
        <w:t xml:space="preserve">unding </w:t>
      </w:r>
    </w:p>
    <w:p w:rsidRPr="00AD62F3" w:rsidR="00AD62F3" w:rsidP="00AD62F3" w:rsidRDefault="00AD62F3" w14:paraId="4196F1AF" w14:textId="109AE97D">
      <w:r w:rsidRPr="00AD62F3">
        <w:t>Twenty-two submitters (</w:t>
      </w:r>
      <w:r w:rsidR="001665A0">
        <w:t>14</w:t>
      </w:r>
      <w:r w:rsidRPr="00AD62F3">
        <w:t xml:space="preserve"> TEOs, </w:t>
      </w:r>
      <w:r w:rsidRPr="00AD62F3" w:rsidR="001665A0">
        <w:t xml:space="preserve">seven </w:t>
      </w:r>
      <w:r w:rsidR="001665A0">
        <w:t>i</w:t>
      </w:r>
      <w:r w:rsidRPr="00AD62F3" w:rsidR="001665A0">
        <w:t xml:space="preserve">ndustry </w:t>
      </w:r>
      <w:r w:rsidR="001665A0">
        <w:t>groups, and</w:t>
      </w:r>
      <w:r w:rsidRPr="00AD62F3" w:rsidR="001665A0">
        <w:t xml:space="preserve"> </w:t>
      </w:r>
      <w:r w:rsidRPr="00AD62F3">
        <w:t xml:space="preserve">one </w:t>
      </w:r>
      <w:r w:rsidR="003C559A">
        <w:t>s</w:t>
      </w:r>
      <w:r w:rsidRPr="00AD62F3">
        <w:t xml:space="preserve">tudent </w:t>
      </w:r>
      <w:r w:rsidR="003C559A">
        <w:t>association</w:t>
      </w:r>
      <w:r w:rsidRPr="00AD62F3">
        <w:t xml:space="preserve">) made comments related to sustainability and funding of the tertiary education sector. </w:t>
      </w:r>
    </w:p>
    <w:p w:rsidRPr="00AD62F3" w:rsidR="00AD62F3" w:rsidP="00AD62F3" w:rsidRDefault="00AD62F3" w14:paraId="56C29F10" w14:textId="77777777">
      <w:r w:rsidRPr="00AD62F3">
        <w:t xml:space="preserve">These submitters highlighted the need for sustainable, transparent funding and delivery models that support regional provision, workforce needs, and the long-term viability of providers. There was concern that the strategy lacks clarity on investment mechanisms and funding scale. </w:t>
      </w:r>
    </w:p>
    <w:p w:rsidRPr="00AD62F3" w:rsidR="00AD62F3" w:rsidP="003F4DBA" w:rsidRDefault="00AD62F3" w14:paraId="035D1683" w14:textId="77777777">
      <w:pPr>
        <w:pStyle w:val="Quote"/>
      </w:pPr>
      <w:r w:rsidRPr="00AD62F3">
        <w:t xml:space="preserve">Long-term sustainability of tertiary institutions is crucial for delivering the skill-based education that fuels an innovation-led economy and economic growth. </w:t>
      </w:r>
      <w:r w:rsidRPr="003F4DBA">
        <w:rPr>
          <w:i w:val="0"/>
          <w:iCs w:val="0"/>
        </w:rPr>
        <w:t>(Engineering New Zealand)</w:t>
      </w:r>
      <w:r w:rsidRPr="00AD62F3">
        <w:t xml:space="preserve"> </w:t>
      </w:r>
    </w:p>
    <w:p w:rsidRPr="00AD62F3" w:rsidR="00AD62F3" w:rsidP="00AD62F3" w:rsidRDefault="00AD62F3" w14:paraId="25355012" w14:textId="77777777">
      <w:r w:rsidRPr="00AD62F3">
        <w:t>Others urged the Ministry and TEC to “redesign the funding and reporting model to switch to programmes of study” and enable providers to better respond to workforce and learner needs in small and rural communities.</w:t>
      </w:r>
    </w:p>
    <w:p w:rsidRPr="00AD62F3" w:rsidR="00AD62F3" w:rsidP="003F4DBA" w:rsidRDefault="00AD62F3" w14:paraId="094D8A06" w14:textId="6E51D068">
      <w:pPr>
        <w:pStyle w:val="Heading4"/>
        <w:rPr>
          <w:b w:val="0"/>
          <w:bCs/>
        </w:rPr>
      </w:pPr>
      <w:r w:rsidRPr="00AD62F3">
        <w:rPr>
          <w:bCs/>
        </w:rPr>
        <w:t xml:space="preserve">Aligning </w:t>
      </w:r>
      <w:r w:rsidR="00AB7B7D">
        <w:rPr>
          <w:bCs/>
        </w:rPr>
        <w:t>E</w:t>
      </w:r>
      <w:r w:rsidRPr="00AD62F3">
        <w:rPr>
          <w:bCs/>
        </w:rPr>
        <w:t xml:space="preserve">ducation and </w:t>
      </w:r>
      <w:r w:rsidR="00AB7B7D">
        <w:rPr>
          <w:bCs/>
        </w:rPr>
        <w:t>W</w:t>
      </w:r>
      <w:r w:rsidRPr="00AD62F3">
        <w:rPr>
          <w:bCs/>
        </w:rPr>
        <w:t xml:space="preserve">orkforce </w:t>
      </w:r>
      <w:r w:rsidR="00AB7B7D">
        <w:rPr>
          <w:bCs/>
        </w:rPr>
        <w:t>N</w:t>
      </w:r>
      <w:r w:rsidRPr="00AD62F3">
        <w:rPr>
          <w:bCs/>
        </w:rPr>
        <w:t>eeds</w:t>
      </w:r>
    </w:p>
    <w:p w:rsidRPr="00AD62F3" w:rsidR="00AD62F3" w:rsidP="00AD62F3" w:rsidRDefault="00AD62F3" w14:paraId="7EB4C697" w14:textId="2D429DCD">
      <w:r w:rsidRPr="00AD62F3">
        <w:t xml:space="preserve">Twelve submitters (11 </w:t>
      </w:r>
      <w:r w:rsidR="0058024F">
        <w:t>i</w:t>
      </w:r>
      <w:r w:rsidRPr="00AD62F3">
        <w:t xml:space="preserve">ndustry and one TEO) raised the need for a joined-up approach between education, workforce planning and industry development. Submitters supported flexible pathways, transferable skills and industry-led programme design to ensure graduates are job-ready. </w:t>
      </w:r>
      <w:r w:rsidR="00506148">
        <w:t>An</w:t>
      </w:r>
      <w:r w:rsidRPr="00AD62F3">
        <w:t xml:space="preserve"> </w:t>
      </w:r>
      <w:r w:rsidR="00506148">
        <w:t>i</w:t>
      </w:r>
      <w:r w:rsidRPr="00AD62F3">
        <w:t>ndustry submitter suggested</w:t>
      </w:r>
      <w:r w:rsidR="00506148">
        <w:t>:</w:t>
      </w:r>
    </w:p>
    <w:p w:rsidRPr="00AD62F3" w:rsidR="00AD62F3" w:rsidP="003F4DBA" w:rsidRDefault="00AD62F3" w14:paraId="78339AD2" w14:textId="77777777">
      <w:pPr>
        <w:pStyle w:val="Quote"/>
      </w:pPr>
      <w:r w:rsidRPr="00AD62F3">
        <w:t>The TES must support ...flexible, SME-friendly training options (skill certifications, micro-credentials, online learning) … use of workforce forecasting data to inform investment</w:t>
      </w:r>
      <w:r w:rsidRPr="003F4DBA">
        <w:rPr>
          <w:i w:val="0"/>
          <w:iCs w:val="0"/>
        </w:rPr>
        <w:t>. (Hospitality New Zealand)</w:t>
      </w:r>
    </w:p>
    <w:p w:rsidRPr="00AD62F3" w:rsidR="00AD62F3" w:rsidP="00AD62F3" w:rsidRDefault="00AD62F3" w14:paraId="6EC74FD0" w14:textId="77777777">
      <w:r w:rsidRPr="00AD62F3">
        <w:t>This theme extended to submitters from the aged residential care, dairy, aviation, and food and fibre industries, each calling for tailored support and explicit recognition of their sector in the final TES.</w:t>
      </w:r>
    </w:p>
    <w:p w:rsidRPr="00AD62F3" w:rsidR="00AD62F3" w:rsidP="003F4DBA" w:rsidRDefault="00AD62F3" w14:paraId="6F4DE38F" w14:textId="5FD98E26">
      <w:pPr>
        <w:pStyle w:val="Heading4"/>
        <w:rPr>
          <w:b w:val="0"/>
          <w:bCs/>
        </w:rPr>
      </w:pPr>
      <w:r w:rsidRPr="00AD62F3">
        <w:rPr>
          <w:bCs/>
        </w:rPr>
        <w:t xml:space="preserve">System </w:t>
      </w:r>
      <w:r w:rsidR="0033481A">
        <w:rPr>
          <w:bCs/>
        </w:rPr>
        <w:t>C</w:t>
      </w:r>
      <w:r w:rsidRPr="00AD62F3">
        <w:rPr>
          <w:bCs/>
        </w:rPr>
        <w:t xml:space="preserve">oherence and </w:t>
      </w:r>
      <w:r w:rsidR="0033481A">
        <w:rPr>
          <w:bCs/>
        </w:rPr>
        <w:t>S</w:t>
      </w:r>
      <w:r w:rsidRPr="00AD62F3">
        <w:rPr>
          <w:bCs/>
        </w:rPr>
        <w:t>tability</w:t>
      </w:r>
    </w:p>
    <w:p w:rsidRPr="00AD62F3" w:rsidR="00AD62F3" w:rsidP="00AD62F3" w:rsidRDefault="00AD62F3" w14:paraId="1A1FCEAD" w14:textId="26D7ED29">
      <w:r w:rsidRPr="00AD62F3">
        <w:t>Six submitters (three</w:t>
      </w:r>
      <w:r w:rsidR="001665A0">
        <w:t xml:space="preserve"> </w:t>
      </w:r>
      <w:r w:rsidRPr="00AD62F3">
        <w:t xml:space="preserve">TEOs and three </w:t>
      </w:r>
      <w:r w:rsidR="008772CB">
        <w:t>i</w:t>
      </w:r>
      <w:r w:rsidRPr="00AD62F3">
        <w:t>ndustry submitters) raised the importance of system coherence and stability in their final comments. These submitters expressed support for a cohesive tertiary education system that reduces duplication and compliance burdens, strengthens collaboration between providers and agencies, and delivers long-term policy stability. Concerns were raised about the frequency of reforms and short-term political cycles undermining progress.</w:t>
      </w:r>
    </w:p>
    <w:p w:rsidRPr="00AD62F3" w:rsidR="00AD62F3" w:rsidP="003F4DBA" w:rsidRDefault="00AD62F3" w14:paraId="514881B6" w14:textId="77777777">
      <w:pPr>
        <w:pStyle w:val="Quote"/>
      </w:pPr>
      <w:r w:rsidRPr="00AD62F3">
        <w:t xml:space="preserve">Our hope is that New Zealand takes a bipartisan approach in supporting the TES and strategic direction. NZ Inc cannot afford to keep flip flopping and upending the tertiary education system. </w:t>
      </w:r>
      <w:r w:rsidRPr="003F4DBA">
        <w:rPr>
          <w:i w:val="0"/>
          <w:iCs w:val="0"/>
        </w:rPr>
        <w:t>(</w:t>
      </w:r>
      <w:proofErr w:type="spellStart"/>
      <w:r w:rsidRPr="003F4DBA">
        <w:rPr>
          <w:i w:val="0"/>
          <w:iCs w:val="0"/>
        </w:rPr>
        <w:t>Competenz</w:t>
      </w:r>
      <w:proofErr w:type="spellEnd"/>
      <w:r w:rsidRPr="003F4DBA">
        <w:rPr>
          <w:i w:val="0"/>
          <w:iCs w:val="0"/>
        </w:rPr>
        <w:t>)</w:t>
      </w:r>
    </w:p>
    <w:p w:rsidRPr="00AD62F3" w:rsidR="00AD62F3" w:rsidP="003F4DBA" w:rsidRDefault="00AD62F3" w14:paraId="65A50C2A" w14:textId="77777777">
      <w:pPr>
        <w:pStyle w:val="Quote"/>
      </w:pPr>
      <w:r w:rsidRPr="003F4DBA">
        <w:rPr>
          <w:i w:val="0"/>
          <w:iCs w:val="0"/>
        </w:rPr>
        <w:t>[The TES]</w:t>
      </w:r>
      <w:r w:rsidRPr="00AD62F3">
        <w:t xml:space="preserve"> must ensure clear alignment between the NCEA reforms in schools, the ongoing reform of vocational education and training, and the evolving university and research system…. the TES articulates a pathway where education not only meets labour market needs and assists the productivity </w:t>
      </w:r>
      <w:proofErr w:type="gramStart"/>
      <w:r w:rsidRPr="00AD62F3">
        <w:t>agenda, but</w:t>
      </w:r>
      <w:proofErr w:type="gramEnd"/>
      <w:r w:rsidRPr="00AD62F3">
        <w:t xml:space="preserve"> also provides opportunities to equip individuals with the relevant skills they need to succeed. </w:t>
      </w:r>
      <w:r w:rsidRPr="003F4DBA">
        <w:rPr>
          <w:i w:val="0"/>
          <w:iCs w:val="0"/>
        </w:rPr>
        <w:t>(Business NZ)</w:t>
      </w:r>
    </w:p>
    <w:p w:rsidRPr="00AD62F3" w:rsidR="00AD62F3" w:rsidP="003F4DBA" w:rsidRDefault="00AD62F3" w14:paraId="07D09A6D" w14:textId="137A4320">
      <w:pPr>
        <w:pStyle w:val="Heading4"/>
        <w:rPr>
          <w:b w:val="0"/>
          <w:bCs/>
        </w:rPr>
      </w:pPr>
      <w:r w:rsidRPr="00AD62F3">
        <w:rPr>
          <w:bCs/>
        </w:rPr>
        <w:t xml:space="preserve">Innovation, </w:t>
      </w:r>
      <w:r w:rsidR="0033481A">
        <w:rPr>
          <w:bCs/>
        </w:rPr>
        <w:t>R</w:t>
      </w:r>
      <w:r w:rsidRPr="00AD62F3">
        <w:rPr>
          <w:bCs/>
        </w:rPr>
        <w:t xml:space="preserve">esearch, and </w:t>
      </w:r>
      <w:r w:rsidR="0033481A">
        <w:rPr>
          <w:bCs/>
        </w:rPr>
        <w:t>R</w:t>
      </w:r>
      <w:r w:rsidRPr="00AD62F3">
        <w:rPr>
          <w:bCs/>
        </w:rPr>
        <w:t xml:space="preserve">egional </w:t>
      </w:r>
      <w:r w:rsidR="0033481A">
        <w:rPr>
          <w:bCs/>
        </w:rPr>
        <w:t>R</w:t>
      </w:r>
      <w:r w:rsidRPr="00AD62F3">
        <w:rPr>
          <w:bCs/>
        </w:rPr>
        <w:t>esponsiveness</w:t>
      </w:r>
    </w:p>
    <w:p w:rsidRPr="00AD62F3" w:rsidR="00AD62F3" w:rsidP="00AD62F3" w:rsidRDefault="00AD62F3" w14:paraId="68C1020A" w14:textId="546DD31A">
      <w:r w:rsidRPr="00AD62F3">
        <w:t xml:space="preserve">Six submitters made additional comments related to these areas. Submitters emphasised that innovation should be broadly defined - encompassing creative industries, applied research, Māori and Pacific knowledge systems and regional strengths. </w:t>
      </w:r>
    </w:p>
    <w:p w:rsidRPr="00AD62F3" w:rsidR="00AD62F3" w:rsidP="00AD62F3" w:rsidRDefault="00AD62F3" w14:paraId="4F782D8C" w14:textId="205B36F6">
      <w:r w:rsidRPr="00AD62F3">
        <w:t xml:space="preserve">Submitters referenced the changes in research funding and warned </w:t>
      </w:r>
      <w:r w:rsidR="0033481A">
        <w:t xml:space="preserve">of </w:t>
      </w:r>
      <w:r w:rsidRPr="00AD62F3">
        <w:t xml:space="preserve">over-reliance on bibliometric measures could marginalise certain disciplines and undervalue community-embedded research. </w:t>
      </w:r>
    </w:p>
    <w:p w:rsidRPr="00AD62F3" w:rsidR="00AD62F3" w:rsidP="003F4DBA" w:rsidRDefault="00AD62F3" w14:paraId="50782D9F" w14:textId="77777777">
      <w:pPr>
        <w:pStyle w:val="Quote"/>
      </w:pPr>
      <w:r w:rsidRPr="00AD62F3">
        <w:t xml:space="preserve">Research spend must be prioritised according to tangible workforce analysis, innovation and advancement of technology and health as opposed to more esoteric areas of study.” </w:t>
      </w:r>
      <w:r w:rsidRPr="003F4DBA">
        <w:rPr>
          <w:i w:val="0"/>
          <w:iCs w:val="0"/>
        </w:rPr>
        <w:t>(</w:t>
      </w:r>
      <w:proofErr w:type="spellStart"/>
      <w:r w:rsidRPr="003F4DBA">
        <w:rPr>
          <w:i w:val="0"/>
          <w:iCs w:val="0"/>
        </w:rPr>
        <w:t>Toitu</w:t>
      </w:r>
      <w:proofErr w:type="spellEnd"/>
      <w:r w:rsidRPr="003F4DBA">
        <w:rPr>
          <w:i w:val="0"/>
          <w:iCs w:val="0"/>
        </w:rPr>
        <w:t xml:space="preserve"> </w:t>
      </w:r>
      <w:proofErr w:type="spellStart"/>
      <w:r w:rsidRPr="003F4DBA">
        <w:rPr>
          <w:i w:val="0"/>
          <w:iCs w:val="0"/>
        </w:rPr>
        <w:t>te</w:t>
      </w:r>
      <w:proofErr w:type="spellEnd"/>
      <w:r w:rsidRPr="003F4DBA">
        <w:rPr>
          <w:i w:val="0"/>
          <w:iCs w:val="0"/>
        </w:rPr>
        <w:t xml:space="preserve"> </w:t>
      </w:r>
      <w:proofErr w:type="spellStart"/>
      <w:r w:rsidRPr="003F4DBA">
        <w:rPr>
          <w:i w:val="0"/>
          <w:iCs w:val="0"/>
        </w:rPr>
        <w:t>Waiora</w:t>
      </w:r>
      <w:proofErr w:type="spellEnd"/>
      <w:r w:rsidRPr="003F4DBA">
        <w:rPr>
          <w:i w:val="0"/>
          <w:iCs w:val="0"/>
        </w:rPr>
        <w:t>)</w:t>
      </w:r>
    </w:p>
    <w:p w:rsidRPr="00AD62F3" w:rsidR="00AD62F3" w:rsidP="00AD62F3" w:rsidRDefault="00AD62F3" w14:paraId="2D7B1DD4" w14:textId="77777777">
      <w:r w:rsidRPr="00AD62F3">
        <w:t>Others highlighted that demographic shifts and regional diversity require flexible partnerships to ensure tertiary provision meets the evolving needs of communities and industries.</w:t>
      </w:r>
    </w:p>
    <w:p w:rsidRPr="00AD62F3" w:rsidR="00AD62F3" w:rsidP="003F4DBA" w:rsidRDefault="00AD62F3" w14:paraId="67342B86" w14:textId="77777777">
      <w:pPr>
        <w:pStyle w:val="Heading4"/>
        <w:rPr>
          <w:b w:val="0"/>
          <w:bCs/>
        </w:rPr>
      </w:pPr>
      <w:r w:rsidRPr="00AD62F3">
        <w:rPr>
          <w:bCs/>
        </w:rPr>
        <w:t>Tone and Framing</w:t>
      </w:r>
    </w:p>
    <w:p w:rsidRPr="00AD62F3" w:rsidR="00AD62F3" w:rsidP="00AD62F3" w:rsidRDefault="00AD62F3" w14:paraId="5776A7E4" w14:textId="4476059D">
      <w:r w:rsidRPr="00AD62F3">
        <w:t>Ten submitters (</w:t>
      </w:r>
      <w:r w:rsidR="00697832">
        <w:t>six</w:t>
      </w:r>
      <w:r w:rsidRPr="00AD62F3">
        <w:t xml:space="preserve"> TEOs, three </w:t>
      </w:r>
      <w:r w:rsidR="007B62FC">
        <w:t>educators/students</w:t>
      </w:r>
      <w:r w:rsidRPr="00AD62F3">
        <w:t xml:space="preserve"> and one </w:t>
      </w:r>
      <w:r w:rsidR="007B62FC">
        <w:t>i</w:t>
      </w:r>
      <w:r w:rsidRPr="00AD62F3">
        <w:t>ndustry</w:t>
      </w:r>
      <w:r w:rsidR="007B62FC">
        <w:t xml:space="preserve"> group</w:t>
      </w:r>
      <w:r w:rsidRPr="00AD62F3">
        <w:t xml:space="preserve">) expressed concern that the tone and framing of the draft </w:t>
      </w:r>
      <w:r w:rsidR="007B62FC">
        <w:t>TES</w:t>
      </w:r>
      <w:r w:rsidRPr="00AD62F3">
        <w:t xml:space="preserve"> place disproportionate emphasis on economic growth and research commercialisation, with insufficient visibility of equity, </w:t>
      </w:r>
      <w:proofErr w:type="spellStart"/>
      <w:r w:rsidRPr="00AD62F3">
        <w:t>Te</w:t>
      </w:r>
      <w:proofErr w:type="spellEnd"/>
      <w:r w:rsidRPr="00AD62F3">
        <w:t xml:space="preserve"> </w:t>
      </w:r>
      <w:proofErr w:type="spellStart"/>
      <w:r w:rsidRPr="00AD62F3">
        <w:t>Tiriti</w:t>
      </w:r>
      <w:proofErr w:type="spellEnd"/>
      <w:r w:rsidRPr="00AD62F3">
        <w:t xml:space="preserve"> o Waitangi, and the broader social and cultural </w:t>
      </w:r>
      <w:r w:rsidR="00CF3FCF">
        <w:t>outcomes</w:t>
      </w:r>
      <w:r w:rsidRPr="00AD62F3">
        <w:t xml:space="preserve"> of tertiary education. </w:t>
      </w:r>
    </w:p>
    <w:p w:rsidRPr="00AD62F3" w:rsidR="00AD62F3" w:rsidP="00CF3FCF" w:rsidRDefault="00AD62F3" w14:paraId="7E13CB76" w14:textId="77777777">
      <w:pPr>
        <w:pStyle w:val="Quote"/>
      </w:pPr>
      <w:r w:rsidRPr="00AD62F3">
        <w:t>There is disproportionate emphasis on economic growth and a softening of other statutory goals outlined in the Education and Training Act 2020. The TES should reflect a balanced approach that incorporates social, cultural, environmental and individual wellbeing as central outcomes alongside economic objectives</w:t>
      </w:r>
      <w:r w:rsidRPr="00CF3FCF">
        <w:rPr>
          <w:i w:val="0"/>
          <w:iCs w:val="0"/>
        </w:rPr>
        <w:t>. (Open Polytechnic)</w:t>
      </w:r>
    </w:p>
    <w:p w:rsidRPr="00AD62F3" w:rsidR="00AD62F3" w:rsidP="00AD62F3" w:rsidRDefault="00AD62F3" w14:paraId="587174D0" w14:textId="14487A4B">
      <w:r w:rsidRPr="00AD62F3">
        <w:t xml:space="preserve">Submitters described the language as transactional and top-down, lacking aspiration and partnership, and criticised the deficit positioning of Māori, Pacific and disabled learners. </w:t>
      </w:r>
    </w:p>
    <w:p w:rsidRPr="00AD62F3" w:rsidR="00AD62F3" w:rsidP="003F4DBA" w:rsidRDefault="00AD62F3" w14:paraId="139B2EA6" w14:textId="77777777">
      <w:pPr>
        <w:pStyle w:val="Quote"/>
      </w:pPr>
      <w:r w:rsidRPr="00AD62F3">
        <w:t xml:space="preserve">The explicit deficit positioning of Māori, Pacific and disabled peoples is deeply problematic in the draft TES. There is a need to integrate </w:t>
      </w:r>
      <w:proofErr w:type="gramStart"/>
      <w:r w:rsidRPr="00AD62F3">
        <w:t>culturally-based</w:t>
      </w:r>
      <w:proofErr w:type="gramEnd"/>
      <w:r w:rsidRPr="00AD62F3">
        <w:t xml:space="preserve"> programmes of study, </w:t>
      </w:r>
      <w:proofErr w:type="spellStart"/>
      <w:r w:rsidRPr="00AD62F3">
        <w:t>te</w:t>
      </w:r>
      <w:proofErr w:type="spellEnd"/>
      <w:r w:rsidRPr="00AD62F3">
        <w:t xml:space="preserve"> </w:t>
      </w:r>
      <w:proofErr w:type="spellStart"/>
      <w:r w:rsidRPr="00AD62F3">
        <w:t>ao</w:t>
      </w:r>
      <w:proofErr w:type="spellEnd"/>
      <w:r w:rsidRPr="00AD62F3">
        <w:t xml:space="preserve"> Māori, and tikanga into innovation and economic impact priorities, as these are often overlooked. </w:t>
      </w:r>
      <w:r w:rsidRPr="003F4DBA">
        <w:rPr>
          <w:i w:val="0"/>
          <w:iCs w:val="0"/>
        </w:rPr>
        <w:t>(Massey University)</w:t>
      </w:r>
    </w:p>
    <w:p w:rsidR="00E8197B" w:rsidRDefault="00E8197B" w14:paraId="4E202F72" w14:textId="77777777"/>
    <w:p w:rsidR="00E9060F" w:rsidRDefault="00E9060F" w14:paraId="4772C15B" w14:textId="28688E19">
      <w:r>
        <w:br w:type="page"/>
      </w:r>
    </w:p>
    <w:p w:rsidRPr="00144931" w:rsidR="00045255" w:rsidP="00FC1056" w:rsidRDefault="00976710" w14:paraId="65E9EF86" w14:textId="0CD55443">
      <w:pPr>
        <w:pStyle w:val="Appendix"/>
      </w:pPr>
      <w:bookmarkStart w:name="_Ref210993401" w:id="58"/>
      <w:bookmarkStart w:name="_Toc211314497" w:id="59"/>
      <w:bookmarkStart w:name="_Toc211348952" w:id="60"/>
      <w:r w:rsidRPr="00976710">
        <w:t>List of submitters</w:t>
      </w:r>
      <w:bookmarkEnd w:id="58"/>
      <w:bookmarkEnd w:id="59"/>
      <w:bookmarkEnd w:id="60"/>
      <w:r>
        <w:t xml:space="preserve"> </w:t>
      </w:r>
    </w:p>
    <w:tbl>
      <w:tblPr>
        <w:tblStyle w:val="MainTeThuhu"/>
        <w:tblW w:w="5000" w:type="pct"/>
        <w:tblLook w:val="04A0" w:firstRow="1" w:lastRow="0" w:firstColumn="1" w:lastColumn="0" w:noHBand="0" w:noVBand="1"/>
      </w:tblPr>
      <w:tblGrid>
        <w:gridCol w:w="6286"/>
        <w:gridCol w:w="3126"/>
      </w:tblGrid>
      <w:tr w:rsidRPr="001112D4" w:rsidR="00027FA3" w:rsidTr="21340B89" w14:paraId="56D01D98"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3339" w:type="pct"/>
            <w:tcMar/>
          </w:tcPr>
          <w:p w:rsidRPr="001112D4" w:rsidR="00027FA3" w:rsidRDefault="00027FA3" w14:paraId="6E0F1270" w14:textId="75DA2B00">
            <w:pPr>
              <w:pStyle w:val="TableHeader-ColumnWhite"/>
              <w:rPr>
                <w:b w:val="0"/>
                <w:bCs w:val="0"/>
              </w:rPr>
            </w:pPr>
            <w:r>
              <w:rPr>
                <w:b w:val="0"/>
                <w:bCs w:val="0"/>
              </w:rPr>
              <w:t>S</w:t>
            </w:r>
            <w:r w:rsidR="00697832">
              <w:rPr>
                <w:b w:val="0"/>
                <w:bCs w:val="0"/>
              </w:rPr>
              <w:t>ubmitters</w:t>
            </w:r>
          </w:p>
        </w:tc>
        <w:tc>
          <w:tcPr>
            <w:cnfStyle w:val="000000000000" w:firstRow="0" w:lastRow="0" w:firstColumn="0" w:lastColumn="0" w:oddVBand="0" w:evenVBand="0" w:oddHBand="0" w:evenHBand="0" w:firstRowFirstColumn="0" w:firstRowLastColumn="0" w:lastRowFirstColumn="0" w:lastRowLastColumn="0"/>
            <w:tcW w:w="1661" w:type="pct"/>
            <w:tcMar/>
          </w:tcPr>
          <w:p w:rsidR="00027FA3" w:rsidRDefault="00027FA3" w14:paraId="5343458D" w14:textId="77777777">
            <w:pPr>
              <w:pStyle w:val="TableHeader-ColumnWhite"/>
              <w:rPr>
                <w:b w:val="0"/>
                <w:bCs w:val="0"/>
              </w:rPr>
            </w:pPr>
            <w:r>
              <w:rPr>
                <w:b w:val="0"/>
                <w:bCs w:val="0"/>
              </w:rPr>
              <w:t>Organisation Type</w:t>
            </w:r>
          </w:p>
        </w:tc>
      </w:tr>
      <w:tr w:rsidRPr="004617C4" w:rsidR="00027FA3" w:rsidTr="21340B89" w14:paraId="469B475C"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090C353A" w14:textId="77777777">
            <w:pPr>
              <w:spacing w:before="0" w:after="0"/>
              <w:rPr>
                <w:rFonts w:eastAsia="Times New Roman" w:cs="Arial"/>
                <w:color w:val="000000"/>
                <w:sz w:val="20"/>
                <w:lang w:eastAsia="en-NZ"/>
              </w:rPr>
            </w:pPr>
            <w:r>
              <w:rPr>
                <w:rFonts w:cs="Arial"/>
                <w:color w:val="000000"/>
                <w:sz w:val="20"/>
                <w:szCs w:val="20"/>
              </w:rPr>
              <w:t>ACE Aotearoa</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34629FDA" w14:textId="77777777">
            <w:pPr>
              <w:spacing w:before="0" w:after="0"/>
              <w:rPr>
                <w:rFonts w:eastAsia="Times New Roman" w:cs="Arial"/>
                <w:color w:val="000000"/>
                <w:sz w:val="20"/>
                <w:lang w:eastAsia="en-NZ"/>
              </w:rPr>
            </w:pPr>
            <w:r>
              <w:rPr>
                <w:rFonts w:cs="Arial"/>
                <w:color w:val="000000"/>
                <w:sz w:val="20"/>
                <w:szCs w:val="20"/>
              </w:rPr>
              <w:t>PTE</w:t>
            </w:r>
          </w:p>
        </w:tc>
      </w:tr>
      <w:tr w:rsidRPr="004617C4" w:rsidR="00027FA3" w:rsidTr="21340B89" w14:paraId="3538D9F4"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4E0D741B" w14:textId="77777777">
            <w:pPr>
              <w:spacing w:before="0" w:after="0"/>
              <w:rPr>
                <w:rFonts w:eastAsia="Times New Roman" w:cs="Arial"/>
                <w:color w:val="000000"/>
                <w:sz w:val="20"/>
                <w:lang w:eastAsia="en-NZ"/>
              </w:rPr>
            </w:pPr>
            <w:r>
              <w:rPr>
                <w:rFonts w:cs="Arial"/>
                <w:color w:val="000000"/>
                <w:sz w:val="20"/>
                <w:szCs w:val="20"/>
              </w:rPr>
              <w:t>Aged Care Association NZ</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752C07EC"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6EBD099F"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610E2ACC" w14:textId="77777777">
            <w:pPr>
              <w:spacing w:before="0" w:after="0"/>
              <w:rPr>
                <w:rFonts w:eastAsia="Times New Roman" w:cs="Arial"/>
                <w:color w:val="000000"/>
                <w:sz w:val="20"/>
                <w:lang w:eastAsia="en-NZ"/>
              </w:rPr>
            </w:pPr>
            <w:r>
              <w:rPr>
                <w:rFonts w:cs="Arial"/>
                <w:color w:val="000000"/>
                <w:sz w:val="20"/>
                <w:szCs w:val="20"/>
              </w:rPr>
              <w:t>Ako Aotearoa</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778CC70C" w14:textId="08FB03E0">
            <w:pPr>
              <w:spacing w:before="0" w:after="0"/>
              <w:rPr>
                <w:rFonts w:eastAsia="Times New Roman" w:cs="Arial"/>
                <w:color w:val="000000"/>
                <w:sz w:val="20"/>
                <w:lang w:eastAsia="en-NZ"/>
              </w:rPr>
            </w:pPr>
            <w:r>
              <w:rPr>
                <w:rFonts w:cs="Arial"/>
                <w:color w:val="000000"/>
                <w:sz w:val="20"/>
                <w:szCs w:val="20"/>
              </w:rPr>
              <w:t xml:space="preserve">Tertiary </w:t>
            </w:r>
            <w:r w:rsidR="00697832">
              <w:rPr>
                <w:rFonts w:cs="Arial"/>
                <w:color w:val="000000"/>
                <w:sz w:val="20"/>
                <w:szCs w:val="20"/>
              </w:rPr>
              <w:t>s</w:t>
            </w:r>
            <w:r>
              <w:rPr>
                <w:rFonts w:cs="Arial"/>
                <w:color w:val="000000"/>
                <w:sz w:val="20"/>
                <w:szCs w:val="20"/>
              </w:rPr>
              <w:t xml:space="preserve">ector </w:t>
            </w:r>
            <w:r w:rsidR="00697832">
              <w:rPr>
                <w:rFonts w:cs="Arial"/>
                <w:color w:val="000000"/>
                <w:sz w:val="20"/>
                <w:szCs w:val="20"/>
              </w:rPr>
              <w:t>e</w:t>
            </w:r>
            <w:r>
              <w:rPr>
                <w:rFonts w:cs="Arial"/>
                <w:color w:val="000000"/>
                <w:sz w:val="20"/>
                <w:szCs w:val="20"/>
              </w:rPr>
              <w:t>ntity</w:t>
            </w:r>
          </w:p>
        </w:tc>
      </w:tr>
      <w:tr w:rsidRPr="004617C4" w:rsidR="00027FA3" w:rsidTr="21340B89" w14:paraId="6ECE3575"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6527191D" w14:textId="01BDF241">
            <w:pPr>
              <w:spacing w:before="0" w:after="0"/>
              <w:rPr>
                <w:rFonts w:eastAsia="Times New Roman" w:cs="Arial"/>
                <w:color w:val="000000"/>
                <w:sz w:val="20"/>
                <w:lang w:eastAsia="en-NZ"/>
              </w:rPr>
            </w:pPr>
            <w:r>
              <w:rPr>
                <w:rFonts w:cs="Arial"/>
                <w:color w:val="000000"/>
                <w:sz w:val="20"/>
                <w:szCs w:val="20"/>
              </w:rPr>
              <w:t>Auckland University of Technology</w:t>
            </w:r>
            <w:r w:rsidR="00096F33">
              <w:rPr>
                <w:rFonts w:cs="Arial"/>
                <w:color w:val="000000"/>
                <w:sz w:val="20"/>
                <w:szCs w:val="20"/>
              </w:rPr>
              <w:t xml:space="preserve"> (AUT)</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27FB4D38" w14:textId="77777777">
            <w:pPr>
              <w:spacing w:before="0" w:after="0"/>
              <w:rPr>
                <w:rFonts w:eastAsia="Times New Roman" w:cs="Arial"/>
                <w:color w:val="000000"/>
                <w:sz w:val="20"/>
                <w:lang w:eastAsia="en-NZ"/>
              </w:rPr>
            </w:pPr>
            <w:r>
              <w:rPr>
                <w:rFonts w:cs="Arial"/>
                <w:color w:val="000000"/>
                <w:sz w:val="20"/>
                <w:szCs w:val="20"/>
              </w:rPr>
              <w:t>University</w:t>
            </w:r>
          </w:p>
        </w:tc>
      </w:tr>
      <w:tr w:rsidRPr="004617C4" w:rsidR="00027FA3" w:rsidTr="21340B89" w14:paraId="7F35B2CC"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77E5BAB8" w14:textId="2C29D126">
            <w:pPr>
              <w:spacing w:before="0" w:after="0"/>
              <w:rPr>
                <w:rFonts w:eastAsia="Times New Roman" w:cs="Arial"/>
                <w:color w:val="000000"/>
                <w:sz w:val="20"/>
                <w:lang w:eastAsia="en-NZ"/>
              </w:rPr>
            </w:pPr>
            <w:r>
              <w:rPr>
                <w:rFonts w:cs="Arial"/>
                <w:color w:val="000000"/>
                <w:sz w:val="20"/>
                <w:szCs w:val="20"/>
              </w:rPr>
              <w:t>AUSA</w:t>
            </w:r>
            <w:r w:rsidR="00AC278B">
              <w:rPr>
                <w:rFonts w:cs="Arial"/>
                <w:color w:val="000000"/>
                <w:sz w:val="20"/>
                <w:szCs w:val="20"/>
              </w:rPr>
              <w:t xml:space="preserve"> (Auckland University Student Association)</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339105E" w14:textId="727AC1B8">
            <w:pPr>
              <w:spacing w:before="0" w:after="0"/>
              <w:rPr>
                <w:rFonts w:eastAsia="Times New Roman" w:cs="Arial"/>
                <w:color w:val="000000"/>
                <w:sz w:val="20"/>
                <w:lang w:eastAsia="en-NZ"/>
              </w:rPr>
            </w:pPr>
            <w:r>
              <w:rPr>
                <w:rFonts w:cs="Arial"/>
                <w:color w:val="000000"/>
                <w:sz w:val="20"/>
                <w:szCs w:val="20"/>
              </w:rPr>
              <w:t xml:space="preserve">Student </w:t>
            </w:r>
            <w:r w:rsidR="00697832">
              <w:rPr>
                <w:rFonts w:cs="Arial"/>
                <w:color w:val="000000"/>
                <w:sz w:val="20"/>
                <w:szCs w:val="20"/>
              </w:rPr>
              <w:t>a</w:t>
            </w:r>
            <w:r>
              <w:rPr>
                <w:rFonts w:cs="Arial"/>
                <w:color w:val="000000"/>
                <w:sz w:val="20"/>
                <w:szCs w:val="20"/>
              </w:rPr>
              <w:t>ssociation</w:t>
            </w:r>
          </w:p>
        </w:tc>
      </w:tr>
      <w:tr w:rsidRPr="004617C4" w:rsidR="00027FA3" w:rsidTr="21340B89" w14:paraId="254D3F99"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4A193558" w14:textId="38FDBDA0">
            <w:pPr>
              <w:spacing w:before="0" w:after="0"/>
              <w:rPr>
                <w:rFonts w:eastAsia="Times New Roman" w:cs="Arial"/>
                <w:color w:val="000000"/>
                <w:sz w:val="20"/>
                <w:lang w:eastAsia="en-NZ"/>
              </w:rPr>
            </w:pPr>
            <w:r>
              <w:rPr>
                <w:rFonts w:cs="Arial"/>
                <w:color w:val="000000"/>
                <w:sz w:val="20"/>
                <w:szCs w:val="20"/>
              </w:rPr>
              <w:t>AUTSA</w:t>
            </w:r>
            <w:r w:rsidR="00AC278B">
              <w:rPr>
                <w:rFonts w:cs="Arial"/>
                <w:color w:val="000000"/>
                <w:sz w:val="20"/>
                <w:szCs w:val="20"/>
              </w:rPr>
              <w:t xml:space="preserve"> (AUT Student Association)</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42046E9" w14:textId="014E6498">
            <w:pPr>
              <w:spacing w:before="0" w:after="0"/>
              <w:rPr>
                <w:rFonts w:eastAsia="Times New Roman" w:cs="Arial"/>
                <w:color w:val="000000"/>
                <w:sz w:val="20"/>
                <w:lang w:eastAsia="en-NZ"/>
              </w:rPr>
            </w:pPr>
            <w:r>
              <w:rPr>
                <w:rFonts w:cs="Arial"/>
                <w:color w:val="000000"/>
                <w:sz w:val="20"/>
                <w:szCs w:val="20"/>
              </w:rPr>
              <w:t xml:space="preserve">Student </w:t>
            </w:r>
            <w:r w:rsidR="00697832">
              <w:rPr>
                <w:rFonts w:cs="Arial"/>
                <w:color w:val="000000"/>
                <w:sz w:val="20"/>
                <w:szCs w:val="20"/>
              </w:rPr>
              <w:t>a</w:t>
            </w:r>
            <w:r>
              <w:rPr>
                <w:rFonts w:cs="Arial"/>
                <w:color w:val="000000"/>
                <w:sz w:val="20"/>
                <w:szCs w:val="20"/>
              </w:rPr>
              <w:t>ssociation</w:t>
            </w:r>
          </w:p>
        </w:tc>
      </w:tr>
      <w:tr w:rsidRPr="004617C4" w:rsidR="00027FA3" w:rsidTr="21340B89" w14:paraId="0D7EEB82"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1F8D9A17" w14:textId="77777777">
            <w:pPr>
              <w:spacing w:before="0" w:after="0"/>
              <w:rPr>
                <w:rFonts w:eastAsia="Times New Roman" w:cs="Arial"/>
                <w:color w:val="000000"/>
                <w:sz w:val="20"/>
                <w:lang w:eastAsia="en-NZ"/>
              </w:rPr>
            </w:pPr>
            <w:r>
              <w:rPr>
                <w:rFonts w:cs="Arial"/>
                <w:color w:val="000000"/>
                <w:sz w:val="20"/>
                <w:szCs w:val="20"/>
              </w:rPr>
              <w:t>Aviation Industry Association</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65D1F1A"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36FD1163"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591DA381" w14:textId="77777777">
            <w:pPr>
              <w:spacing w:before="0" w:after="0"/>
              <w:rPr>
                <w:rFonts w:eastAsia="Times New Roman" w:cs="Arial"/>
                <w:color w:val="000000"/>
                <w:sz w:val="20"/>
                <w:lang w:eastAsia="en-NZ"/>
              </w:rPr>
            </w:pPr>
            <w:r>
              <w:rPr>
                <w:rFonts w:cs="Arial"/>
                <w:color w:val="000000"/>
                <w:sz w:val="20"/>
                <w:szCs w:val="20"/>
              </w:rPr>
              <w:t>Business New Zealand</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61167E6D"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625E626B"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2590CB1F" w14:textId="77777777">
            <w:pPr>
              <w:spacing w:before="0" w:after="0"/>
              <w:rPr>
                <w:rFonts w:eastAsia="Times New Roman" w:cs="Arial"/>
                <w:color w:val="000000"/>
                <w:sz w:val="20"/>
                <w:lang w:eastAsia="en-NZ"/>
              </w:rPr>
            </w:pPr>
            <w:r>
              <w:rPr>
                <w:rFonts w:cs="Arial"/>
                <w:color w:val="000000"/>
                <w:sz w:val="20"/>
                <w:szCs w:val="20"/>
              </w:rPr>
              <w:t>Civil Contractors NZ</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3ECD3B07"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2A5DF9CC"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59F28BC5" w14:textId="77777777">
            <w:pPr>
              <w:spacing w:before="0" w:after="0"/>
              <w:rPr>
                <w:rFonts w:eastAsia="Times New Roman" w:cs="Arial"/>
                <w:color w:val="000000"/>
                <w:sz w:val="20"/>
                <w:lang w:eastAsia="en-NZ"/>
              </w:rPr>
            </w:pPr>
            <w:proofErr w:type="spellStart"/>
            <w:r>
              <w:rPr>
                <w:rFonts w:cs="Arial"/>
                <w:color w:val="000000"/>
                <w:sz w:val="20"/>
                <w:szCs w:val="20"/>
              </w:rPr>
              <w:t>Competenz</w:t>
            </w:r>
            <w:proofErr w:type="spellEnd"/>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8E8E9CB"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Pūkenga</w:t>
            </w:r>
            <w:proofErr w:type="spellEnd"/>
            <w:r>
              <w:rPr>
                <w:rFonts w:cs="Arial"/>
                <w:color w:val="000000"/>
                <w:sz w:val="20"/>
                <w:szCs w:val="20"/>
              </w:rPr>
              <w:t xml:space="preserve"> division</w:t>
            </w:r>
          </w:p>
        </w:tc>
      </w:tr>
      <w:tr w:rsidRPr="004617C4" w:rsidR="00027FA3" w:rsidTr="21340B89" w14:paraId="086D99B2"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7244D3E8" w14:textId="52338205">
            <w:pPr>
              <w:spacing w:before="0" w:after="0"/>
              <w:rPr>
                <w:rFonts w:eastAsia="Times New Roman" w:cs="Arial"/>
                <w:color w:val="000000"/>
                <w:sz w:val="20"/>
                <w:lang w:eastAsia="en-NZ"/>
              </w:rPr>
            </w:pPr>
            <w:proofErr w:type="spellStart"/>
            <w:r>
              <w:rPr>
                <w:rFonts w:cs="Arial"/>
                <w:color w:val="000000"/>
                <w:sz w:val="20"/>
                <w:szCs w:val="20"/>
              </w:rPr>
              <w:t>ConCOVE</w:t>
            </w:r>
            <w:proofErr w:type="spellEnd"/>
            <w:r w:rsidR="00AC278B">
              <w:rPr>
                <w:rFonts w:cs="Arial"/>
                <w:color w:val="000000"/>
                <w:sz w:val="20"/>
                <w:szCs w:val="20"/>
              </w:rPr>
              <w:t xml:space="preserve"> (Construction Centre of Vocational Excellence)</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55827273" w14:textId="22BEA080">
            <w:pPr>
              <w:spacing w:before="0" w:after="0"/>
              <w:rPr>
                <w:rFonts w:eastAsia="Times New Roman" w:cs="Arial"/>
                <w:color w:val="000000"/>
                <w:sz w:val="20"/>
                <w:lang w:eastAsia="en-NZ"/>
              </w:rPr>
            </w:pPr>
            <w:r>
              <w:rPr>
                <w:rFonts w:cs="Arial"/>
                <w:color w:val="000000"/>
                <w:sz w:val="20"/>
                <w:szCs w:val="20"/>
              </w:rPr>
              <w:t xml:space="preserve">Tertiary </w:t>
            </w:r>
            <w:r w:rsidR="00697832">
              <w:rPr>
                <w:rFonts w:cs="Arial"/>
                <w:color w:val="000000"/>
                <w:sz w:val="20"/>
                <w:szCs w:val="20"/>
              </w:rPr>
              <w:t>s</w:t>
            </w:r>
            <w:r>
              <w:rPr>
                <w:rFonts w:cs="Arial"/>
                <w:color w:val="000000"/>
                <w:sz w:val="20"/>
                <w:szCs w:val="20"/>
              </w:rPr>
              <w:t xml:space="preserve">ector </w:t>
            </w:r>
            <w:r w:rsidR="00697832">
              <w:rPr>
                <w:rFonts w:cs="Arial"/>
                <w:color w:val="000000"/>
                <w:sz w:val="20"/>
                <w:szCs w:val="20"/>
              </w:rPr>
              <w:t>e</w:t>
            </w:r>
            <w:r>
              <w:rPr>
                <w:rFonts w:cs="Arial"/>
                <w:color w:val="000000"/>
                <w:sz w:val="20"/>
                <w:szCs w:val="20"/>
              </w:rPr>
              <w:t>ntity</w:t>
            </w:r>
          </w:p>
        </w:tc>
      </w:tr>
      <w:tr w:rsidRPr="004617C4" w:rsidR="00027FA3" w:rsidTr="21340B89" w14:paraId="6D12CE84"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2579B50C" w14:textId="77777777">
            <w:pPr>
              <w:spacing w:before="0" w:after="0"/>
              <w:rPr>
                <w:rFonts w:eastAsia="Times New Roman" w:cs="Arial"/>
                <w:color w:val="000000"/>
                <w:sz w:val="20"/>
                <w:lang w:eastAsia="en-NZ"/>
              </w:rPr>
            </w:pPr>
            <w:r>
              <w:rPr>
                <w:rFonts w:cs="Arial"/>
                <w:color w:val="000000"/>
                <w:sz w:val="20"/>
                <w:szCs w:val="20"/>
              </w:rPr>
              <w:t>Creative Waikato</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9235F7B"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31F02D12"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0589A02F" w14:textId="77777777">
            <w:pPr>
              <w:spacing w:before="0" w:after="0"/>
              <w:rPr>
                <w:rFonts w:eastAsia="Times New Roman" w:cs="Arial"/>
                <w:color w:val="000000"/>
                <w:sz w:val="20"/>
                <w:lang w:eastAsia="en-NZ"/>
              </w:rPr>
            </w:pPr>
            <w:r>
              <w:rPr>
                <w:rFonts w:cs="Arial"/>
                <w:color w:val="000000"/>
                <w:sz w:val="20"/>
                <w:szCs w:val="20"/>
              </w:rPr>
              <w:t>Dairy NZ</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0BD2D2DD"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65237D3F"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65FDDBA3" w14:textId="39689EEC">
            <w:pPr>
              <w:spacing w:before="0" w:after="0"/>
              <w:rPr>
                <w:rFonts w:eastAsia="Times New Roman" w:cs="Arial"/>
                <w:color w:val="000000"/>
                <w:sz w:val="20"/>
                <w:lang w:eastAsia="en-NZ"/>
              </w:rPr>
            </w:pPr>
            <w:r>
              <w:rPr>
                <w:rFonts w:cs="Arial"/>
                <w:color w:val="000000"/>
                <w:sz w:val="20"/>
                <w:szCs w:val="20"/>
              </w:rPr>
              <w:t>Employers and Manufacturers Association</w:t>
            </w:r>
            <w:r w:rsidR="00096F33">
              <w:rPr>
                <w:rFonts w:cs="Arial"/>
                <w:color w:val="000000"/>
                <w:sz w:val="20"/>
                <w:szCs w:val="20"/>
              </w:rPr>
              <w:t xml:space="preserve"> (EMA)</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56DFDCB9"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02DC91F9"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1D88C423" w14:textId="77777777">
            <w:pPr>
              <w:spacing w:before="0" w:after="0"/>
              <w:rPr>
                <w:rFonts w:eastAsia="Times New Roman" w:cs="Arial"/>
                <w:color w:val="000000"/>
                <w:sz w:val="20"/>
                <w:lang w:eastAsia="en-NZ"/>
              </w:rPr>
            </w:pPr>
            <w:r>
              <w:rPr>
                <w:rFonts w:cs="Arial"/>
                <w:color w:val="000000"/>
                <w:sz w:val="20"/>
                <w:szCs w:val="20"/>
              </w:rPr>
              <w:t>Engineering NZ</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22D93BEC"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6ACE43B6"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62D8AAA3" w14:textId="77777777">
            <w:pPr>
              <w:spacing w:before="0" w:after="0"/>
              <w:rPr>
                <w:rFonts w:eastAsia="Times New Roman" w:cs="Arial"/>
                <w:color w:val="000000"/>
                <w:sz w:val="20"/>
                <w:lang w:eastAsia="en-NZ"/>
              </w:rPr>
            </w:pPr>
            <w:r>
              <w:rPr>
                <w:rFonts w:cs="Arial"/>
                <w:color w:val="000000"/>
                <w:sz w:val="20"/>
                <w:szCs w:val="20"/>
              </w:rPr>
              <w:t>English NZ</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2D171D5D" w14:textId="77777777">
            <w:pPr>
              <w:spacing w:before="0" w:after="0"/>
              <w:rPr>
                <w:rFonts w:eastAsia="Times New Roman" w:cs="Arial"/>
                <w:color w:val="000000"/>
                <w:sz w:val="20"/>
                <w:lang w:eastAsia="en-NZ"/>
              </w:rPr>
            </w:pPr>
            <w:r>
              <w:rPr>
                <w:rFonts w:cs="Arial"/>
                <w:color w:val="000000"/>
                <w:sz w:val="20"/>
                <w:szCs w:val="20"/>
              </w:rPr>
              <w:t>PTE</w:t>
            </w:r>
          </w:p>
        </w:tc>
      </w:tr>
      <w:tr w:rsidRPr="004617C4" w:rsidR="00027FA3" w:rsidTr="21340B89" w14:paraId="2652603F"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06088F89" w14:textId="77777777">
            <w:pPr>
              <w:spacing w:before="0" w:after="0"/>
              <w:rPr>
                <w:rFonts w:eastAsia="Times New Roman" w:cs="Arial"/>
                <w:color w:val="000000"/>
                <w:sz w:val="20"/>
                <w:lang w:eastAsia="en-NZ"/>
              </w:rPr>
            </w:pPr>
            <w:r>
              <w:rPr>
                <w:rFonts w:cs="Arial"/>
                <w:color w:val="000000"/>
                <w:sz w:val="20"/>
                <w:szCs w:val="20"/>
              </w:rPr>
              <w:t>Fruition</w:t>
            </w:r>
            <w:r>
              <w:rPr>
                <w:rFonts w:cs="Arial"/>
                <w:color w:val="000000"/>
                <w:sz w:val="20"/>
              </w:rPr>
              <w:t>*</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1773C56" w14:textId="77777777">
            <w:pPr>
              <w:spacing w:before="0" w:after="0"/>
              <w:rPr>
                <w:rFonts w:eastAsia="Times New Roman" w:cs="Arial"/>
                <w:color w:val="000000"/>
                <w:sz w:val="20"/>
                <w:lang w:eastAsia="en-NZ"/>
              </w:rPr>
            </w:pPr>
            <w:r>
              <w:rPr>
                <w:rFonts w:cs="Arial"/>
                <w:color w:val="000000"/>
                <w:sz w:val="20"/>
                <w:szCs w:val="20"/>
              </w:rPr>
              <w:t>PTE</w:t>
            </w:r>
          </w:p>
        </w:tc>
      </w:tr>
      <w:tr w:rsidRPr="004617C4" w:rsidR="00027FA3" w:rsidTr="21340B89" w14:paraId="03BA9282"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414322C9" w14:textId="77777777">
            <w:pPr>
              <w:spacing w:before="0" w:after="0"/>
              <w:rPr>
                <w:rFonts w:eastAsia="Times New Roman" w:cs="Arial"/>
                <w:color w:val="000000"/>
                <w:sz w:val="20"/>
                <w:lang w:eastAsia="en-NZ"/>
              </w:rPr>
            </w:pPr>
            <w:r>
              <w:rPr>
                <w:rFonts w:cs="Arial"/>
                <w:color w:val="000000"/>
                <w:sz w:val="20"/>
                <w:szCs w:val="20"/>
              </w:rPr>
              <w:t>Hospitality NZ</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79A40F3"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65FF671E"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F7548D" w:rsidR="00027FA3" w:rsidRDefault="00027FA3" w14:paraId="27932BBE" w14:textId="77777777">
            <w:pPr>
              <w:spacing w:before="0" w:after="0"/>
              <w:rPr>
                <w:rFonts w:eastAsia="Times New Roman" w:cs="Arial"/>
                <w:color w:val="000000"/>
                <w:sz w:val="20"/>
                <w:lang w:val="pt-BR" w:eastAsia="en-NZ"/>
              </w:rPr>
            </w:pPr>
            <w:r w:rsidRPr="00F7548D">
              <w:rPr>
                <w:rFonts w:cs="Arial"/>
                <w:color w:val="000000"/>
                <w:sz w:val="20"/>
                <w:szCs w:val="20"/>
                <w:lang w:val="pt-BR"/>
              </w:rPr>
              <w:t>Ia Ara Aotearoa Transporting New Zealand</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5401D96F"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6F886CD4"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1223C40A" w14:textId="2D735694">
            <w:pPr>
              <w:spacing w:before="0" w:after="0"/>
              <w:rPr>
                <w:rFonts w:eastAsia="Times New Roman" w:cs="Arial"/>
                <w:color w:val="000000"/>
                <w:sz w:val="20"/>
                <w:lang w:eastAsia="en-NZ"/>
              </w:rPr>
            </w:pPr>
            <w:r>
              <w:rPr>
                <w:rFonts w:cs="Arial"/>
                <w:color w:val="000000"/>
                <w:sz w:val="20"/>
                <w:szCs w:val="20"/>
              </w:rPr>
              <w:t>ICOMOS Aotearoa</w:t>
            </w:r>
            <w:r>
              <w:rPr>
                <w:rFonts w:cs="Arial"/>
                <w:color w:val="000000"/>
                <w:sz w:val="20"/>
              </w:rPr>
              <w:t>*</w:t>
            </w:r>
            <w:r w:rsidR="00325407">
              <w:rPr>
                <w:rFonts w:cs="Arial"/>
                <w:color w:val="000000"/>
                <w:sz w:val="20"/>
              </w:rPr>
              <w:t xml:space="preserve"> (</w:t>
            </w:r>
            <w:r w:rsidRPr="00325407" w:rsidR="00325407">
              <w:rPr>
                <w:rFonts w:cs="Arial"/>
                <w:color w:val="000000"/>
                <w:sz w:val="20"/>
              </w:rPr>
              <w:t>International Council on Monuments and Sites</w:t>
            </w:r>
            <w:r w:rsidR="00325407">
              <w:rPr>
                <w:rFonts w:cs="Arial"/>
                <w:color w:val="000000"/>
                <w:sz w:val="20"/>
              </w:rPr>
              <w:t>)</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01247AD2"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1700AEB1"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5FC3F71A" w14:textId="77777777">
            <w:pPr>
              <w:spacing w:before="0" w:after="0"/>
              <w:rPr>
                <w:rFonts w:eastAsia="Times New Roman" w:cs="Arial"/>
                <w:color w:val="000000"/>
                <w:sz w:val="20"/>
                <w:lang w:eastAsia="en-NZ"/>
              </w:rPr>
            </w:pPr>
            <w:r>
              <w:rPr>
                <w:rFonts w:cs="Arial"/>
                <w:color w:val="000000"/>
                <w:sz w:val="20"/>
                <w:szCs w:val="20"/>
              </w:rPr>
              <w:t>International Aviation Academy NZ</w:t>
            </w:r>
            <w:r>
              <w:rPr>
                <w:rFonts w:cs="Arial"/>
                <w:color w:val="000000"/>
                <w:sz w:val="20"/>
              </w:rPr>
              <w:t>*</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7BEB9003" w14:textId="77777777">
            <w:pPr>
              <w:spacing w:before="0" w:after="0"/>
              <w:rPr>
                <w:rFonts w:eastAsia="Times New Roman" w:cs="Arial"/>
                <w:color w:val="000000"/>
                <w:sz w:val="20"/>
                <w:lang w:eastAsia="en-NZ"/>
              </w:rPr>
            </w:pPr>
            <w:r>
              <w:rPr>
                <w:rFonts w:cs="Arial"/>
                <w:color w:val="000000"/>
                <w:sz w:val="20"/>
                <w:szCs w:val="20"/>
              </w:rPr>
              <w:t>PTE</w:t>
            </w:r>
          </w:p>
        </w:tc>
      </w:tr>
      <w:tr w:rsidRPr="004617C4" w:rsidR="00027FA3" w:rsidTr="21340B89" w14:paraId="519A7C4E"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103A697C" w14:textId="0EB6F167">
            <w:pPr>
              <w:spacing w:before="0" w:after="0"/>
              <w:rPr>
                <w:rFonts w:eastAsia="Times New Roman" w:cs="Arial"/>
                <w:color w:val="000000"/>
                <w:sz w:val="20"/>
                <w:lang w:eastAsia="en-NZ"/>
              </w:rPr>
            </w:pPr>
            <w:r>
              <w:rPr>
                <w:rFonts w:cs="Arial"/>
                <w:color w:val="000000"/>
                <w:sz w:val="20"/>
                <w:szCs w:val="20"/>
              </w:rPr>
              <w:t>ITENZ</w:t>
            </w:r>
            <w:r w:rsidR="00735A54">
              <w:rPr>
                <w:rFonts w:cs="Arial"/>
                <w:color w:val="000000"/>
                <w:sz w:val="20"/>
                <w:szCs w:val="20"/>
              </w:rPr>
              <w:t xml:space="preserve"> (Independent Tertiary Education New Zealand)</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2BED81D4" w14:textId="77777777">
            <w:pPr>
              <w:spacing w:before="0" w:after="0"/>
              <w:rPr>
                <w:rFonts w:eastAsia="Times New Roman" w:cs="Arial"/>
                <w:color w:val="000000"/>
                <w:sz w:val="20"/>
                <w:lang w:eastAsia="en-NZ"/>
              </w:rPr>
            </w:pPr>
            <w:r>
              <w:rPr>
                <w:rFonts w:cs="Arial"/>
                <w:color w:val="000000"/>
                <w:sz w:val="20"/>
                <w:szCs w:val="20"/>
              </w:rPr>
              <w:t>PTE</w:t>
            </w:r>
          </w:p>
        </w:tc>
      </w:tr>
      <w:tr w:rsidRPr="004617C4" w:rsidR="00027FA3" w:rsidTr="21340B89" w14:paraId="0C3FA019"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2E9F9175" w14:textId="77777777">
            <w:pPr>
              <w:spacing w:before="0" w:after="0"/>
              <w:rPr>
                <w:rFonts w:eastAsia="Times New Roman" w:cs="Arial"/>
                <w:color w:val="000000"/>
                <w:sz w:val="20"/>
                <w:lang w:eastAsia="en-NZ"/>
              </w:rPr>
            </w:pPr>
            <w:proofErr w:type="spellStart"/>
            <w:r>
              <w:rPr>
                <w:rFonts w:cs="Arial"/>
                <w:color w:val="000000"/>
                <w:sz w:val="20"/>
                <w:szCs w:val="20"/>
              </w:rPr>
              <w:t>Kiwi</w:t>
            </w:r>
            <w:r>
              <w:rPr>
                <w:rFonts w:cs="Arial"/>
                <w:color w:val="000000"/>
                <w:sz w:val="20"/>
              </w:rPr>
              <w:t>N</w:t>
            </w:r>
            <w:r>
              <w:rPr>
                <w:rFonts w:cs="Arial"/>
                <w:color w:val="000000"/>
                <w:sz w:val="20"/>
                <w:szCs w:val="20"/>
              </w:rPr>
              <w:t>et</w:t>
            </w:r>
            <w:proofErr w:type="spellEnd"/>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3A9BF62B" w14:textId="77777777">
            <w:pPr>
              <w:spacing w:before="0" w:after="0"/>
              <w:rPr>
                <w:rFonts w:eastAsia="Times New Roman" w:cs="Arial"/>
                <w:color w:val="000000"/>
                <w:sz w:val="20"/>
                <w:lang w:eastAsia="en-NZ"/>
              </w:rPr>
            </w:pPr>
            <w:r>
              <w:rPr>
                <w:rFonts w:cs="Arial"/>
                <w:color w:val="000000"/>
                <w:sz w:val="20"/>
                <w:szCs w:val="20"/>
              </w:rPr>
              <w:t xml:space="preserve">Research </w:t>
            </w:r>
          </w:p>
        </w:tc>
      </w:tr>
      <w:tr w:rsidRPr="004617C4" w:rsidR="00027FA3" w:rsidTr="21340B89" w14:paraId="67CE918F"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7FED95B4" w14:textId="77777777">
            <w:pPr>
              <w:spacing w:before="0" w:after="0"/>
              <w:rPr>
                <w:rFonts w:eastAsia="Times New Roman" w:cs="Arial"/>
                <w:color w:val="000000"/>
                <w:sz w:val="20"/>
                <w:lang w:eastAsia="en-NZ"/>
              </w:rPr>
            </w:pPr>
            <w:r>
              <w:rPr>
                <w:rFonts w:cs="Arial"/>
                <w:color w:val="000000"/>
                <w:sz w:val="20"/>
                <w:szCs w:val="20"/>
              </w:rPr>
              <w:t>Komiti Pasifika</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58950430" w14:textId="66CDF0B3">
            <w:pPr>
              <w:spacing w:before="0" w:after="0"/>
              <w:rPr>
                <w:rFonts w:eastAsia="Times New Roman" w:cs="Arial"/>
                <w:color w:val="000000"/>
                <w:sz w:val="20"/>
                <w:lang w:eastAsia="en-NZ"/>
              </w:rPr>
            </w:pPr>
            <w:r>
              <w:rPr>
                <w:rFonts w:cs="Arial"/>
                <w:color w:val="000000"/>
                <w:sz w:val="20"/>
                <w:szCs w:val="20"/>
              </w:rPr>
              <w:t>University</w:t>
            </w:r>
          </w:p>
        </w:tc>
      </w:tr>
      <w:tr w:rsidRPr="004617C4" w:rsidR="00027FA3" w:rsidTr="21340B89" w14:paraId="10E6A18A"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7AB2F8E8" w14:textId="77777777">
            <w:pPr>
              <w:spacing w:before="0" w:after="0"/>
              <w:rPr>
                <w:rFonts w:eastAsia="Times New Roman" w:cs="Arial"/>
                <w:color w:val="000000"/>
                <w:sz w:val="20"/>
                <w:lang w:eastAsia="en-NZ"/>
              </w:rPr>
            </w:pPr>
            <w:r>
              <w:rPr>
                <w:rFonts w:cs="Arial"/>
                <w:color w:val="000000"/>
                <w:sz w:val="20"/>
                <w:szCs w:val="20"/>
              </w:rPr>
              <w:t>MacDiarmid Institute</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3F03D3F1" w14:textId="77777777">
            <w:pPr>
              <w:spacing w:before="0" w:after="0"/>
              <w:rPr>
                <w:rFonts w:eastAsia="Times New Roman" w:cs="Arial"/>
                <w:color w:val="000000"/>
                <w:sz w:val="20"/>
                <w:lang w:eastAsia="en-NZ"/>
              </w:rPr>
            </w:pPr>
            <w:r>
              <w:rPr>
                <w:rFonts w:cs="Arial"/>
                <w:color w:val="000000"/>
                <w:sz w:val="20"/>
                <w:szCs w:val="20"/>
              </w:rPr>
              <w:t xml:space="preserve">Research </w:t>
            </w:r>
          </w:p>
        </w:tc>
      </w:tr>
      <w:tr w:rsidRPr="004617C4" w:rsidR="00027FA3" w:rsidTr="21340B89" w14:paraId="1D5D9C26"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D04B7A" w14:paraId="7ACFEE91" w14:textId="06CE35E1">
            <w:pPr>
              <w:spacing w:before="0" w:after="0"/>
              <w:rPr>
                <w:rFonts w:eastAsia="Times New Roman" w:cs="Arial"/>
                <w:color w:val="000000"/>
                <w:sz w:val="20"/>
                <w:lang w:eastAsia="en-NZ"/>
              </w:rPr>
            </w:pPr>
            <w:r>
              <w:rPr>
                <w:rFonts w:cs="Arial"/>
                <w:color w:val="000000"/>
                <w:sz w:val="20"/>
                <w:szCs w:val="20"/>
              </w:rPr>
              <w:t>MIT (</w:t>
            </w:r>
            <w:r w:rsidR="00027FA3">
              <w:rPr>
                <w:rFonts w:cs="Arial"/>
                <w:color w:val="000000"/>
                <w:sz w:val="20"/>
                <w:szCs w:val="20"/>
              </w:rPr>
              <w:t>Manukau Institute of Technology</w:t>
            </w:r>
            <w:r>
              <w:rPr>
                <w:rFonts w:cs="Arial"/>
                <w:color w:val="000000"/>
                <w:sz w:val="20"/>
                <w:szCs w:val="20"/>
              </w:rPr>
              <w:t>)</w:t>
            </w:r>
            <w:r w:rsidR="00027FA3">
              <w:rPr>
                <w:rFonts w:cs="Arial"/>
                <w:color w:val="000000"/>
                <w:sz w:val="20"/>
                <w:szCs w:val="20"/>
              </w:rPr>
              <w:t xml:space="preserve"> (joint </w:t>
            </w:r>
            <w:r w:rsidR="00096F33">
              <w:rPr>
                <w:rFonts w:cs="Arial"/>
                <w:color w:val="000000"/>
                <w:sz w:val="20"/>
                <w:szCs w:val="20"/>
              </w:rPr>
              <w:t xml:space="preserve">submission </w:t>
            </w:r>
            <w:r w:rsidR="00027FA3">
              <w:rPr>
                <w:rFonts w:cs="Arial"/>
                <w:color w:val="000000"/>
                <w:sz w:val="20"/>
                <w:szCs w:val="20"/>
              </w:rPr>
              <w:t>with Unitec)</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6001CCD"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Pūkenga</w:t>
            </w:r>
            <w:proofErr w:type="spellEnd"/>
            <w:r>
              <w:rPr>
                <w:rFonts w:cs="Arial"/>
                <w:color w:val="000000"/>
                <w:sz w:val="20"/>
                <w:szCs w:val="20"/>
              </w:rPr>
              <w:t xml:space="preserve"> division</w:t>
            </w:r>
          </w:p>
        </w:tc>
      </w:tr>
      <w:tr w:rsidRPr="004617C4" w:rsidR="00027FA3" w:rsidTr="21340B89" w14:paraId="61B196B3"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2B3C0FB5" w14:textId="77777777">
            <w:pPr>
              <w:spacing w:before="0" w:after="0"/>
              <w:rPr>
                <w:rFonts w:eastAsia="Times New Roman" w:cs="Arial"/>
                <w:color w:val="000000"/>
                <w:sz w:val="20"/>
                <w:lang w:eastAsia="en-NZ"/>
              </w:rPr>
            </w:pPr>
            <w:r>
              <w:rPr>
                <w:rFonts w:cs="Arial"/>
                <w:color w:val="000000"/>
                <w:sz w:val="20"/>
                <w:szCs w:val="20"/>
              </w:rPr>
              <w:t>Massey University</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3A336B8B" w14:textId="77777777">
            <w:pPr>
              <w:spacing w:before="0" w:after="0"/>
              <w:rPr>
                <w:rFonts w:eastAsia="Times New Roman" w:cs="Arial"/>
                <w:color w:val="000000"/>
                <w:sz w:val="20"/>
                <w:lang w:eastAsia="en-NZ"/>
              </w:rPr>
            </w:pPr>
            <w:r>
              <w:rPr>
                <w:rFonts w:cs="Arial"/>
                <w:color w:val="000000"/>
                <w:sz w:val="20"/>
                <w:szCs w:val="20"/>
              </w:rPr>
              <w:t>University</w:t>
            </w:r>
          </w:p>
        </w:tc>
      </w:tr>
      <w:tr w:rsidRPr="004617C4" w:rsidR="00027FA3" w:rsidTr="21340B89" w14:paraId="173557C7"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74EF3DBF" w14:textId="54A63470">
            <w:pPr>
              <w:spacing w:before="0" w:after="0"/>
              <w:rPr>
                <w:rFonts w:eastAsia="Times New Roman" w:cs="Arial"/>
                <w:color w:val="000000"/>
                <w:sz w:val="20"/>
                <w:lang w:eastAsia="en-NZ"/>
              </w:rPr>
            </w:pPr>
            <w:proofErr w:type="spellStart"/>
            <w:r>
              <w:rPr>
                <w:rFonts w:cs="Arial"/>
                <w:color w:val="000000"/>
                <w:sz w:val="20"/>
                <w:szCs w:val="20"/>
              </w:rPr>
              <w:t>Mātauranga</w:t>
            </w:r>
            <w:proofErr w:type="spellEnd"/>
            <w:r>
              <w:rPr>
                <w:rFonts w:cs="Arial"/>
                <w:color w:val="000000"/>
                <w:sz w:val="20"/>
                <w:szCs w:val="20"/>
              </w:rPr>
              <w:t xml:space="preserve"> Iwi Leaders Group </w:t>
            </w:r>
            <w:r w:rsidR="00096F33">
              <w:rPr>
                <w:rFonts w:cs="Arial"/>
                <w:color w:val="000000"/>
                <w:sz w:val="20"/>
                <w:szCs w:val="20"/>
              </w:rPr>
              <w:t>(MILG)</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920B7BC" w14:textId="77777777">
            <w:pPr>
              <w:spacing w:before="0" w:after="0"/>
              <w:rPr>
                <w:rFonts w:eastAsia="Times New Roman" w:cs="Arial"/>
                <w:color w:val="000000"/>
                <w:sz w:val="20"/>
                <w:lang w:eastAsia="en-NZ"/>
              </w:rPr>
            </w:pPr>
            <w:r>
              <w:rPr>
                <w:rFonts w:cs="Arial"/>
                <w:color w:val="000000"/>
                <w:sz w:val="20"/>
                <w:szCs w:val="20"/>
              </w:rPr>
              <w:t>Other</w:t>
            </w:r>
          </w:p>
        </w:tc>
      </w:tr>
      <w:tr w:rsidRPr="004617C4" w:rsidR="00027FA3" w:rsidTr="21340B89" w14:paraId="0E68296F" w14:textId="77777777">
        <w:trPr>
          <w:trHeight w:val="176"/>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747534C6" w14:textId="77777777">
            <w:pPr>
              <w:spacing w:before="0" w:after="0"/>
              <w:rPr>
                <w:rFonts w:eastAsia="Times New Roman" w:cs="Arial"/>
                <w:color w:val="000000"/>
                <w:sz w:val="20"/>
                <w:lang w:eastAsia="en-NZ"/>
              </w:rPr>
            </w:pPr>
            <w:r>
              <w:rPr>
                <w:rFonts w:cs="Arial"/>
                <w:color w:val="000000"/>
                <w:sz w:val="20"/>
                <w:szCs w:val="20"/>
              </w:rPr>
              <w:t>Motor ITO</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F7674B5"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Pūkenga</w:t>
            </w:r>
            <w:proofErr w:type="spellEnd"/>
            <w:r>
              <w:rPr>
                <w:rFonts w:cs="Arial"/>
                <w:color w:val="000000"/>
                <w:sz w:val="20"/>
                <w:szCs w:val="20"/>
              </w:rPr>
              <w:t xml:space="preserve"> division</w:t>
            </w:r>
          </w:p>
        </w:tc>
      </w:tr>
      <w:tr w:rsidRPr="004617C4" w:rsidR="00027FA3" w:rsidTr="21340B89" w14:paraId="02B60F9C"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4D0A4D75" w14:textId="44A314B2">
            <w:pPr>
              <w:spacing w:before="0" w:after="0"/>
              <w:rPr>
                <w:rFonts w:eastAsia="Times New Roman" w:cs="Arial"/>
                <w:color w:val="000000"/>
                <w:sz w:val="20"/>
                <w:lang w:eastAsia="en-NZ"/>
              </w:rPr>
            </w:pPr>
            <w:r>
              <w:rPr>
                <w:rFonts w:cs="Arial"/>
                <w:color w:val="000000"/>
                <w:sz w:val="20"/>
                <w:szCs w:val="20"/>
              </w:rPr>
              <w:t>Motor Trade Association</w:t>
            </w:r>
            <w:r w:rsidR="00096F33">
              <w:rPr>
                <w:rFonts w:cs="Arial"/>
                <w:color w:val="000000"/>
                <w:sz w:val="20"/>
                <w:szCs w:val="20"/>
              </w:rPr>
              <w:t xml:space="preserve"> (MTA)</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F4A5BF2"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22D01B80"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1D818C18" w14:textId="77777777">
            <w:pPr>
              <w:spacing w:before="0" w:after="0"/>
              <w:rPr>
                <w:rFonts w:eastAsia="Times New Roman" w:cs="Arial"/>
                <w:color w:val="000000"/>
                <w:sz w:val="20"/>
                <w:lang w:eastAsia="en-NZ"/>
              </w:rPr>
            </w:pPr>
            <w:r>
              <w:rPr>
                <w:rFonts w:cs="Arial"/>
                <w:color w:val="000000"/>
                <w:sz w:val="20"/>
                <w:szCs w:val="20"/>
              </w:rPr>
              <w:t xml:space="preserve">Muka </w:t>
            </w:r>
            <w:proofErr w:type="spellStart"/>
            <w:r>
              <w:rPr>
                <w:rFonts w:cs="Arial"/>
                <w:color w:val="000000"/>
                <w:sz w:val="20"/>
                <w:szCs w:val="20"/>
              </w:rPr>
              <w:t>Tangata</w:t>
            </w:r>
            <w:proofErr w:type="spellEnd"/>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0DE845F2" w14:textId="541B881F">
            <w:pPr>
              <w:spacing w:before="0" w:after="0"/>
              <w:rPr>
                <w:rFonts w:eastAsia="Times New Roman" w:cs="Arial"/>
                <w:color w:val="000000"/>
                <w:sz w:val="20"/>
                <w:lang w:eastAsia="en-NZ"/>
              </w:rPr>
            </w:pPr>
            <w:r>
              <w:rPr>
                <w:rFonts w:cs="Arial"/>
                <w:color w:val="000000"/>
                <w:sz w:val="20"/>
                <w:szCs w:val="20"/>
              </w:rPr>
              <w:t xml:space="preserve">Tertiary </w:t>
            </w:r>
            <w:r w:rsidR="00A431FF">
              <w:rPr>
                <w:rFonts w:cs="Arial"/>
                <w:color w:val="000000"/>
                <w:sz w:val="20"/>
                <w:szCs w:val="20"/>
              </w:rPr>
              <w:t>s</w:t>
            </w:r>
            <w:r>
              <w:rPr>
                <w:rFonts w:cs="Arial"/>
                <w:color w:val="000000"/>
                <w:sz w:val="20"/>
                <w:szCs w:val="20"/>
              </w:rPr>
              <w:t xml:space="preserve">ector </w:t>
            </w:r>
            <w:r w:rsidR="00A431FF">
              <w:rPr>
                <w:rFonts w:cs="Arial"/>
                <w:color w:val="000000"/>
                <w:sz w:val="20"/>
                <w:szCs w:val="20"/>
              </w:rPr>
              <w:t>e</w:t>
            </w:r>
            <w:r>
              <w:rPr>
                <w:rFonts w:cs="Arial"/>
                <w:color w:val="000000"/>
                <w:sz w:val="20"/>
                <w:szCs w:val="20"/>
              </w:rPr>
              <w:t>ntity</w:t>
            </w:r>
          </w:p>
        </w:tc>
      </w:tr>
      <w:tr w:rsidRPr="004617C4" w:rsidR="00027FA3" w:rsidTr="21340B89" w14:paraId="6E3B6942"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24BBB506" w14:textId="77777777">
            <w:pPr>
              <w:spacing w:before="0" w:after="0"/>
              <w:rPr>
                <w:rFonts w:eastAsia="Times New Roman" w:cs="Arial"/>
                <w:color w:val="000000"/>
                <w:sz w:val="20"/>
                <w:lang w:eastAsia="en-NZ"/>
              </w:rPr>
            </w:pPr>
            <w:r>
              <w:rPr>
                <w:rFonts w:cs="Arial"/>
                <w:color w:val="000000"/>
                <w:sz w:val="20"/>
                <w:szCs w:val="20"/>
              </w:rPr>
              <w:t xml:space="preserve">National Disabled Students’ Association </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501C7182" w14:textId="5D90CA86">
            <w:pPr>
              <w:spacing w:before="0" w:after="0"/>
              <w:rPr>
                <w:rFonts w:eastAsia="Times New Roman" w:cs="Arial"/>
                <w:color w:val="000000"/>
                <w:sz w:val="20"/>
                <w:lang w:eastAsia="en-NZ"/>
              </w:rPr>
            </w:pPr>
            <w:r>
              <w:rPr>
                <w:rFonts w:cs="Arial"/>
                <w:color w:val="000000"/>
                <w:sz w:val="20"/>
                <w:szCs w:val="20"/>
              </w:rPr>
              <w:t xml:space="preserve">Student </w:t>
            </w:r>
            <w:r w:rsidR="00A431FF">
              <w:rPr>
                <w:rFonts w:cs="Arial"/>
                <w:color w:val="000000"/>
                <w:sz w:val="20"/>
                <w:szCs w:val="20"/>
              </w:rPr>
              <w:t>a</w:t>
            </w:r>
            <w:r>
              <w:rPr>
                <w:rFonts w:cs="Arial"/>
                <w:color w:val="000000"/>
                <w:sz w:val="20"/>
                <w:szCs w:val="20"/>
              </w:rPr>
              <w:t>ssociation</w:t>
            </w:r>
          </w:p>
        </w:tc>
      </w:tr>
      <w:tr w:rsidRPr="004617C4" w:rsidR="00027FA3" w:rsidTr="21340B89" w14:paraId="3E9A4137"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D04B7A" w14:paraId="7841EB6E" w14:textId="4BBE4EB8">
            <w:pPr>
              <w:spacing w:before="0" w:after="0"/>
              <w:rPr>
                <w:rFonts w:eastAsia="Times New Roman" w:cs="Arial"/>
                <w:color w:val="000000"/>
                <w:sz w:val="20"/>
                <w:lang w:eastAsia="en-NZ"/>
              </w:rPr>
            </w:pPr>
            <w:r>
              <w:rPr>
                <w:rFonts w:cs="Arial"/>
                <w:color w:val="000000"/>
                <w:sz w:val="20"/>
                <w:szCs w:val="20"/>
              </w:rPr>
              <w:t>NMIT (</w:t>
            </w:r>
            <w:r w:rsidR="00027FA3">
              <w:rPr>
                <w:rFonts w:cs="Arial"/>
                <w:color w:val="000000"/>
                <w:sz w:val="20"/>
                <w:szCs w:val="20"/>
              </w:rPr>
              <w:t>N</w:t>
            </w:r>
            <w:r w:rsidR="00027FA3">
              <w:rPr>
                <w:rFonts w:cs="Arial"/>
                <w:color w:val="000000"/>
                <w:sz w:val="20"/>
              </w:rPr>
              <w:t>elson Marlborough Institute of Technology</w:t>
            </w:r>
            <w:r>
              <w:rPr>
                <w:rFonts w:cs="Arial"/>
                <w:color w:val="000000"/>
                <w:sz w:val="20"/>
              </w:rPr>
              <w:t>)</w:t>
            </w:r>
            <w:r w:rsidR="00027FA3">
              <w:rPr>
                <w:rFonts w:cs="Arial"/>
                <w:color w:val="000000"/>
                <w:sz w:val="20"/>
              </w:rPr>
              <w:t xml:space="preserve"> </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3F1CEE1"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Pūkenga</w:t>
            </w:r>
            <w:proofErr w:type="spellEnd"/>
            <w:r>
              <w:rPr>
                <w:rFonts w:cs="Arial"/>
                <w:color w:val="000000"/>
                <w:sz w:val="20"/>
                <w:szCs w:val="20"/>
              </w:rPr>
              <w:t xml:space="preserve"> division</w:t>
            </w:r>
          </w:p>
        </w:tc>
      </w:tr>
      <w:tr w:rsidRPr="004617C4" w:rsidR="00203026" w:rsidTr="21340B89" w14:paraId="17E28D74"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203026" w:rsidP="00902B95" w:rsidRDefault="00203026" w14:paraId="64134E4D" w14:textId="77777777">
            <w:pPr>
              <w:spacing w:before="0" w:after="0"/>
              <w:rPr>
                <w:rFonts w:eastAsia="Times New Roman" w:cs="Arial"/>
                <w:color w:val="000000"/>
                <w:sz w:val="20"/>
                <w:lang w:eastAsia="en-NZ"/>
              </w:rPr>
            </w:pPr>
            <w:r>
              <w:rPr>
                <w:rFonts w:cs="Arial"/>
                <w:color w:val="000000"/>
                <w:sz w:val="20"/>
                <w:szCs w:val="20"/>
              </w:rPr>
              <w:t>New Zealand Council of Trade Unions (NZCTU)</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203026" w:rsidP="00902B95" w:rsidRDefault="00203026" w14:paraId="53AFBC95" w14:textId="6B10B1ED">
            <w:pPr>
              <w:spacing w:before="0" w:after="0"/>
              <w:rPr>
                <w:rFonts w:eastAsia="Times New Roman" w:cs="Arial"/>
                <w:color w:val="000000"/>
                <w:sz w:val="20"/>
                <w:lang w:eastAsia="en-NZ"/>
              </w:rPr>
            </w:pPr>
            <w:r>
              <w:rPr>
                <w:rFonts w:cs="Arial"/>
                <w:color w:val="000000"/>
                <w:sz w:val="20"/>
                <w:szCs w:val="20"/>
              </w:rPr>
              <w:t xml:space="preserve">Educator </w:t>
            </w:r>
            <w:r w:rsidR="00A431FF">
              <w:rPr>
                <w:rFonts w:cs="Arial"/>
                <w:color w:val="000000"/>
                <w:sz w:val="20"/>
                <w:szCs w:val="20"/>
              </w:rPr>
              <w:t>v</w:t>
            </w:r>
            <w:r>
              <w:rPr>
                <w:rFonts w:cs="Arial"/>
                <w:color w:val="000000"/>
                <w:sz w:val="20"/>
                <w:szCs w:val="20"/>
              </w:rPr>
              <w:t>oice</w:t>
            </w:r>
          </w:p>
        </w:tc>
      </w:tr>
      <w:tr w:rsidRPr="004617C4" w:rsidR="00027FA3" w:rsidTr="21340B89" w14:paraId="667879AC"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3EC4ACA7" w14:textId="77777777">
            <w:pPr>
              <w:spacing w:before="0" w:after="0"/>
              <w:rPr>
                <w:rFonts w:eastAsia="Times New Roman" w:cs="Arial"/>
                <w:color w:val="000000"/>
                <w:sz w:val="20"/>
                <w:lang w:eastAsia="en-NZ"/>
              </w:rPr>
            </w:pPr>
            <w:r>
              <w:rPr>
                <w:rFonts w:cs="Arial"/>
                <w:color w:val="000000"/>
                <w:sz w:val="20"/>
                <w:szCs w:val="20"/>
              </w:rPr>
              <w:t>New Zealand Minerals Council</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A205C0F"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5373169E"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36E0AD9A" w14:textId="77777777">
            <w:pPr>
              <w:spacing w:before="0" w:after="0"/>
              <w:rPr>
                <w:rFonts w:eastAsia="Times New Roman" w:cs="Arial"/>
                <w:color w:val="000000"/>
                <w:sz w:val="20"/>
                <w:lang w:eastAsia="en-NZ"/>
              </w:rPr>
            </w:pPr>
            <w:r>
              <w:rPr>
                <w:rFonts w:cs="Arial"/>
                <w:color w:val="000000"/>
                <w:sz w:val="20"/>
                <w:szCs w:val="20"/>
              </w:rPr>
              <w:t>NZ Marine Industry Association</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6470B8EC"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4BC5D488"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01377FEC" w14:textId="77777777">
            <w:pPr>
              <w:spacing w:before="0" w:after="0"/>
              <w:rPr>
                <w:rFonts w:eastAsia="Times New Roman" w:cs="Arial"/>
                <w:color w:val="000000"/>
                <w:sz w:val="20"/>
                <w:lang w:eastAsia="en-NZ"/>
              </w:rPr>
            </w:pPr>
            <w:r>
              <w:rPr>
                <w:rFonts w:cs="Arial"/>
                <w:color w:val="000000"/>
                <w:sz w:val="20"/>
                <w:szCs w:val="20"/>
              </w:rPr>
              <w:t>NZ Writers Guild</w:t>
            </w:r>
            <w:r>
              <w:rPr>
                <w:rFonts w:cs="Arial"/>
                <w:color w:val="000000"/>
                <w:sz w:val="20"/>
              </w:rPr>
              <w:t>*</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9333004"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23C9D578"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7F774ADB" w14:textId="77777777">
            <w:pPr>
              <w:spacing w:before="0" w:after="0"/>
              <w:rPr>
                <w:rFonts w:eastAsia="Times New Roman" w:cs="Arial"/>
                <w:color w:val="000000"/>
                <w:sz w:val="20"/>
                <w:lang w:eastAsia="en-NZ"/>
              </w:rPr>
            </w:pPr>
            <w:r>
              <w:rPr>
                <w:rFonts w:cs="Arial"/>
                <w:color w:val="000000"/>
                <w:sz w:val="20"/>
                <w:szCs w:val="20"/>
              </w:rPr>
              <w:t>Open Polytechnic</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E7FB184"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Pūkenga</w:t>
            </w:r>
            <w:proofErr w:type="spellEnd"/>
            <w:r>
              <w:rPr>
                <w:rFonts w:cs="Arial"/>
                <w:color w:val="000000"/>
                <w:sz w:val="20"/>
                <w:szCs w:val="20"/>
              </w:rPr>
              <w:t xml:space="preserve"> division</w:t>
            </w:r>
          </w:p>
        </w:tc>
      </w:tr>
      <w:tr w:rsidRPr="004617C4" w:rsidR="00027FA3" w:rsidTr="21340B89" w14:paraId="463C9908"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110F1F22" w14:textId="135F4944">
            <w:pPr>
              <w:spacing w:before="0" w:after="0"/>
              <w:rPr>
                <w:rFonts w:eastAsia="Times New Roman" w:cs="Arial"/>
                <w:color w:val="000000"/>
                <w:sz w:val="20"/>
                <w:lang w:eastAsia="en-NZ"/>
              </w:rPr>
            </w:pPr>
            <w:r>
              <w:rPr>
                <w:rFonts w:cs="Arial"/>
                <w:color w:val="000000"/>
                <w:sz w:val="20"/>
                <w:szCs w:val="20"/>
              </w:rPr>
              <w:t>OUSA</w:t>
            </w:r>
            <w:r w:rsidR="00735A54">
              <w:rPr>
                <w:rFonts w:cs="Arial"/>
                <w:color w:val="000000"/>
                <w:sz w:val="20"/>
                <w:szCs w:val="20"/>
              </w:rPr>
              <w:t xml:space="preserve"> (Otago University Student Association)</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0C2A1A38" w14:textId="1ECB034F">
            <w:pPr>
              <w:spacing w:before="0" w:after="0"/>
              <w:rPr>
                <w:rFonts w:eastAsia="Times New Roman" w:cs="Arial"/>
                <w:color w:val="000000"/>
                <w:sz w:val="20"/>
                <w:lang w:eastAsia="en-NZ"/>
              </w:rPr>
            </w:pPr>
            <w:r>
              <w:rPr>
                <w:rFonts w:cs="Arial"/>
                <w:color w:val="000000"/>
                <w:sz w:val="20"/>
                <w:szCs w:val="20"/>
              </w:rPr>
              <w:t xml:space="preserve">Student </w:t>
            </w:r>
            <w:r w:rsidR="00A431FF">
              <w:rPr>
                <w:rFonts w:cs="Arial"/>
                <w:color w:val="000000"/>
                <w:sz w:val="20"/>
                <w:szCs w:val="20"/>
              </w:rPr>
              <w:t>a</w:t>
            </w:r>
            <w:r>
              <w:rPr>
                <w:rFonts w:cs="Arial"/>
                <w:color w:val="000000"/>
                <w:sz w:val="20"/>
                <w:szCs w:val="20"/>
              </w:rPr>
              <w:t>ssociation</w:t>
            </w:r>
          </w:p>
        </w:tc>
      </w:tr>
      <w:tr w:rsidRPr="004617C4" w:rsidR="00027FA3" w:rsidTr="21340B89" w14:paraId="0EA195DE"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1DC794B6" w14:textId="77777777">
            <w:pPr>
              <w:spacing w:before="0" w:after="0"/>
              <w:rPr>
                <w:rFonts w:eastAsia="Times New Roman" w:cs="Arial"/>
                <w:color w:val="000000"/>
                <w:sz w:val="20"/>
                <w:lang w:eastAsia="en-NZ"/>
              </w:rPr>
            </w:pPr>
            <w:r>
              <w:rPr>
                <w:rFonts w:cs="Arial"/>
                <w:color w:val="000000"/>
                <w:sz w:val="20"/>
                <w:szCs w:val="20"/>
              </w:rPr>
              <w:t>Primary ITO</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0CA0C491"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Pūkenga</w:t>
            </w:r>
            <w:proofErr w:type="spellEnd"/>
            <w:r>
              <w:rPr>
                <w:rFonts w:cs="Arial"/>
                <w:color w:val="000000"/>
                <w:sz w:val="20"/>
                <w:szCs w:val="20"/>
              </w:rPr>
              <w:t xml:space="preserve"> division</w:t>
            </w:r>
          </w:p>
        </w:tc>
      </w:tr>
      <w:tr w:rsidRPr="004617C4" w:rsidR="00027FA3" w:rsidTr="21340B89" w14:paraId="43457D1C"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67FF190C" w14:textId="7D48F394">
            <w:pPr>
              <w:spacing w:before="0" w:after="0"/>
              <w:rPr>
                <w:rFonts w:eastAsia="Times New Roman" w:cs="Arial"/>
                <w:color w:val="000000"/>
                <w:sz w:val="20"/>
                <w:lang w:eastAsia="en-NZ"/>
              </w:rPr>
            </w:pPr>
            <w:r>
              <w:rPr>
                <w:rFonts w:cs="Arial"/>
                <w:color w:val="000000"/>
                <w:sz w:val="20"/>
                <w:szCs w:val="20"/>
              </w:rPr>
              <w:t>QTI</w:t>
            </w:r>
            <w:r w:rsidR="000C7547">
              <w:rPr>
                <w:rFonts w:cs="Arial"/>
                <w:color w:val="000000"/>
                <w:sz w:val="20"/>
                <w:szCs w:val="20"/>
              </w:rPr>
              <w:t xml:space="preserve"> (Quality Tertiary Institutes)</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070D26D" w14:textId="77777777">
            <w:pPr>
              <w:spacing w:before="0" w:after="0"/>
              <w:rPr>
                <w:rFonts w:eastAsia="Times New Roman" w:cs="Arial"/>
                <w:color w:val="000000"/>
                <w:sz w:val="20"/>
                <w:lang w:eastAsia="en-NZ"/>
              </w:rPr>
            </w:pPr>
            <w:r>
              <w:rPr>
                <w:rFonts w:cs="Arial"/>
                <w:color w:val="000000"/>
                <w:sz w:val="20"/>
                <w:szCs w:val="20"/>
              </w:rPr>
              <w:t>PTE</w:t>
            </w:r>
          </w:p>
        </w:tc>
      </w:tr>
      <w:tr w:rsidRPr="004617C4" w:rsidR="00027FA3" w:rsidTr="21340B89" w14:paraId="665374B9"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5BDD6905" w14:textId="77777777">
            <w:pPr>
              <w:spacing w:before="0" w:after="0"/>
              <w:rPr>
                <w:rFonts w:eastAsia="Times New Roman" w:cs="Arial"/>
                <w:color w:val="000000"/>
                <w:sz w:val="20"/>
                <w:lang w:eastAsia="en-NZ"/>
              </w:rPr>
            </w:pPr>
            <w:proofErr w:type="spellStart"/>
            <w:r>
              <w:rPr>
                <w:rFonts w:cs="Arial"/>
                <w:color w:val="000000"/>
                <w:sz w:val="20"/>
                <w:szCs w:val="20"/>
              </w:rPr>
              <w:t>Ringa</w:t>
            </w:r>
            <w:proofErr w:type="spellEnd"/>
            <w:r>
              <w:rPr>
                <w:rFonts w:cs="Arial"/>
                <w:color w:val="000000"/>
                <w:sz w:val="20"/>
                <w:szCs w:val="20"/>
              </w:rPr>
              <w:t xml:space="preserve"> Hora</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5812DA74" w14:textId="33E67027">
            <w:pPr>
              <w:spacing w:before="0" w:after="0"/>
              <w:rPr>
                <w:rFonts w:eastAsia="Times New Roman" w:cs="Arial"/>
                <w:color w:val="000000"/>
                <w:sz w:val="20"/>
                <w:lang w:eastAsia="en-NZ"/>
              </w:rPr>
            </w:pPr>
            <w:r>
              <w:rPr>
                <w:rFonts w:cs="Arial"/>
                <w:color w:val="000000"/>
                <w:sz w:val="20"/>
                <w:szCs w:val="20"/>
              </w:rPr>
              <w:t xml:space="preserve">Tertiary </w:t>
            </w:r>
            <w:r w:rsidR="00A431FF">
              <w:rPr>
                <w:rFonts w:cs="Arial"/>
                <w:color w:val="000000"/>
                <w:sz w:val="20"/>
                <w:szCs w:val="20"/>
              </w:rPr>
              <w:t>s</w:t>
            </w:r>
            <w:r>
              <w:rPr>
                <w:rFonts w:cs="Arial"/>
                <w:color w:val="000000"/>
                <w:sz w:val="20"/>
                <w:szCs w:val="20"/>
              </w:rPr>
              <w:t xml:space="preserve">ector </w:t>
            </w:r>
            <w:r w:rsidR="00A431FF">
              <w:rPr>
                <w:rFonts w:cs="Arial"/>
                <w:color w:val="000000"/>
                <w:sz w:val="20"/>
                <w:szCs w:val="20"/>
              </w:rPr>
              <w:t>e</w:t>
            </w:r>
            <w:r>
              <w:rPr>
                <w:rFonts w:cs="Arial"/>
                <w:color w:val="000000"/>
                <w:sz w:val="20"/>
                <w:szCs w:val="20"/>
              </w:rPr>
              <w:t>ntity</w:t>
            </w:r>
          </w:p>
        </w:tc>
      </w:tr>
      <w:tr w:rsidRPr="004617C4" w:rsidR="00027FA3" w:rsidTr="21340B89" w14:paraId="166FABC1"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2AB1BC38" w14:textId="77777777">
            <w:pPr>
              <w:spacing w:before="0" w:after="0"/>
              <w:rPr>
                <w:rFonts w:eastAsia="Times New Roman" w:cs="Arial"/>
                <w:color w:val="000000"/>
                <w:sz w:val="20"/>
                <w:lang w:eastAsia="en-NZ"/>
              </w:rPr>
            </w:pPr>
            <w:r>
              <w:rPr>
                <w:rFonts w:cs="Arial"/>
                <w:color w:val="000000"/>
                <w:sz w:val="20"/>
                <w:szCs w:val="20"/>
              </w:rPr>
              <w:t>Royal Society</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7F8E701B" w14:textId="77777777">
            <w:pPr>
              <w:spacing w:before="0" w:after="0"/>
              <w:rPr>
                <w:rFonts w:eastAsia="Times New Roman" w:cs="Arial"/>
                <w:color w:val="000000"/>
                <w:sz w:val="20"/>
                <w:lang w:eastAsia="en-NZ"/>
              </w:rPr>
            </w:pPr>
            <w:r>
              <w:rPr>
                <w:rFonts w:cs="Arial"/>
                <w:color w:val="000000"/>
                <w:sz w:val="20"/>
                <w:szCs w:val="20"/>
              </w:rPr>
              <w:t xml:space="preserve">Research </w:t>
            </w:r>
          </w:p>
        </w:tc>
      </w:tr>
      <w:tr w:rsidRPr="004617C4" w:rsidR="00027FA3" w:rsidTr="21340B89" w14:paraId="3C941771" w14:textId="77777777">
        <w:trPr>
          <w:trHeight w:val="300"/>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551CCCF9" w14:textId="50B770DB">
            <w:pPr>
              <w:spacing w:before="0" w:after="0"/>
              <w:rPr>
                <w:rFonts w:eastAsia="Times New Roman" w:cs="Arial"/>
                <w:color w:val="000000"/>
                <w:sz w:val="20"/>
                <w:lang w:eastAsia="en-NZ"/>
              </w:rPr>
            </w:pPr>
            <w:r>
              <w:rPr>
                <w:rFonts w:cs="Arial"/>
                <w:color w:val="000000"/>
                <w:sz w:val="20"/>
                <w:szCs w:val="20"/>
              </w:rPr>
              <w:t>SANITI</w:t>
            </w:r>
            <w:r w:rsidR="00D04B7A">
              <w:rPr>
                <w:rFonts w:cs="Arial"/>
                <w:color w:val="000000"/>
                <w:sz w:val="20"/>
                <w:szCs w:val="20"/>
              </w:rPr>
              <w:t xml:space="preserve"> (NMIT Students Association)</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CF05FB2" w14:textId="26B1061C">
            <w:pPr>
              <w:spacing w:before="0" w:after="0"/>
              <w:rPr>
                <w:rFonts w:eastAsia="Times New Roman" w:cs="Arial"/>
                <w:color w:val="000000"/>
                <w:sz w:val="20"/>
                <w:lang w:eastAsia="en-NZ"/>
              </w:rPr>
            </w:pPr>
            <w:r>
              <w:rPr>
                <w:rFonts w:cs="Arial"/>
                <w:color w:val="000000"/>
                <w:sz w:val="20"/>
                <w:szCs w:val="20"/>
              </w:rPr>
              <w:t xml:space="preserve">Student </w:t>
            </w:r>
            <w:r w:rsidR="00A431FF">
              <w:rPr>
                <w:rFonts w:cs="Arial"/>
                <w:color w:val="000000"/>
                <w:sz w:val="20"/>
                <w:szCs w:val="20"/>
              </w:rPr>
              <w:t>a</w:t>
            </w:r>
            <w:r>
              <w:rPr>
                <w:rFonts w:cs="Arial"/>
                <w:color w:val="000000"/>
                <w:sz w:val="20"/>
                <w:szCs w:val="20"/>
              </w:rPr>
              <w:t>ssociation</w:t>
            </w:r>
          </w:p>
        </w:tc>
      </w:tr>
      <w:tr w:rsidRPr="004617C4" w:rsidR="00027FA3" w:rsidTr="21340B89" w14:paraId="734378D5"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1854137C" w14:textId="77777777">
            <w:pPr>
              <w:spacing w:before="0" w:after="0"/>
              <w:rPr>
                <w:rFonts w:eastAsia="Times New Roman" w:cs="Arial"/>
                <w:color w:val="000000"/>
                <w:sz w:val="20"/>
                <w:lang w:eastAsia="en-NZ"/>
              </w:rPr>
            </w:pPr>
            <w:r>
              <w:rPr>
                <w:rFonts w:cs="Arial"/>
                <w:color w:val="000000"/>
                <w:sz w:val="20"/>
                <w:szCs w:val="20"/>
              </w:rPr>
              <w:t>Science New Zealand</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6C7C2FD2" w14:textId="77777777">
            <w:pPr>
              <w:spacing w:before="0" w:after="0"/>
              <w:rPr>
                <w:rFonts w:eastAsia="Times New Roman" w:cs="Arial"/>
                <w:color w:val="000000"/>
                <w:sz w:val="20"/>
                <w:lang w:eastAsia="en-NZ"/>
              </w:rPr>
            </w:pPr>
            <w:r>
              <w:rPr>
                <w:rFonts w:cs="Arial"/>
                <w:color w:val="000000"/>
                <w:sz w:val="20"/>
                <w:szCs w:val="20"/>
              </w:rPr>
              <w:t xml:space="preserve">Research </w:t>
            </w:r>
          </w:p>
        </w:tc>
      </w:tr>
      <w:tr w:rsidRPr="004617C4" w:rsidR="00027FA3" w:rsidTr="21340B89" w14:paraId="63A9164C"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7E7F72CB" w14:textId="77777777">
            <w:pPr>
              <w:spacing w:before="0" w:after="0"/>
              <w:rPr>
                <w:rFonts w:eastAsia="Times New Roman" w:cs="Arial"/>
                <w:color w:val="000000"/>
                <w:sz w:val="20"/>
                <w:lang w:eastAsia="en-NZ"/>
              </w:rPr>
            </w:pPr>
            <w:r>
              <w:rPr>
                <w:rFonts w:cs="Arial"/>
                <w:color w:val="000000"/>
                <w:sz w:val="20"/>
                <w:szCs w:val="20"/>
              </w:rPr>
              <w:t>Seafood NZ</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7A63D9D7"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0109385F"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68C951ED" w14:textId="77777777">
            <w:pPr>
              <w:spacing w:before="0" w:after="0"/>
              <w:rPr>
                <w:rFonts w:eastAsia="Times New Roman" w:cs="Arial"/>
                <w:color w:val="000000"/>
                <w:sz w:val="20"/>
                <w:lang w:eastAsia="en-NZ"/>
              </w:rPr>
            </w:pPr>
            <w:proofErr w:type="spellStart"/>
            <w:r>
              <w:rPr>
                <w:rFonts w:cs="Arial"/>
                <w:color w:val="000000"/>
                <w:sz w:val="20"/>
                <w:szCs w:val="20"/>
              </w:rPr>
              <w:t>ServiceIQ</w:t>
            </w:r>
            <w:proofErr w:type="spellEnd"/>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0E58D5A8"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Pūkenga</w:t>
            </w:r>
            <w:proofErr w:type="spellEnd"/>
            <w:r>
              <w:rPr>
                <w:rFonts w:cs="Arial"/>
                <w:color w:val="000000"/>
                <w:sz w:val="20"/>
                <w:szCs w:val="20"/>
              </w:rPr>
              <w:t xml:space="preserve"> division</w:t>
            </w:r>
          </w:p>
        </w:tc>
      </w:tr>
      <w:tr w:rsidRPr="004617C4" w:rsidR="00027FA3" w:rsidTr="21340B89" w14:paraId="1A50E5DE"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59C439AD" w14:textId="77777777">
            <w:pPr>
              <w:spacing w:before="0" w:after="0"/>
              <w:rPr>
                <w:rFonts w:eastAsia="Times New Roman" w:cs="Arial"/>
                <w:color w:val="000000"/>
                <w:sz w:val="20"/>
                <w:lang w:eastAsia="en-NZ"/>
              </w:rPr>
            </w:pPr>
            <w:r>
              <w:rPr>
                <w:rFonts w:cs="Arial"/>
                <w:color w:val="000000"/>
                <w:sz w:val="20"/>
                <w:szCs w:val="20"/>
              </w:rPr>
              <w:t>Skills Group</w:t>
            </w:r>
            <w:r>
              <w:rPr>
                <w:rFonts w:cs="Arial"/>
                <w:color w:val="000000"/>
                <w:sz w:val="20"/>
              </w:rPr>
              <w:t>*</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57E57F49" w14:textId="77777777">
            <w:pPr>
              <w:spacing w:before="0" w:after="0"/>
              <w:rPr>
                <w:rFonts w:eastAsia="Times New Roman" w:cs="Arial"/>
                <w:color w:val="000000"/>
                <w:sz w:val="20"/>
                <w:lang w:eastAsia="en-NZ"/>
              </w:rPr>
            </w:pPr>
            <w:r>
              <w:rPr>
                <w:rFonts w:cs="Arial"/>
                <w:color w:val="000000"/>
                <w:sz w:val="20"/>
                <w:szCs w:val="20"/>
              </w:rPr>
              <w:t>PTE</w:t>
            </w:r>
          </w:p>
        </w:tc>
      </w:tr>
      <w:tr w:rsidRPr="004617C4" w:rsidR="00027FA3" w:rsidTr="21340B89" w14:paraId="3C366A1F"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1F3DF7" w14:paraId="2C8F4107" w14:textId="343789E8">
            <w:pPr>
              <w:spacing w:before="0" w:after="0"/>
              <w:rPr>
                <w:rFonts w:eastAsia="Times New Roman" w:cs="Arial"/>
                <w:color w:val="000000"/>
                <w:sz w:val="20"/>
                <w:lang w:eastAsia="en-NZ"/>
              </w:rPr>
            </w:pPr>
            <w:r>
              <w:rPr>
                <w:rFonts w:cs="Arial"/>
                <w:color w:val="000000"/>
                <w:sz w:val="20"/>
                <w:szCs w:val="20"/>
              </w:rPr>
              <w:t>SIT (</w:t>
            </w:r>
            <w:r w:rsidR="00027FA3">
              <w:rPr>
                <w:rFonts w:cs="Arial"/>
                <w:color w:val="000000"/>
                <w:sz w:val="20"/>
                <w:szCs w:val="20"/>
              </w:rPr>
              <w:t>S</w:t>
            </w:r>
            <w:r w:rsidR="00027FA3">
              <w:rPr>
                <w:rFonts w:cs="Arial"/>
                <w:color w:val="000000"/>
                <w:sz w:val="20"/>
              </w:rPr>
              <w:t>outhern Institute of Technology</w:t>
            </w:r>
            <w:r>
              <w:rPr>
                <w:rFonts w:cs="Arial"/>
                <w:color w:val="000000"/>
                <w:sz w:val="20"/>
              </w:rPr>
              <w:t>)</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0EBE790C"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Pūkenga</w:t>
            </w:r>
            <w:proofErr w:type="spellEnd"/>
            <w:r>
              <w:rPr>
                <w:rFonts w:cs="Arial"/>
                <w:color w:val="000000"/>
                <w:sz w:val="20"/>
                <w:szCs w:val="20"/>
              </w:rPr>
              <w:t xml:space="preserve"> division</w:t>
            </w:r>
          </w:p>
        </w:tc>
      </w:tr>
      <w:tr w:rsidRPr="004617C4" w:rsidR="00027FA3" w:rsidTr="21340B89" w14:paraId="0B45E6CA"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0E91F9E9" w14:textId="77777777">
            <w:pPr>
              <w:spacing w:before="0" w:after="0"/>
              <w:rPr>
                <w:rFonts w:eastAsia="Times New Roman" w:cs="Arial"/>
                <w:color w:val="000000"/>
                <w:sz w:val="20"/>
                <w:lang w:eastAsia="en-NZ"/>
              </w:rPr>
            </w:pPr>
            <w:r>
              <w:rPr>
                <w:rFonts w:cs="Arial"/>
                <w:color w:val="000000"/>
                <w:sz w:val="20"/>
                <w:szCs w:val="20"/>
              </w:rPr>
              <w:t xml:space="preserve">Spada (Screen Producers </w:t>
            </w:r>
            <w:proofErr w:type="gramStart"/>
            <w:r>
              <w:rPr>
                <w:rFonts w:cs="Arial"/>
                <w:color w:val="000000"/>
                <w:sz w:val="20"/>
                <w:szCs w:val="20"/>
              </w:rPr>
              <w:t>NZ)</w:t>
            </w:r>
            <w:r>
              <w:rPr>
                <w:rFonts w:cs="Arial"/>
                <w:color w:val="000000"/>
                <w:sz w:val="20"/>
              </w:rPr>
              <w:t>*</w:t>
            </w:r>
            <w:proofErr w:type="gramEnd"/>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12D2089"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46A8FB0E"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13B37DA5" w14:textId="77777777">
            <w:pPr>
              <w:spacing w:before="0" w:after="0"/>
              <w:rPr>
                <w:rFonts w:eastAsia="Times New Roman" w:cs="Arial"/>
                <w:color w:val="000000"/>
                <w:sz w:val="20"/>
                <w:lang w:eastAsia="en-NZ"/>
              </w:rPr>
            </w:pPr>
            <w:r>
              <w:rPr>
                <w:rFonts w:cs="Arial"/>
                <w:color w:val="000000"/>
                <w:sz w:val="20"/>
                <w:szCs w:val="20"/>
              </w:rPr>
              <w:t>St John</w:t>
            </w:r>
            <w:r>
              <w:rPr>
                <w:rFonts w:cs="Arial"/>
                <w:color w:val="000000"/>
                <w:sz w:val="20"/>
              </w:rPr>
              <w:t>*</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67E7E780" w14:textId="77777777">
            <w:pPr>
              <w:spacing w:before="0" w:after="0"/>
              <w:rPr>
                <w:rFonts w:eastAsia="Times New Roman" w:cs="Arial"/>
                <w:color w:val="000000"/>
                <w:sz w:val="20"/>
                <w:lang w:eastAsia="en-NZ"/>
              </w:rPr>
            </w:pPr>
            <w:r>
              <w:rPr>
                <w:rFonts w:cs="Arial"/>
                <w:color w:val="000000"/>
                <w:sz w:val="20"/>
                <w:szCs w:val="20"/>
              </w:rPr>
              <w:t>PTE</w:t>
            </w:r>
          </w:p>
        </w:tc>
      </w:tr>
      <w:tr w:rsidRPr="004617C4" w:rsidR="00027FA3" w:rsidTr="21340B89" w14:paraId="2DFF3930"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5BB434F5"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Pūnaha</w:t>
            </w:r>
            <w:proofErr w:type="spellEnd"/>
            <w:r>
              <w:rPr>
                <w:rFonts w:cs="Arial"/>
                <w:color w:val="000000"/>
                <w:sz w:val="20"/>
                <w:szCs w:val="20"/>
              </w:rPr>
              <w:t xml:space="preserve"> </w:t>
            </w:r>
            <w:proofErr w:type="spellStart"/>
            <w:r>
              <w:rPr>
                <w:rFonts w:cs="Arial"/>
                <w:color w:val="000000"/>
                <w:sz w:val="20"/>
                <w:szCs w:val="20"/>
              </w:rPr>
              <w:t>Matatini</w:t>
            </w:r>
            <w:proofErr w:type="spellEnd"/>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2B6071EC" w14:textId="77777777">
            <w:pPr>
              <w:spacing w:before="0" w:after="0"/>
              <w:rPr>
                <w:rFonts w:eastAsia="Times New Roman" w:cs="Arial"/>
                <w:color w:val="000000"/>
                <w:sz w:val="20"/>
                <w:lang w:eastAsia="en-NZ"/>
              </w:rPr>
            </w:pPr>
            <w:r>
              <w:rPr>
                <w:rFonts w:cs="Arial"/>
                <w:color w:val="000000"/>
                <w:sz w:val="20"/>
                <w:szCs w:val="20"/>
              </w:rPr>
              <w:t xml:space="preserve">Research </w:t>
            </w:r>
          </w:p>
        </w:tc>
      </w:tr>
      <w:tr w:rsidRPr="004617C4" w:rsidR="00027FA3" w:rsidTr="21340B89" w14:paraId="1D95CBA7"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3341A0BC" w14:textId="77777777">
            <w:pPr>
              <w:spacing w:before="0" w:after="0"/>
              <w:rPr>
                <w:rFonts w:eastAsia="Times New Roman" w:cs="Arial"/>
                <w:color w:val="000000"/>
                <w:sz w:val="20"/>
                <w:lang w:eastAsia="en-NZ"/>
              </w:rPr>
            </w:pPr>
            <w:r>
              <w:rPr>
                <w:rFonts w:cs="Arial"/>
                <w:color w:val="000000"/>
                <w:sz w:val="20"/>
                <w:szCs w:val="20"/>
              </w:rPr>
              <w:t>Te Wānanga o Aotearoa</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77C00BE8" w14:textId="77777777">
            <w:pPr>
              <w:spacing w:before="0" w:after="0"/>
              <w:rPr>
                <w:rFonts w:eastAsia="Times New Roman" w:cs="Arial"/>
                <w:color w:val="000000"/>
                <w:sz w:val="20"/>
                <w:lang w:eastAsia="en-NZ"/>
              </w:rPr>
            </w:pPr>
            <w:r>
              <w:rPr>
                <w:rFonts w:cs="Arial"/>
                <w:color w:val="000000"/>
                <w:sz w:val="20"/>
                <w:szCs w:val="20"/>
              </w:rPr>
              <w:t>Wānanga</w:t>
            </w:r>
          </w:p>
        </w:tc>
      </w:tr>
      <w:tr w:rsidRPr="004617C4" w:rsidR="00027FA3" w:rsidTr="21340B89" w14:paraId="41851320"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F7548D" w:rsidR="00027FA3" w:rsidRDefault="00027FA3" w14:paraId="16B28FA0" w14:textId="77777777">
            <w:pPr>
              <w:spacing w:before="0" w:after="0"/>
              <w:rPr>
                <w:rFonts w:eastAsia="Times New Roman" w:cs="Arial"/>
                <w:color w:val="000000"/>
                <w:sz w:val="20"/>
                <w:lang w:val="pt-BR" w:eastAsia="en-NZ"/>
              </w:rPr>
            </w:pPr>
            <w:r w:rsidRPr="00F7548D">
              <w:rPr>
                <w:rFonts w:cs="Arial"/>
                <w:color w:val="000000"/>
                <w:sz w:val="20"/>
                <w:szCs w:val="20"/>
                <w:lang w:val="pt-BR"/>
              </w:rPr>
              <w:t>Te Whai Ao — Dodd-Walls Centre</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5B3CAB50" w14:textId="77777777">
            <w:pPr>
              <w:spacing w:before="0" w:after="0"/>
              <w:rPr>
                <w:rFonts w:eastAsia="Times New Roman" w:cs="Arial"/>
                <w:color w:val="000000"/>
                <w:sz w:val="20"/>
                <w:lang w:eastAsia="en-NZ"/>
              </w:rPr>
            </w:pPr>
            <w:r>
              <w:rPr>
                <w:rFonts w:cs="Arial"/>
                <w:color w:val="000000"/>
                <w:sz w:val="20"/>
                <w:szCs w:val="20"/>
              </w:rPr>
              <w:t xml:space="preserve">Research </w:t>
            </w:r>
          </w:p>
        </w:tc>
      </w:tr>
      <w:tr w:rsidRPr="004617C4" w:rsidR="00027FA3" w:rsidTr="21340B89" w14:paraId="0589B032"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293B7E28" w14:textId="12D58908">
            <w:pPr>
              <w:spacing w:before="0" w:after="0"/>
              <w:rPr>
                <w:rFonts w:eastAsia="Times New Roman" w:cs="Arial"/>
                <w:color w:val="000000"/>
                <w:sz w:val="20"/>
                <w:lang w:eastAsia="en-NZ"/>
              </w:rPr>
            </w:pPr>
            <w:r>
              <w:rPr>
                <w:rFonts w:cs="Arial"/>
                <w:color w:val="000000"/>
                <w:sz w:val="20"/>
                <w:szCs w:val="20"/>
              </w:rPr>
              <w:t xml:space="preserve">Tertiary Education Commission </w:t>
            </w:r>
            <w:r w:rsidR="001F3DF7">
              <w:rPr>
                <w:rFonts w:cs="Arial"/>
                <w:color w:val="000000"/>
                <w:sz w:val="20"/>
                <w:szCs w:val="20"/>
              </w:rPr>
              <w:t xml:space="preserve">(TEC) </w:t>
            </w:r>
            <w:r>
              <w:rPr>
                <w:rFonts w:cs="Arial"/>
                <w:color w:val="000000"/>
                <w:sz w:val="20"/>
                <w:szCs w:val="20"/>
              </w:rPr>
              <w:t>Board</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6A637B9A" w14:textId="77777777">
            <w:pPr>
              <w:spacing w:before="0" w:after="0"/>
              <w:rPr>
                <w:rFonts w:eastAsia="Times New Roman" w:cs="Arial"/>
                <w:color w:val="000000"/>
                <w:sz w:val="20"/>
                <w:lang w:eastAsia="en-NZ"/>
              </w:rPr>
            </w:pPr>
            <w:r>
              <w:rPr>
                <w:rFonts w:cs="Arial"/>
                <w:color w:val="000000"/>
                <w:sz w:val="20"/>
                <w:szCs w:val="20"/>
              </w:rPr>
              <w:t>Other</w:t>
            </w:r>
          </w:p>
        </w:tc>
      </w:tr>
      <w:tr w:rsidRPr="004617C4" w:rsidR="00027FA3" w:rsidTr="21340B89" w14:paraId="703A780A"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0E391B33" w14:textId="4E13AD15">
            <w:pPr>
              <w:spacing w:before="0" w:after="0"/>
              <w:rPr>
                <w:rFonts w:eastAsia="Times New Roman" w:cs="Arial"/>
                <w:color w:val="000000"/>
                <w:sz w:val="20"/>
                <w:lang w:eastAsia="en-NZ"/>
              </w:rPr>
            </w:pPr>
            <w:r>
              <w:rPr>
                <w:rFonts w:cs="Arial"/>
                <w:color w:val="000000"/>
                <w:sz w:val="20"/>
                <w:szCs w:val="20"/>
              </w:rPr>
              <w:t>Tertiary Education Union</w:t>
            </w:r>
            <w:r w:rsidR="001F3DF7">
              <w:rPr>
                <w:rFonts w:cs="Arial"/>
                <w:color w:val="000000"/>
                <w:sz w:val="20"/>
                <w:szCs w:val="20"/>
              </w:rPr>
              <w:t xml:space="preserve"> (TEU)</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3FD52D5F" w14:textId="4F3030F0">
            <w:pPr>
              <w:spacing w:before="0" w:after="0"/>
              <w:rPr>
                <w:rFonts w:eastAsia="Times New Roman" w:cs="Arial"/>
                <w:color w:val="000000"/>
                <w:sz w:val="20"/>
                <w:lang w:eastAsia="en-NZ"/>
              </w:rPr>
            </w:pPr>
            <w:r>
              <w:rPr>
                <w:rFonts w:cs="Arial"/>
                <w:color w:val="000000"/>
                <w:sz w:val="20"/>
                <w:szCs w:val="20"/>
              </w:rPr>
              <w:t xml:space="preserve">Educator </w:t>
            </w:r>
            <w:r w:rsidR="008D43BB">
              <w:rPr>
                <w:rFonts w:cs="Arial"/>
                <w:color w:val="000000"/>
                <w:sz w:val="20"/>
                <w:szCs w:val="20"/>
              </w:rPr>
              <w:t>v</w:t>
            </w:r>
            <w:r>
              <w:rPr>
                <w:rFonts w:cs="Arial"/>
                <w:color w:val="000000"/>
                <w:sz w:val="20"/>
                <w:szCs w:val="20"/>
              </w:rPr>
              <w:t>oice</w:t>
            </w:r>
          </w:p>
        </w:tc>
      </w:tr>
      <w:tr w:rsidRPr="004617C4" w:rsidR="00027FA3" w:rsidTr="21340B89" w14:paraId="2C17CF9F"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0E1C125E" w14:textId="77777777">
            <w:pPr>
              <w:spacing w:before="0" w:after="0"/>
              <w:rPr>
                <w:rFonts w:eastAsia="Times New Roman" w:cs="Arial"/>
                <w:color w:val="000000"/>
                <w:sz w:val="20"/>
                <w:lang w:eastAsia="en-NZ"/>
              </w:rPr>
            </w:pPr>
            <w:r>
              <w:rPr>
                <w:rFonts w:cs="Arial"/>
                <w:color w:val="000000"/>
                <w:sz w:val="20"/>
                <w:szCs w:val="20"/>
              </w:rPr>
              <w:t>Toi Mai</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65F96801" w14:textId="0B415E11">
            <w:pPr>
              <w:spacing w:before="0" w:after="0"/>
              <w:rPr>
                <w:rFonts w:eastAsia="Times New Roman" w:cs="Arial"/>
                <w:color w:val="000000"/>
                <w:sz w:val="20"/>
                <w:lang w:eastAsia="en-NZ"/>
              </w:rPr>
            </w:pPr>
            <w:r>
              <w:rPr>
                <w:rFonts w:cs="Arial"/>
                <w:color w:val="000000"/>
                <w:sz w:val="20"/>
                <w:szCs w:val="20"/>
              </w:rPr>
              <w:t xml:space="preserve">Tertiary </w:t>
            </w:r>
            <w:r w:rsidR="008D43BB">
              <w:rPr>
                <w:rFonts w:cs="Arial"/>
                <w:color w:val="000000"/>
                <w:sz w:val="20"/>
                <w:szCs w:val="20"/>
              </w:rPr>
              <w:t>s</w:t>
            </w:r>
            <w:r>
              <w:rPr>
                <w:rFonts w:cs="Arial"/>
                <w:color w:val="000000"/>
                <w:sz w:val="20"/>
                <w:szCs w:val="20"/>
              </w:rPr>
              <w:t xml:space="preserve">ector </w:t>
            </w:r>
            <w:r w:rsidR="008D43BB">
              <w:rPr>
                <w:rFonts w:cs="Arial"/>
                <w:color w:val="000000"/>
                <w:sz w:val="20"/>
                <w:szCs w:val="20"/>
              </w:rPr>
              <w:t>e</w:t>
            </w:r>
            <w:r>
              <w:rPr>
                <w:rFonts w:cs="Arial"/>
                <w:color w:val="000000"/>
                <w:sz w:val="20"/>
                <w:szCs w:val="20"/>
              </w:rPr>
              <w:t>ntity</w:t>
            </w:r>
          </w:p>
        </w:tc>
      </w:tr>
      <w:tr w:rsidRPr="004617C4" w:rsidR="00027FA3" w:rsidTr="21340B89" w14:paraId="006BC8B2"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2884D7C3" w14:textId="77777777">
            <w:pPr>
              <w:spacing w:before="0" w:after="0"/>
              <w:rPr>
                <w:rFonts w:eastAsia="Times New Roman" w:cs="Arial"/>
                <w:color w:val="000000"/>
                <w:sz w:val="20"/>
                <w:lang w:eastAsia="en-NZ"/>
              </w:rPr>
            </w:pPr>
            <w:r>
              <w:rPr>
                <w:rFonts w:cs="Arial"/>
                <w:color w:val="000000"/>
                <w:sz w:val="20"/>
                <w:szCs w:val="20"/>
              </w:rPr>
              <w:t xml:space="preserve">Toi Tu </w:t>
            </w: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Waiora</w:t>
            </w:r>
            <w:proofErr w:type="spellEnd"/>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0B5614E2" w14:textId="0ADB52C3">
            <w:pPr>
              <w:spacing w:before="0" w:after="0"/>
              <w:rPr>
                <w:rFonts w:eastAsia="Times New Roman" w:cs="Arial"/>
                <w:color w:val="000000"/>
                <w:sz w:val="20"/>
                <w:lang w:eastAsia="en-NZ"/>
              </w:rPr>
            </w:pPr>
            <w:r>
              <w:rPr>
                <w:rFonts w:cs="Arial"/>
                <w:color w:val="000000"/>
                <w:sz w:val="20"/>
                <w:szCs w:val="20"/>
              </w:rPr>
              <w:t xml:space="preserve">Tertiary </w:t>
            </w:r>
            <w:r w:rsidR="008D43BB">
              <w:rPr>
                <w:rFonts w:cs="Arial"/>
                <w:color w:val="000000"/>
                <w:sz w:val="20"/>
                <w:szCs w:val="20"/>
              </w:rPr>
              <w:t>s</w:t>
            </w:r>
            <w:r>
              <w:rPr>
                <w:rFonts w:cs="Arial"/>
                <w:color w:val="000000"/>
                <w:sz w:val="20"/>
                <w:szCs w:val="20"/>
              </w:rPr>
              <w:t xml:space="preserve">ector </w:t>
            </w:r>
            <w:r w:rsidR="008D43BB">
              <w:rPr>
                <w:rFonts w:cs="Arial"/>
                <w:color w:val="000000"/>
                <w:sz w:val="20"/>
                <w:szCs w:val="20"/>
              </w:rPr>
              <w:t>e</w:t>
            </w:r>
            <w:r>
              <w:rPr>
                <w:rFonts w:cs="Arial"/>
                <w:color w:val="000000"/>
                <w:sz w:val="20"/>
                <w:szCs w:val="20"/>
              </w:rPr>
              <w:t>ntity</w:t>
            </w:r>
          </w:p>
        </w:tc>
      </w:tr>
      <w:tr w:rsidRPr="004617C4" w:rsidR="00027FA3" w:rsidTr="21340B89" w14:paraId="58DA3014"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41FEF6AF" w14:textId="77777777">
            <w:pPr>
              <w:spacing w:before="0" w:after="0"/>
              <w:rPr>
                <w:rFonts w:eastAsia="Times New Roman" w:cs="Arial"/>
                <w:color w:val="000000"/>
                <w:sz w:val="20"/>
                <w:lang w:eastAsia="en-NZ"/>
              </w:rPr>
            </w:pPr>
            <w:r>
              <w:rPr>
                <w:rFonts w:cs="Arial"/>
                <w:color w:val="000000"/>
                <w:sz w:val="20"/>
                <w:szCs w:val="20"/>
              </w:rPr>
              <w:t>Tourism Industry Aotearoa</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6D4A5CE2"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6EB8620B"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45735159" w14:textId="77777777">
            <w:pPr>
              <w:spacing w:before="0" w:after="0"/>
              <w:rPr>
                <w:rFonts w:eastAsia="Times New Roman" w:cs="Arial"/>
                <w:color w:val="000000"/>
                <w:sz w:val="20"/>
                <w:lang w:eastAsia="en-NZ"/>
              </w:rPr>
            </w:pPr>
            <w:r>
              <w:rPr>
                <w:rFonts w:cs="Arial"/>
                <w:color w:val="000000"/>
                <w:sz w:val="20"/>
                <w:szCs w:val="20"/>
              </w:rPr>
              <w:t>Universities NZ</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74049440" w14:textId="77777777">
            <w:pPr>
              <w:spacing w:before="0" w:after="0"/>
              <w:rPr>
                <w:rFonts w:eastAsia="Times New Roman" w:cs="Arial"/>
                <w:color w:val="000000"/>
                <w:sz w:val="20"/>
                <w:lang w:eastAsia="en-NZ"/>
              </w:rPr>
            </w:pPr>
            <w:r>
              <w:rPr>
                <w:rFonts w:cs="Arial"/>
                <w:color w:val="000000"/>
                <w:sz w:val="20"/>
                <w:szCs w:val="20"/>
              </w:rPr>
              <w:t>University</w:t>
            </w:r>
          </w:p>
        </w:tc>
      </w:tr>
      <w:tr w:rsidRPr="004617C4" w:rsidR="00027FA3" w:rsidTr="21340B89" w14:paraId="685A8078"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32963782" w14:textId="77777777">
            <w:pPr>
              <w:spacing w:before="0" w:after="0"/>
              <w:rPr>
                <w:rFonts w:eastAsia="Times New Roman" w:cs="Arial"/>
                <w:color w:val="000000"/>
                <w:sz w:val="20"/>
                <w:lang w:eastAsia="en-NZ"/>
              </w:rPr>
            </w:pPr>
            <w:r>
              <w:rPr>
                <w:rFonts w:cs="Arial"/>
                <w:color w:val="000000"/>
                <w:sz w:val="20"/>
                <w:szCs w:val="20"/>
              </w:rPr>
              <w:t>University of Auckland</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7DC4547" w14:textId="77777777">
            <w:pPr>
              <w:spacing w:before="0" w:after="0"/>
              <w:rPr>
                <w:rFonts w:eastAsia="Times New Roman" w:cs="Arial"/>
                <w:color w:val="000000"/>
                <w:sz w:val="20"/>
                <w:lang w:eastAsia="en-NZ"/>
              </w:rPr>
            </w:pPr>
            <w:r>
              <w:rPr>
                <w:rFonts w:cs="Arial"/>
                <w:color w:val="000000"/>
                <w:sz w:val="20"/>
                <w:szCs w:val="20"/>
              </w:rPr>
              <w:t>University</w:t>
            </w:r>
          </w:p>
        </w:tc>
      </w:tr>
      <w:tr w:rsidRPr="004617C4" w:rsidR="00027FA3" w:rsidTr="21340B89" w14:paraId="578F5E71"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72FF66F7" w14:textId="77777777">
            <w:pPr>
              <w:spacing w:before="0" w:after="0"/>
              <w:rPr>
                <w:rFonts w:eastAsia="Times New Roman" w:cs="Arial"/>
                <w:color w:val="000000"/>
                <w:sz w:val="20"/>
                <w:lang w:eastAsia="en-NZ"/>
              </w:rPr>
            </w:pPr>
            <w:r>
              <w:rPr>
                <w:rFonts w:cs="Arial"/>
                <w:color w:val="000000"/>
                <w:sz w:val="20"/>
                <w:szCs w:val="20"/>
              </w:rPr>
              <w:t>University of Canterbury</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B1DF6BC" w14:textId="77777777">
            <w:pPr>
              <w:spacing w:before="0" w:after="0"/>
              <w:rPr>
                <w:rFonts w:eastAsia="Times New Roman" w:cs="Arial"/>
                <w:color w:val="000000"/>
                <w:sz w:val="20"/>
                <w:lang w:eastAsia="en-NZ"/>
              </w:rPr>
            </w:pPr>
            <w:r>
              <w:rPr>
                <w:rFonts w:cs="Arial"/>
                <w:color w:val="000000"/>
                <w:sz w:val="20"/>
                <w:szCs w:val="20"/>
              </w:rPr>
              <w:t>University</w:t>
            </w:r>
          </w:p>
        </w:tc>
      </w:tr>
      <w:tr w:rsidRPr="004617C4" w:rsidR="00027FA3" w:rsidTr="21340B89" w14:paraId="4466B8E0"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3226EE37" w14:textId="77777777">
            <w:pPr>
              <w:spacing w:before="0" w:after="0"/>
              <w:rPr>
                <w:rFonts w:eastAsia="Times New Roman" w:cs="Arial"/>
                <w:color w:val="000000"/>
                <w:sz w:val="20"/>
                <w:lang w:eastAsia="en-NZ"/>
              </w:rPr>
            </w:pPr>
            <w:r>
              <w:rPr>
                <w:rFonts w:cs="Arial"/>
                <w:color w:val="000000"/>
                <w:sz w:val="20"/>
                <w:szCs w:val="20"/>
              </w:rPr>
              <w:t>University of Otago</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A8D93AB" w14:textId="77777777">
            <w:pPr>
              <w:spacing w:before="0" w:after="0"/>
              <w:rPr>
                <w:rFonts w:eastAsia="Times New Roman" w:cs="Arial"/>
                <w:color w:val="000000"/>
                <w:sz w:val="20"/>
                <w:lang w:eastAsia="en-NZ"/>
              </w:rPr>
            </w:pPr>
            <w:r>
              <w:rPr>
                <w:rFonts w:cs="Arial"/>
                <w:color w:val="000000"/>
                <w:sz w:val="20"/>
                <w:szCs w:val="20"/>
              </w:rPr>
              <w:t>University</w:t>
            </w:r>
          </w:p>
        </w:tc>
      </w:tr>
      <w:tr w:rsidRPr="004617C4" w:rsidR="00027FA3" w:rsidTr="21340B89" w14:paraId="1A3633ED"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33CF343B" w14:textId="77777777">
            <w:pPr>
              <w:spacing w:before="0" w:after="0"/>
              <w:rPr>
                <w:rFonts w:eastAsia="Times New Roman" w:cs="Arial"/>
                <w:color w:val="000000"/>
                <w:sz w:val="20"/>
                <w:lang w:eastAsia="en-NZ"/>
              </w:rPr>
            </w:pPr>
            <w:r>
              <w:rPr>
                <w:rFonts w:cs="Arial"/>
                <w:color w:val="000000"/>
                <w:sz w:val="20"/>
                <w:szCs w:val="20"/>
              </w:rPr>
              <w:t>University of Waikato</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2F138085" w14:textId="77777777">
            <w:pPr>
              <w:spacing w:before="0" w:after="0"/>
              <w:rPr>
                <w:rFonts w:eastAsia="Times New Roman" w:cs="Arial"/>
                <w:color w:val="000000"/>
                <w:sz w:val="20"/>
                <w:lang w:eastAsia="en-NZ"/>
              </w:rPr>
            </w:pPr>
            <w:r>
              <w:rPr>
                <w:rFonts w:cs="Arial"/>
                <w:color w:val="000000"/>
                <w:sz w:val="20"/>
                <w:szCs w:val="20"/>
              </w:rPr>
              <w:t>University</w:t>
            </w:r>
          </w:p>
        </w:tc>
      </w:tr>
      <w:tr w:rsidRPr="004617C4" w:rsidR="00027FA3" w:rsidTr="21340B89" w14:paraId="20174DA3"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2C72DB1F" w14:textId="77777777">
            <w:pPr>
              <w:spacing w:before="0" w:after="0"/>
              <w:rPr>
                <w:rFonts w:eastAsia="Times New Roman" w:cs="Arial"/>
                <w:color w:val="000000"/>
                <w:sz w:val="20"/>
                <w:lang w:eastAsia="en-NZ"/>
              </w:rPr>
            </w:pPr>
            <w:r>
              <w:rPr>
                <w:rFonts w:cs="Arial"/>
                <w:color w:val="000000"/>
                <w:sz w:val="20"/>
                <w:szCs w:val="20"/>
              </w:rPr>
              <w:t>Water NZ</w:t>
            </w:r>
            <w:r>
              <w:rPr>
                <w:rFonts w:cs="Arial"/>
                <w:color w:val="000000"/>
                <w:sz w:val="20"/>
              </w:rPr>
              <w:t>*</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4D4D0DCD"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62A5EA72"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390A29BA" w14:textId="77777777">
            <w:pPr>
              <w:spacing w:before="0" w:after="0"/>
              <w:rPr>
                <w:rFonts w:eastAsia="Times New Roman" w:cs="Arial"/>
                <w:color w:val="000000"/>
                <w:sz w:val="20"/>
                <w:lang w:eastAsia="en-NZ"/>
              </w:rPr>
            </w:pPr>
            <w:proofErr w:type="spellStart"/>
            <w:r>
              <w:rPr>
                <w:rFonts w:cs="Arial"/>
                <w:color w:val="000000"/>
                <w:sz w:val="20"/>
                <w:szCs w:val="20"/>
              </w:rPr>
              <w:t>WeCreate</w:t>
            </w:r>
            <w:proofErr w:type="spellEnd"/>
            <w:r>
              <w:rPr>
                <w:rFonts w:cs="Arial"/>
                <w:color w:val="000000"/>
                <w:sz w:val="20"/>
              </w:rPr>
              <w:t>*</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55EF914C" w14:textId="77777777">
            <w:pPr>
              <w:spacing w:before="0" w:after="0"/>
              <w:rPr>
                <w:rFonts w:eastAsia="Times New Roman" w:cs="Arial"/>
                <w:color w:val="000000"/>
                <w:sz w:val="20"/>
                <w:lang w:eastAsia="en-NZ"/>
              </w:rPr>
            </w:pPr>
            <w:r>
              <w:rPr>
                <w:rFonts w:cs="Arial"/>
                <w:color w:val="000000"/>
                <w:sz w:val="20"/>
                <w:szCs w:val="20"/>
              </w:rPr>
              <w:t>Industry</w:t>
            </w:r>
          </w:p>
        </w:tc>
      </w:tr>
      <w:tr w:rsidRPr="004617C4" w:rsidR="00027FA3" w:rsidTr="21340B89" w14:paraId="035DA7DA"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12200F74" w14:textId="77777777">
            <w:pPr>
              <w:spacing w:before="0" w:after="0"/>
              <w:rPr>
                <w:rFonts w:eastAsia="Times New Roman" w:cs="Arial"/>
                <w:color w:val="000000"/>
                <w:sz w:val="20"/>
                <w:lang w:eastAsia="en-NZ"/>
              </w:rPr>
            </w:pPr>
            <w:proofErr w:type="spellStart"/>
            <w:r>
              <w:rPr>
                <w:rFonts w:cs="Arial"/>
                <w:color w:val="000000"/>
                <w:sz w:val="20"/>
                <w:szCs w:val="20"/>
              </w:rPr>
              <w:t>Weltec</w:t>
            </w:r>
            <w:proofErr w:type="spellEnd"/>
            <w:r>
              <w:rPr>
                <w:rFonts w:cs="Arial"/>
                <w:color w:val="000000"/>
                <w:sz w:val="20"/>
                <w:szCs w:val="20"/>
              </w:rPr>
              <w:t>/Whitireia</w:t>
            </w:r>
            <w:r>
              <w:rPr>
                <w:rFonts w:cs="Arial"/>
                <w:color w:val="000000"/>
                <w:sz w:val="20"/>
              </w:rPr>
              <w:t xml:space="preserve"> (two submissions considered together)</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72FD882A"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Pūkenga</w:t>
            </w:r>
            <w:proofErr w:type="spellEnd"/>
            <w:r>
              <w:rPr>
                <w:rFonts w:cs="Arial"/>
                <w:color w:val="000000"/>
                <w:sz w:val="20"/>
                <w:szCs w:val="20"/>
              </w:rPr>
              <w:t xml:space="preserve"> division</w:t>
            </w:r>
          </w:p>
        </w:tc>
      </w:tr>
      <w:tr w:rsidRPr="004617C4" w:rsidR="00027FA3" w:rsidTr="21340B89" w14:paraId="0E435D7B" w14:textId="77777777">
        <w:trPr>
          <w:trHeight w:val="303"/>
        </w:trPr>
        <w:tc>
          <w:tcPr>
            <w:cnfStyle w:val="000000000000" w:firstRow="0" w:lastRow="0" w:firstColumn="0" w:lastColumn="0" w:oddVBand="0" w:evenVBand="0" w:oddHBand="0" w:evenHBand="0" w:firstRowFirstColumn="0" w:firstRowLastColumn="0" w:lastRowFirstColumn="0" w:lastRowLastColumn="0"/>
            <w:tcW w:w="3339" w:type="pct"/>
            <w:noWrap/>
            <w:tcMar/>
            <w:hideMark/>
          </w:tcPr>
          <w:p w:rsidRPr="004617C4" w:rsidR="00027FA3" w:rsidRDefault="00027FA3" w14:paraId="3AFCFB96" w14:textId="77777777">
            <w:pPr>
              <w:spacing w:before="0" w:after="0"/>
              <w:rPr>
                <w:rFonts w:eastAsia="Times New Roman" w:cs="Arial"/>
                <w:color w:val="000000"/>
                <w:sz w:val="20"/>
                <w:lang w:eastAsia="en-NZ"/>
              </w:rPr>
            </w:pPr>
            <w:r>
              <w:rPr>
                <w:rFonts w:cs="Arial"/>
                <w:color w:val="000000"/>
                <w:sz w:val="20"/>
                <w:szCs w:val="20"/>
              </w:rPr>
              <w:t>Wintec</w:t>
            </w:r>
          </w:p>
        </w:tc>
        <w:tc>
          <w:tcPr>
            <w:cnfStyle w:val="000000000000" w:firstRow="0" w:lastRow="0" w:firstColumn="0" w:lastColumn="0" w:oddVBand="0" w:evenVBand="0" w:oddHBand="0" w:evenHBand="0" w:firstRowFirstColumn="0" w:firstRowLastColumn="0" w:lastRowFirstColumn="0" w:lastRowLastColumn="0"/>
            <w:tcW w:w="1661" w:type="pct"/>
            <w:tcMar/>
          </w:tcPr>
          <w:p w:rsidRPr="004617C4" w:rsidR="00027FA3" w:rsidRDefault="00027FA3" w14:paraId="164C7579" w14:textId="77777777">
            <w:pPr>
              <w:spacing w:before="0" w:after="0"/>
              <w:rPr>
                <w:rFonts w:eastAsia="Times New Roman" w:cs="Arial"/>
                <w:color w:val="000000"/>
                <w:sz w:val="20"/>
                <w:lang w:eastAsia="en-NZ"/>
              </w:rPr>
            </w:pPr>
            <w:proofErr w:type="spellStart"/>
            <w:r>
              <w:rPr>
                <w:rFonts w:cs="Arial"/>
                <w:color w:val="000000"/>
                <w:sz w:val="20"/>
                <w:szCs w:val="20"/>
              </w:rPr>
              <w:t>Te</w:t>
            </w:r>
            <w:proofErr w:type="spellEnd"/>
            <w:r>
              <w:rPr>
                <w:rFonts w:cs="Arial"/>
                <w:color w:val="000000"/>
                <w:sz w:val="20"/>
                <w:szCs w:val="20"/>
              </w:rPr>
              <w:t xml:space="preserve"> </w:t>
            </w:r>
            <w:proofErr w:type="spellStart"/>
            <w:r>
              <w:rPr>
                <w:rFonts w:cs="Arial"/>
                <w:color w:val="000000"/>
                <w:sz w:val="20"/>
                <w:szCs w:val="20"/>
              </w:rPr>
              <w:t>Pūkenga</w:t>
            </w:r>
            <w:proofErr w:type="spellEnd"/>
            <w:r>
              <w:rPr>
                <w:rFonts w:cs="Arial"/>
                <w:color w:val="000000"/>
                <w:sz w:val="20"/>
                <w:szCs w:val="20"/>
              </w:rPr>
              <w:t xml:space="preserve"> division</w:t>
            </w:r>
          </w:p>
        </w:tc>
      </w:tr>
    </w:tbl>
    <w:p w:rsidRPr="00E41565" w:rsidR="003F39BC" w:rsidP="00FB7663" w:rsidRDefault="00A36141" w14:paraId="22F2240F" w14:textId="699C16D0">
      <w:pPr>
        <w:pStyle w:val="NoteHeading"/>
        <w:rPr>
          <w:sz w:val="22"/>
          <w:szCs w:val="22"/>
        </w:rPr>
      </w:pPr>
      <w:r w:rsidRPr="00E41565">
        <w:rPr>
          <w:sz w:val="22"/>
          <w:szCs w:val="22"/>
        </w:rPr>
        <w:t xml:space="preserve">* Organisations that were not part of the invitation to targeted engagement but provided submissions. </w:t>
      </w:r>
      <w:r w:rsidRPr="00E41565" w:rsidR="00706834">
        <w:rPr>
          <w:sz w:val="22"/>
          <w:szCs w:val="22"/>
        </w:rPr>
        <w:t>The PTEs that submitted did so alongside their peak body or industry group.</w:t>
      </w:r>
    </w:p>
    <w:p w:rsidR="003F39BC" w:rsidRDefault="003F39BC" w14:paraId="3E5E0940" w14:textId="77777777"/>
    <w:p w:rsidR="003F39BC" w:rsidRDefault="003F39BC" w14:paraId="38959FC3" w14:textId="77777777"/>
    <w:p w:rsidR="003F39BC" w:rsidRDefault="003F39BC" w14:paraId="5F1EC891" w14:textId="77777777">
      <w:pPr>
        <w:sectPr w:rsidR="003F39BC" w:rsidSect="00924A08">
          <w:headerReference w:type="even" r:id="rId28"/>
          <w:headerReference w:type="default" r:id="rId29"/>
          <w:footerReference w:type="even" r:id="rId30"/>
          <w:footerReference w:type="default" r:id="rId31"/>
          <w:headerReference w:type="first" r:id="rId32"/>
          <w:footerReference w:type="first" r:id="rId33"/>
          <w:pgSz w:w="11906" w:h="16838" w:orient="portrait"/>
          <w:pgMar w:top="1247" w:right="1247" w:bottom="1247" w:left="1247" w:header="1247" w:footer="709" w:gutter="0"/>
          <w:cols w:space="708"/>
          <w:titlePg/>
          <w:docGrid w:linePitch="360"/>
        </w:sectPr>
      </w:pPr>
    </w:p>
    <w:p w:rsidRPr="003F39BC" w:rsidR="003F39BC" w:rsidP="003F39BC" w:rsidRDefault="00A432E0" w14:paraId="3B013C84" w14:textId="79C96BB2">
      <w:r w:rsidRPr="00A432E0">
        <w:rPr>
          <w:rFonts w:eastAsia="Gotham Narrow Book"/>
          <w:noProof/>
          <w:sz w:val="22"/>
          <w:szCs w:val="22"/>
        </w:rPr>
        <w:drawing>
          <wp:anchor distT="0" distB="0" distL="114300" distR="114300" simplePos="0" relativeHeight="251658241" behindDoc="1" locked="1" layoutInCell="1" allowOverlap="1" wp14:anchorId="3F357D08" wp14:editId="4FFF4E89">
            <wp:simplePos x="0" y="0"/>
            <wp:positionH relativeFrom="page">
              <wp:align>left</wp:align>
            </wp:positionH>
            <wp:positionV relativeFrom="page">
              <wp:posOffset>0</wp:posOffset>
            </wp:positionV>
            <wp:extent cx="7588800" cy="10674000"/>
            <wp:effectExtent l="0" t="0" r="0" b="0"/>
            <wp:wrapNone/>
            <wp:docPr id="306265560" name="Picture 2" descr="He mea tārai e mātou te mātauranga kia rangatira ai, kia mana taurite ai ōna huanga.&#10;We shape an education system that delivers equitable and excellent outcom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65560" name="Picture 2" descr="He mea tārai e mātou te mātauranga kia rangatira ai, kia mana taurite ai ōna huanga.&#10;We shape an education system that delivers equitable and excellent outcomes.&#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88800" cy="10674000"/>
                    </a:xfrm>
                    <a:prstGeom prst="rect">
                      <a:avLst/>
                    </a:prstGeom>
                  </pic:spPr>
                </pic:pic>
              </a:graphicData>
            </a:graphic>
            <wp14:sizeRelH relativeFrom="margin">
              <wp14:pctWidth>0</wp14:pctWidth>
            </wp14:sizeRelH>
            <wp14:sizeRelV relativeFrom="margin">
              <wp14:pctHeight>0</wp14:pctHeight>
            </wp14:sizeRelV>
          </wp:anchor>
        </w:drawing>
      </w:r>
    </w:p>
    <w:sectPr w:rsidRPr="003F39BC" w:rsidR="003F39BC" w:rsidSect="00402A39">
      <w:headerReference w:type="first" r:id="rId35"/>
      <w:footerReference w:type="first" r:id="rId36"/>
      <w:pgSz w:w="11906" w:h="16838" w:orient="portrait"/>
      <w:pgMar w:top="1247" w:right="1247" w:bottom="1247" w:left="1247"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EB0" w:rsidP="0021141C" w:rsidRDefault="00640EB0" w14:paraId="35BE984B" w14:textId="77777777">
      <w:pPr>
        <w:spacing w:before="0" w:after="0" w:line="240" w:lineRule="auto"/>
      </w:pPr>
      <w:r>
        <w:separator/>
      </w:r>
    </w:p>
  </w:endnote>
  <w:endnote w:type="continuationSeparator" w:id="0">
    <w:p w:rsidR="00640EB0" w:rsidP="0021141C" w:rsidRDefault="00640EB0" w14:paraId="56CD1407" w14:textId="77777777">
      <w:pPr>
        <w:spacing w:before="0" w:after="0" w:line="240" w:lineRule="auto"/>
      </w:pPr>
      <w:r>
        <w:continuationSeparator/>
      </w:r>
    </w:p>
  </w:endnote>
  <w:endnote w:type="continuationNotice" w:id="1">
    <w:p w:rsidR="00640EB0" w:rsidRDefault="00640EB0" w14:paraId="78D2D1C1"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Narrow Book">
    <w:altName w:val="Tahoma"/>
    <w:panose1 w:val="00000000000000000000"/>
    <w:charset w:val="00"/>
    <w:family w:val="auto"/>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Gotham Narrow Bold">
    <w:altName w:val="Tahoma"/>
    <w:panose1 w:val="00000000000000000000"/>
    <w:charset w:val="00"/>
    <w:family w:val="auto"/>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enorite">
    <w:charset w:val="00"/>
    <w:family w:val="auto"/>
    <w:pitch w:val="variable"/>
    <w:sig w:usb0="80000003" w:usb1="00000001"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2564B" w:rsidRDefault="0092564B" w14:paraId="0D9445C6" w14:textId="127CD1CC">
    <w:pPr>
      <w:pStyle w:val="Footer"/>
    </w:pPr>
    <w:r>
      <w:rPr>
        <w:noProof/>
      </w:rPr>
      <mc:AlternateContent>
        <mc:Choice Requires="wps">
          <w:drawing>
            <wp:anchor distT="0" distB="0" distL="0" distR="0" simplePos="0" relativeHeight="251658752" behindDoc="0" locked="0" layoutInCell="1" allowOverlap="1" wp14:anchorId="5989411F" wp14:editId="59B1E1FB">
              <wp:simplePos x="635" y="635"/>
              <wp:positionH relativeFrom="page">
                <wp:align>center</wp:align>
              </wp:positionH>
              <wp:positionV relativeFrom="page">
                <wp:align>bottom</wp:align>
              </wp:positionV>
              <wp:extent cx="2152650" cy="438150"/>
              <wp:effectExtent l="0" t="0" r="0" b="0"/>
              <wp:wrapNone/>
              <wp:docPr id="1949877220" name="Text Box 6"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52650" cy="438150"/>
                      </a:xfrm>
                      <a:prstGeom prst="rect">
                        <a:avLst/>
                      </a:prstGeom>
                      <a:noFill/>
                      <a:ln>
                        <a:noFill/>
                      </a:ln>
                    </wps:spPr>
                    <wps:txbx>
                      <w:txbxContent>
                        <w:p w:rsidRPr="0092564B" w:rsidR="0092564B" w:rsidP="0092564B" w:rsidRDefault="0092564B" w14:paraId="7ED72FDD" w14:textId="2054363F">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2EDEEBC">
            <v:shapetype id="_x0000_t202" coordsize="21600,21600" o:spt="202" path="m,l,21600r21600,l21600,xe" w14:anchorId="5989411F">
              <v:stroke joinstyle="miter"/>
              <v:path gradientshapeok="t" o:connecttype="rect"/>
            </v:shapetype>
            <v:shape id="Text Box 6" style="position:absolute;margin-left:0;margin-top:0;width:169.5pt;height:34.5pt;z-index:251658752;visibility:visible;mso-wrap-style:none;mso-wrap-distance-left:0;mso-wrap-distance-top:0;mso-wrap-distance-right:0;mso-wrap-distance-bottom:0;mso-position-horizontal:center;mso-position-horizontal-relative:page;mso-position-vertical:bottom;mso-position-vertical-relative:page;v-text-anchor:bottom" alt="[IN-CONFIDENCE - RELEASE EXTERN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">
              <v:textbox style="mso-fit-shape-to-text:t" inset="0,0,0,15pt">
                <w:txbxContent>
                  <w:p w:rsidRPr="0092564B" w:rsidR="0092564B" w:rsidP="0092564B" w:rsidRDefault="0092564B" w14:paraId="003B50E7" w14:textId="2054363F">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1141C" w:rsidP="0021141C" w:rsidRDefault="0092564B" w14:paraId="41A2673F" w14:textId="1B5A5EC1">
    <w:pPr>
      <w:pStyle w:val="Footer"/>
      <w:tabs>
        <w:tab w:val="clear" w:pos="4513"/>
        <w:tab w:val="clear" w:pos="9026"/>
        <w:tab w:val="center" w:pos="4820"/>
        <w:tab w:val="right" w:pos="9498"/>
      </w:tabs>
    </w:pPr>
    <w:r>
      <w:rPr>
        <w:noProof/>
      </w:rPr>
      <mc:AlternateContent>
        <mc:Choice Requires="wps">
          <w:drawing>
            <wp:anchor distT="0" distB="0" distL="0" distR="0" simplePos="0" relativeHeight="251659776" behindDoc="0" locked="0" layoutInCell="1" allowOverlap="1" wp14:anchorId="74F1E4FB" wp14:editId="42DF18B1">
              <wp:simplePos x="635" y="635"/>
              <wp:positionH relativeFrom="page">
                <wp:align>center</wp:align>
              </wp:positionH>
              <wp:positionV relativeFrom="page">
                <wp:align>bottom</wp:align>
              </wp:positionV>
              <wp:extent cx="2152650" cy="438150"/>
              <wp:effectExtent l="0" t="0" r="0" b="0"/>
              <wp:wrapNone/>
              <wp:docPr id="1495426390" name="Text Box 7"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52650" cy="438150"/>
                      </a:xfrm>
                      <a:prstGeom prst="rect">
                        <a:avLst/>
                      </a:prstGeom>
                      <a:noFill/>
                      <a:ln>
                        <a:noFill/>
                      </a:ln>
                    </wps:spPr>
                    <wps:txbx>
                      <w:txbxContent>
                        <w:p w:rsidRPr="0092564B" w:rsidR="0092564B" w:rsidP="0092564B" w:rsidRDefault="0092564B" w14:paraId="56A33474" w14:textId="4E202959">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303E606D">
            <v:shapetype id="_x0000_t202" coordsize="21600,21600" o:spt="202" path="m,l,21600r21600,l21600,xe" w14:anchorId="74F1E4FB">
              <v:stroke joinstyle="miter"/>
              <v:path gradientshapeok="t" o:connecttype="rect"/>
            </v:shapetype>
            <v:shape id="Text Box 7" style="position:absolute;margin-left:0;margin-top:0;width:169.5pt;height:34.5pt;z-index:251659776;visibility:visible;mso-wrap-style:none;mso-wrap-distance-left:0;mso-wrap-distance-top:0;mso-wrap-distance-right:0;mso-wrap-distance-bottom:0;mso-position-horizontal:center;mso-position-horizontal-relative:page;mso-position-vertical:bottom;mso-position-vertical-relative:page;v-text-anchor:bottom" alt="[IN-CONFIDENCE - RELEASE EXTERN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">
              <v:textbox style="mso-fit-shape-to-text:t" inset="0,0,0,15pt">
                <w:txbxContent>
                  <w:p w:rsidRPr="0092564B" w:rsidR="0092564B" w:rsidP="0092564B" w:rsidRDefault="0092564B" w14:paraId="2F1540B5" w14:textId="4E202959">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v:textbox>
              <w10:wrap anchorx="page" anchory="page"/>
            </v:shape>
          </w:pict>
        </mc:Fallback>
      </mc:AlternateContent>
    </w:r>
    <w:hyperlink w:history="1" r:id="rId1">
      <w:r w:rsidRPr="00363C62" w:rsidR="00BF7EA4">
        <w:rPr>
          <w:rStyle w:val="Educationlink"/>
        </w:rPr>
        <w:t>education.govt.nz</w:t>
      </w:r>
    </w:hyperlink>
    <w:r w:rsidR="0021141C">
      <w:tab/>
    </w:r>
    <w:r w:rsidR="0021141C">
      <w:tab/>
    </w:r>
    <w:r w:rsidR="0021141C">
      <w:t xml:space="preserve">Page </w:t>
    </w:r>
    <w:r w:rsidR="0021141C">
      <w:fldChar w:fldCharType="begin"/>
    </w:r>
    <w:r w:rsidR="0021141C">
      <w:instrText xml:space="preserve"> PAGE  \* Arabic  \* MERGEFORMAT </w:instrText>
    </w:r>
    <w:r w:rsidR="0021141C">
      <w:fldChar w:fldCharType="separate"/>
    </w:r>
    <w:r w:rsidR="0021141C">
      <w:rPr>
        <w:noProof/>
      </w:rPr>
      <w:t>1</w:t>
    </w:r>
    <w:r w:rsidR="0021141C">
      <w:fldChar w:fldCharType="end"/>
    </w:r>
    <w:r w:rsidR="0021141C">
      <w:t xml:space="preserve"> of </w:t>
    </w:r>
    <w:r>
      <w:fldChar w:fldCharType="begin"/>
    </w:r>
    <w:r>
      <w:instrText>NUMPAGES  \* Arabic  \* MERGEFORMAT</w:instrText>
    </w:r>
    <w:r>
      <w:fldChar w:fldCharType="separate"/>
    </w:r>
    <w:r w:rsidR="0021141C">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400A3B" w:rsidR="00400A3B" w:rsidP="00400A3B" w:rsidRDefault="0092564B" w14:paraId="0A35A1F3" w14:textId="6209B404">
    <w:pPr>
      <w:pStyle w:val="Footer"/>
      <w:tabs>
        <w:tab w:val="clear" w:pos="4513"/>
        <w:tab w:val="clear" w:pos="9026"/>
        <w:tab w:val="center" w:pos="4820"/>
        <w:tab w:val="right" w:pos="9498"/>
      </w:tabs>
    </w:pPr>
    <w:r>
      <w:rPr>
        <w:noProof/>
      </w:rPr>
      <mc:AlternateContent>
        <mc:Choice Requires="wps">
          <w:drawing>
            <wp:anchor distT="0" distB="0" distL="0" distR="0" simplePos="0" relativeHeight="251657728" behindDoc="0" locked="0" layoutInCell="1" allowOverlap="1" wp14:anchorId="294BEC93" wp14:editId="7C1992DD">
              <wp:simplePos x="635" y="635"/>
              <wp:positionH relativeFrom="page">
                <wp:align>center</wp:align>
              </wp:positionH>
              <wp:positionV relativeFrom="page">
                <wp:align>bottom</wp:align>
              </wp:positionV>
              <wp:extent cx="2152650" cy="438150"/>
              <wp:effectExtent l="0" t="0" r="0" b="0"/>
              <wp:wrapNone/>
              <wp:docPr id="966498036" name="Text Box 5"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52650" cy="438150"/>
                      </a:xfrm>
                      <a:prstGeom prst="rect">
                        <a:avLst/>
                      </a:prstGeom>
                      <a:noFill/>
                      <a:ln>
                        <a:noFill/>
                      </a:ln>
                    </wps:spPr>
                    <wps:txbx>
                      <w:txbxContent>
                        <w:p w:rsidRPr="0092564B" w:rsidR="0092564B" w:rsidP="0092564B" w:rsidRDefault="0092564B" w14:paraId="045501A8" w14:textId="4C2D2CB9">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3582F6CB">
            <v:shapetype id="_x0000_t202" coordsize="21600,21600" o:spt="202" path="m,l,21600r21600,l21600,xe" w14:anchorId="294BEC93">
              <v:stroke joinstyle="miter"/>
              <v:path gradientshapeok="t" o:connecttype="rect"/>
            </v:shapetype>
            <v:shape id="Text Box 5" style="position:absolute;margin-left:0;margin-top:0;width:169.5pt;height:34.5pt;z-index:251657728;visibility:visible;mso-wrap-style:none;mso-wrap-distance-left:0;mso-wrap-distance-top:0;mso-wrap-distance-right:0;mso-wrap-distance-bottom:0;mso-position-horizontal:center;mso-position-horizontal-relative:page;mso-position-vertical:bottom;mso-position-vertical-relative:page;v-text-anchor:bottom" alt="[IN-CONFIDENCE - RELEASE EXTERN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">
              <v:textbox style="mso-fit-shape-to-text:t" inset="0,0,0,15pt">
                <w:txbxContent>
                  <w:p w:rsidRPr="0092564B" w:rsidR="0092564B" w:rsidP="0092564B" w:rsidRDefault="0092564B" w14:paraId="1633A594" w14:textId="4C2D2CB9">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v:textbox>
              <w10:wrap anchorx="page" anchory="page"/>
            </v:shape>
          </w:pict>
        </mc:Fallback>
      </mc:AlternateContent>
    </w:r>
    <w:r w:rsidR="00400A3B">
      <w:tab/>
    </w:r>
    <w:r w:rsidR="00400A3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sdtfl w16du wp14">
  <w:p w:rsidRPr="00400A3B" w:rsidR="003F39BC" w:rsidP="00400A3B" w:rsidRDefault="0092564B" w14:paraId="562CB869" w14:textId="4C701228">
    <w:pPr>
      <w:pStyle w:val="Footer"/>
      <w:tabs>
        <w:tab w:val="clear" w:pos="4513"/>
        <w:tab w:val="clear" w:pos="9026"/>
        <w:tab w:val="center" w:pos="4820"/>
        <w:tab w:val="right" w:pos="9498"/>
      </w:tabs>
    </w:pPr>
    <w:r>
      <w:rPr>
        <w:noProof/>
      </w:rPr>
      <mc:AlternateContent>
        <mc:Choice Requires="wps">
          <w:drawing>
            <wp:anchor distT="0" distB="0" distL="0" distR="0" simplePos="0" relativeHeight="251660800" behindDoc="0" locked="0" layoutInCell="1" allowOverlap="1" wp14:anchorId="0B59BEFE" wp14:editId="614B8569">
              <wp:simplePos x="0" y="0"/>
              <wp:positionH relativeFrom="margin">
                <wp:align>center</wp:align>
              </wp:positionH>
              <wp:positionV relativeFrom="page">
                <wp:align>bottom</wp:align>
              </wp:positionV>
              <wp:extent cx="2152650" cy="438150"/>
              <wp:effectExtent l="0" t="0" r="14605" b="0"/>
              <wp:wrapNone/>
              <wp:docPr id="689391350" name="Text Box 8"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52650" cy="438150"/>
                      </a:xfrm>
                      <a:prstGeom prst="rect">
                        <a:avLst/>
                      </a:prstGeom>
                      <a:noFill/>
                      <a:ln>
                        <a:noFill/>
                      </a:ln>
                    </wps:spPr>
                    <wps:txbx>
                      <w:txbxContent>
                        <w:p w:rsidRPr="00A432E0" w:rsidR="0092564B" w:rsidP="0092564B" w:rsidRDefault="0092564B" w14:paraId="0BC18AB2" w14:textId="1AF28DAE">
                          <w:pPr>
                            <w:spacing w:after="0"/>
                            <w:rPr>
                              <w:rFonts w:ascii="Aptos" w:hAnsi="Aptos" w:eastAsia="Aptos" w:cs="Aptos"/>
                              <w:noProof/>
                              <w:sz w:val="20"/>
                              <w:szCs w:val="20"/>
                            </w:rPr>
                          </w:pPr>
                          <w:r w:rsidRPr="00A432E0">
                            <w:rPr>
                              <w:rFonts w:ascii="Aptos" w:hAnsi="Aptos" w:eastAsia="Aptos" w:cs="Aptos"/>
                              <w:noProof/>
                              <w:sz w:val="20"/>
                              <w:szCs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30FFABD7">
            <v:shapetype id="_x0000_t202" coordsize="21600,21600" o:spt="202" path="m,l,21600r21600,l21600,xe" w14:anchorId="0B59BEFE">
              <v:stroke joinstyle="miter"/>
              <v:path gradientshapeok="t" o:connecttype="rect"/>
            </v:shapetype>
            <v:shape id="Text Box 8" style="position:absolute;margin-left:0;margin-top:0;width:169.5pt;height:34.5pt;z-index:251660800;visibility:visible;mso-wrap-style:none;mso-wrap-distance-left:0;mso-wrap-distance-top:0;mso-wrap-distance-right:0;mso-wrap-distance-bottom:0;mso-position-horizontal:center;mso-position-horizontal-relative:margin;mso-position-vertical:bottom;mso-position-vertical-relative:page;v-text-anchor:bottom" alt="[IN-CONFIDENCE - RELEASE EXTERN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">
              <v:textbox style="mso-fit-shape-to-text:t" inset="0,0,0,15pt">
                <w:txbxContent>
                  <w:p w:rsidRPr="00A432E0" w:rsidR="0092564B" w:rsidP="0092564B" w:rsidRDefault="0092564B" w14:paraId="767E8F4C" w14:textId="1AF28DAE">
                    <w:pPr>
                      <w:spacing w:after="0"/>
                      <w:rPr>
                        <w:rFonts w:ascii="Aptos" w:hAnsi="Aptos" w:eastAsia="Aptos" w:cs="Aptos"/>
                        <w:noProof/>
                        <w:sz w:val="20"/>
                        <w:szCs w:val="20"/>
                      </w:rPr>
                    </w:pPr>
                    <w:r w:rsidRPr="00A432E0">
                      <w:rPr>
                        <w:rFonts w:ascii="Aptos" w:hAnsi="Aptos" w:eastAsia="Aptos" w:cs="Aptos"/>
                        <w:noProof/>
                        <w:sz w:val="20"/>
                        <w:szCs w:val="20"/>
                      </w:rPr>
                      <w:t>[IN-CONFIDENCE - RELEASE EXTERNAL]</w:t>
                    </w:r>
                  </w:p>
                </w:txbxContent>
              </v:textbox>
              <w10:wrap anchorx="margin" anchory="page"/>
            </v:shape>
          </w:pict>
        </mc:Fallback>
      </mc:AlternateContent>
    </w:r>
    <w:r w:rsidR="003F39BC">
      <w:tab/>
    </w:r>
    <w:r w:rsidR="00021766">
      <w:rPr>
        <w:noProof/>
      </w:rPr>
      <w:drawing>
        <wp:inline distT="0" distB="0" distL="0" distR="0" wp14:anchorId="567DB38B" wp14:editId="1CF3B4E9">
          <wp:extent cx="7590155" cy="10729595"/>
          <wp:effectExtent l="0" t="0" r="0" b="0"/>
          <wp:docPr id="6518486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10729595"/>
                  </a:xfrm>
                  <a:prstGeom prst="rect">
                    <a:avLst/>
                  </a:prstGeom>
                  <a:noFill/>
                </pic:spPr>
              </pic:pic>
            </a:graphicData>
          </a:graphic>
        </wp:inline>
      </w:drawing>
    </w:r>
    <w:r w:rsidR="003F39B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EB0" w:rsidP="0021141C" w:rsidRDefault="00640EB0" w14:paraId="30EF6AC7" w14:textId="77777777">
      <w:pPr>
        <w:spacing w:before="0" w:after="0" w:line="240" w:lineRule="auto"/>
      </w:pPr>
      <w:r>
        <w:separator/>
      </w:r>
    </w:p>
  </w:footnote>
  <w:footnote w:type="continuationSeparator" w:id="0">
    <w:p w:rsidR="00640EB0" w:rsidP="0021141C" w:rsidRDefault="00640EB0" w14:paraId="1339B5CF" w14:textId="77777777">
      <w:pPr>
        <w:spacing w:before="0" w:after="0" w:line="240" w:lineRule="auto"/>
      </w:pPr>
      <w:r>
        <w:continuationSeparator/>
      </w:r>
    </w:p>
  </w:footnote>
  <w:footnote w:type="continuationNotice" w:id="1">
    <w:p w:rsidR="00640EB0" w:rsidRDefault="00640EB0" w14:paraId="382E5227"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2564B" w:rsidRDefault="0092564B" w14:paraId="458AA5F9" w14:textId="1CEB1B3B">
    <w:pPr>
      <w:pStyle w:val="Header"/>
    </w:pPr>
    <w:r>
      <w:rPr>
        <w:noProof/>
      </w:rPr>
      <mc:AlternateContent>
        <mc:Choice Requires="wps">
          <w:drawing>
            <wp:anchor distT="0" distB="0" distL="0" distR="0" simplePos="0" relativeHeight="251655680" behindDoc="0" locked="0" layoutInCell="1" allowOverlap="1" wp14:anchorId="028077A9" wp14:editId="3A9B0C01">
              <wp:simplePos x="635" y="635"/>
              <wp:positionH relativeFrom="page">
                <wp:align>center</wp:align>
              </wp:positionH>
              <wp:positionV relativeFrom="page">
                <wp:align>top</wp:align>
              </wp:positionV>
              <wp:extent cx="2152650" cy="438150"/>
              <wp:effectExtent l="0" t="0" r="0" b="0"/>
              <wp:wrapNone/>
              <wp:docPr id="2064903146" name="Text Box 2"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52650" cy="438150"/>
                      </a:xfrm>
                      <a:prstGeom prst="rect">
                        <a:avLst/>
                      </a:prstGeom>
                      <a:noFill/>
                      <a:ln>
                        <a:noFill/>
                      </a:ln>
                    </wps:spPr>
                    <wps:txbx>
                      <w:txbxContent>
                        <w:p w:rsidRPr="0092564B" w:rsidR="0092564B" w:rsidP="0092564B" w:rsidRDefault="0092564B" w14:paraId="4D507CA7" w14:textId="23CAEAB6">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8BEE5AF">
            <v:shapetype id="_x0000_t202" coordsize="21600,21600" o:spt="202" path="m,l,21600r21600,l21600,xe" w14:anchorId="028077A9">
              <v:stroke joinstyle="miter"/>
              <v:path gradientshapeok="t" o:connecttype="rect"/>
            </v:shapetype>
            <v:shape id="Text Box 2" style="position:absolute;margin-left:0;margin-top:0;width:169.5pt;height:34.5pt;z-index:251655680;visibility:visible;mso-wrap-style:none;mso-wrap-distance-left:0;mso-wrap-distance-top:0;mso-wrap-distance-right:0;mso-wrap-distance-bottom:0;mso-position-horizontal:center;mso-position-horizontal-relative:page;mso-position-vertical:top;mso-position-vertical-relative:page;v-text-anchor:top" alt="[IN-CONFIDENCE - RELEASE EX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">
              <v:textbox style="mso-fit-shape-to-text:t" inset="0,15pt,0,0">
                <w:txbxContent>
                  <w:p w:rsidRPr="0092564B" w:rsidR="0092564B" w:rsidP="0092564B" w:rsidRDefault="0092564B" w14:paraId="49E4A8E0" w14:textId="23CAEAB6">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2564B" w:rsidRDefault="0092564B" w14:paraId="0219E32E" w14:textId="49E7E546">
    <w:pPr>
      <w:pStyle w:val="Header"/>
    </w:pPr>
    <w:r>
      <w:rPr>
        <w:noProof/>
      </w:rPr>
      <mc:AlternateContent>
        <mc:Choice Requires="wps">
          <w:drawing>
            <wp:anchor distT="0" distB="0" distL="0" distR="0" simplePos="0" relativeHeight="251656704" behindDoc="0" locked="0" layoutInCell="1" allowOverlap="1" wp14:anchorId="605381F9" wp14:editId="33651E94">
              <wp:simplePos x="635" y="635"/>
              <wp:positionH relativeFrom="page">
                <wp:align>center</wp:align>
              </wp:positionH>
              <wp:positionV relativeFrom="page">
                <wp:align>top</wp:align>
              </wp:positionV>
              <wp:extent cx="2152650" cy="438150"/>
              <wp:effectExtent l="0" t="0" r="0" b="0"/>
              <wp:wrapNone/>
              <wp:docPr id="847221228" name="Text Box 3"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52650" cy="438150"/>
                      </a:xfrm>
                      <a:prstGeom prst="rect">
                        <a:avLst/>
                      </a:prstGeom>
                      <a:noFill/>
                      <a:ln>
                        <a:noFill/>
                      </a:ln>
                    </wps:spPr>
                    <wps:txbx>
                      <w:txbxContent>
                        <w:p w:rsidRPr="0092564B" w:rsidR="0092564B" w:rsidP="0092564B" w:rsidRDefault="0092564B" w14:paraId="72197BFD" w14:textId="56B686FB">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08BAB3D">
            <v:shapetype id="_x0000_t202" coordsize="21600,21600" o:spt="202" path="m,l,21600r21600,l21600,xe" w14:anchorId="605381F9">
              <v:stroke joinstyle="miter"/>
              <v:path gradientshapeok="t" o:connecttype="rect"/>
            </v:shapetype>
            <v:shape id="Text Box 3" style="position:absolute;margin-left:0;margin-top:0;width:169.5pt;height:34.5pt;z-index:251656704;visibility:visible;mso-wrap-style:none;mso-wrap-distance-left:0;mso-wrap-distance-top:0;mso-wrap-distance-right:0;mso-wrap-distance-bottom:0;mso-position-horizontal:center;mso-position-horizontal-relative:page;mso-position-vertical:top;mso-position-vertical-relative:page;v-text-anchor:top" alt="[IN-CONFIDENCE - RELEASE EXTERN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">
              <v:textbox style="mso-fit-shape-to-text:t" inset="0,15pt,0,0">
                <w:txbxContent>
                  <w:p w:rsidRPr="0092564B" w:rsidR="0092564B" w:rsidP="0092564B" w:rsidRDefault="0092564B" w14:paraId="36D8E436" w14:textId="56B686FB">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E4695" w:rsidRDefault="0092564B" w14:paraId="3447774C" w14:textId="68B874FD">
    <w:pPr>
      <w:pStyle w:val="Header"/>
    </w:pPr>
    <w:r>
      <w:rPr>
        <w:noProof/>
      </w:rPr>
      <mc:AlternateContent>
        <mc:Choice Requires="wps">
          <w:drawing>
            <wp:anchor distT="0" distB="0" distL="0" distR="0" simplePos="0" relativeHeight="251654656" behindDoc="0" locked="0" layoutInCell="1" allowOverlap="1" wp14:anchorId="076D0B1E" wp14:editId="66B1477C">
              <wp:simplePos x="635" y="635"/>
              <wp:positionH relativeFrom="page">
                <wp:align>center</wp:align>
              </wp:positionH>
              <wp:positionV relativeFrom="page">
                <wp:align>top</wp:align>
              </wp:positionV>
              <wp:extent cx="2152650" cy="438150"/>
              <wp:effectExtent l="0" t="0" r="0" b="0"/>
              <wp:wrapNone/>
              <wp:docPr id="492502439" name="Text Box 1"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52650" cy="438150"/>
                      </a:xfrm>
                      <a:prstGeom prst="rect">
                        <a:avLst/>
                      </a:prstGeom>
                      <a:noFill/>
                      <a:ln>
                        <a:noFill/>
                      </a:ln>
                    </wps:spPr>
                    <wps:txbx>
                      <w:txbxContent>
                        <w:p w:rsidRPr="0092564B" w:rsidR="0092564B" w:rsidP="0092564B" w:rsidRDefault="0092564B" w14:paraId="284FA222" w14:textId="120BB87D">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E2D8F9A">
            <v:shapetype id="_x0000_t202" coordsize="21600,21600" o:spt="202" path="m,l,21600r21600,l21600,xe" w14:anchorId="076D0B1E">
              <v:stroke joinstyle="miter"/>
              <v:path gradientshapeok="t" o:connecttype="rect"/>
            </v:shapetype>
            <v:shape id="Text Box 1" style="position:absolute;margin-left:0;margin-top:0;width:169.5pt;height:34.5pt;z-index:251654656;visibility:visible;mso-wrap-style:none;mso-wrap-distance-left:0;mso-wrap-distance-top:0;mso-wrap-distance-right:0;mso-wrap-distance-bottom:0;mso-position-horizontal:center;mso-position-horizontal-relative:page;mso-position-vertical:top;mso-position-vertical-relative:page;v-text-anchor:top" alt="[IN-CONFIDENCE - RELEASE EXTERN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">
              <v:textbox style="mso-fit-shape-to-text:t" inset="0,15pt,0,0">
                <w:txbxContent>
                  <w:p w:rsidRPr="0092564B" w:rsidR="0092564B" w:rsidP="0092564B" w:rsidRDefault="0092564B" w14:paraId="1AE93AA0" w14:textId="120BB87D">
                    <w:pPr>
                      <w:spacing w:after="0"/>
                      <w:rPr>
                        <w:rFonts w:ascii="Aptos" w:hAnsi="Aptos" w:eastAsia="Aptos" w:cs="Aptos"/>
                        <w:noProof/>
                        <w:color w:val="000000"/>
                        <w:sz w:val="20"/>
                        <w:szCs w:val="20"/>
                      </w:rPr>
                    </w:pPr>
                    <w:r w:rsidRPr="0092564B">
                      <w:rPr>
                        <w:rFonts w:ascii="Aptos" w:hAnsi="Aptos" w:eastAsia="Aptos" w:cs="Aptos"/>
                        <w:noProof/>
                        <w:color w:val="000000"/>
                        <w:sz w:val="20"/>
                        <w:szCs w:val="20"/>
                      </w:rPr>
                      <w:t>[IN-CONFIDENCE - RELEASE EXTERNAL]</w:t>
                    </w:r>
                  </w:p>
                </w:txbxContent>
              </v:textbox>
              <w10:wrap anchorx="page" anchory="page"/>
            </v:shape>
          </w:pict>
        </mc:Fallback>
      </mc:AlternateContent>
    </w:r>
  </w:p>
  <w:sdt>
    <w:sdtPr>
      <w:id w:val="1949419629"/>
      <w:docPartObj>
        <w:docPartGallery w:val="Watermarks"/>
        <w:docPartUnique/>
      </w:docPartObj>
    </w:sdtPr>
    <w:sdtContent>
      <w:p w:rsidR="002E4695" w:rsidRDefault="00000000" w14:paraId="672A6659" w14:textId="68B874FD">
        <w:pPr>
          <w:pStyle w:val="Header"/>
        </w:pPr>
        <w:r>
          <w:rPr>
            <w:noProof/>
          </w:rPr>
          <w:pict w14:anchorId="34B880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4656;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737807" w:rsidR="003F39BC" w:rsidP="00737807" w:rsidRDefault="00BF7EA4" w14:paraId="03E291C9" w14:textId="79333ADA">
    <w:pPr>
      <w:pStyle w:val="Header"/>
    </w:pPr>
    <w:r>
      <w:rPr>
        <w:noProof/>
      </w:rPr>
      <w:drawing>
        <wp:anchor distT="0" distB="0" distL="114300" distR="114300" simplePos="0" relativeHeight="251653632" behindDoc="1" locked="0" layoutInCell="1" allowOverlap="1" wp14:anchorId="6AF418ED" wp14:editId="3D65C08C">
          <wp:simplePos x="0" y="0"/>
          <wp:positionH relativeFrom="column">
            <wp:posOffset>-781050</wp:posOffset>
          </wp:positionH>
          <wp:positionV relativeFrom="paragraph">
            <wp:posOffset>-770890</wp:posOffset>
          </wp:positionV>
          <wp:extent cx="7452000" cy="10645600"/>
          <wp:effectExtent l="0" t="0" r="0" b="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452000" cy="10645600"/>
                  </a:xfrm>
                  <a:prstGeom prst="rect">
                    <a:avLst/>
                  </a:prstGeom>
                </pic:spPr>
              </pic:pic>
            </a:graphicData>
          </a:graphic>
          <wp14:sizeRelH relativeFrom="margin">
            <wp14:pctWidth>0</wp14:pctWidth>
          </wp14:sizeRelH>
          <wp14:sizeRelV relativeFrom="margin">
            <wp14:pctHeight>0</wp14:pctHeight>
          </wp14:sizeRelV>
        </wp:anchor>
      </w:drawing>
    </w:r>
    <w:r>
      <w:rPr>
        <w:noProof/>
      </w:rPr>
      <w:t>\</w:t>
    </w:r>
    <w:r w:rsidR="00021766">
      <w:rPr>
        <w:noProof/>
      </w:rPr>
      <w:drawing>
        <wp:inline distT="0" distB="0" distL="0" distR="0" wp14:anchorId="3C3EA434" wp14:editId="04BCE07A">
          <wp:extent cx="7590155" cy="10729595"/>
          <wp:effectExtent l="0" t="0" r="0" b="0"/>
          <wp:docPr id="13177205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90155" cy="107295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1A205AA"/>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B2329E56"/>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CDC46BD4"/>
    <w:lvl w:ilvl="0">
      <w:start w:val="1"/>
      <w:numFmt w:val="bullet"/>
      <w:lvlText w:val=""/>
      <w:lvlJc w:val="left"/>
      <w:pPr>
        <w:ind w:left="1228" w:hanging="360"/>
      </w:pPr>
      <w:rPr>
        <w:rFonts w:hint="default" w:ascii="Wingdings" w:hAnsi="Wingdings"/>
      </w:rPr>
    </w:lvl>
  </w:abstractNum>
  <w:abstractNum w:abstractNumId="3" w15:restartNumberingAfterBreak="0">
    <w:nsid w:val="FFFFFF83"/>
    <w:multiLevelType w:val="singleLevel"/>
    <w:tmpl w:val="11D2F8F0"/>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8"/>
    <w:multiLevelType w:val="singleLevel"/>
    <w:tmpl w:val="7D0EDDB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9C0123E"/>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020B04F5"/>
    <w:multiLevelType w:val="hybridMultilevel"/>
    <w:tmpl w:val="49BC46C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 w15:restartNumberingAfterBreak="0">
    <w:nsid w:val="036F5B2E"/>
    <w:multiLevelType w:val="multilevel"/>
    <w:tmpl w:val="1A4668B4"/>
    <w:lvl w:ilvl="0">
      <w:start w:val="1"/>
      <w:numFmt w:val="upperLetter"/>
      <w:pStyle w:val="Appendix"/>
      <w:lvlText w:val="Appendix %1"/>
      <w:lvlJc w:val="left"/>
      <w:pPr>
        <w:tabs>
          <w:tab w:val="num" w:pos="1814"/>
        </w:tabs>
        <w:ind w:left="0" w:firstLine="0"/>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8" w15:restartNumberingAfterBreak="0">
    <w:nsid w:val="060D63E4"/>
    <w:multiLevelType w:val="hybridMultilevel"/>
    <w:tmpl w:val="4E1848D8"/>
    <w:lvl w:ilvl="0" w:tplc="8EAE381E">
      <w:start w:val="1"/>
      <w:numFmt w:val="decimal"/>
      <w:lvlText w:val="(%1)"/>
      <w:lvlJc w:val="left"/>
      <w:pPr>
        <w:ind w:left="1627" w:hanging="360"/>
      </w:pPr>
      <w:rPr>
        <w:rFonts w:hint="default"/>
      </w:rPr>
    </w:lvl>
    <w:lvl w:ilvl="1" w:tplc="14090019">
      <w:start w:val="1"/>
      <w:numFmt w:val="lowerLetter"/>
      <w:lvlText w:val="%2."/>
      <w:lvlJc w:val="left"/>
      <w:pPr>
        <w:ind w:left="2347" w:hanging="360"/>
      </w:pPr>
    </w:lvl>
    <w:lvl w:ilvl="2" w:tplc="1409001B" w:tentative="1">
      <w:start w:val="1"/>
      <w:numFmt w:val="lowerRoman"/>
      <w:lvlText w:val="%3."/>
      <w:lvlJc w:val="right"/>
      <w:pPr>
        <w:ind w:left="3067" w:hanging="180"/>
      </w:pPr>
    </w:lvl>
    <w:lvl w:ilvl="3" w:tplc="1409000F" w:tentative="1">
      <w:start w:val="1"/>
      <w:numFmt w:val="decimal"/>
      <w:lvlText w:val="%4."/>
      <w:lvlJc w:val="left"/>
      <w:pPr>
        <w:ind w:left="3787" w:hanging="360"/>
      </w:pPr>
    </w:lvl>
    <w:lvl w:ilvl="4" w:tplc="14090019" w:tentative="1">
      <w:start w:val="1"/>
      <w:numFmt w:val="lowerLetter"/>
      <w:lvlText w:val="%5."/>
      <w:lvlJc w:val="left"/>
      <w:pPr>
        <w:ind w:left="4507" w:hanging="360"/>
      </w:pPr>
    </w:lvl>
    <w:lvl w:ilvl="5" w:tplc="1409001B" w:tentative="1">
      <w:start w:val="1"/>
      <w:numFmt w:val="lowerRoman"/>
      <w:lvlText w:val="%6."/>
      <w:lvlJc w:val="right"/>
      <w:pPr>
        <w:ind w:left="5227" w:hanging="180"/>
      </w:pPr>
    </w:lvl>
    <w:lvl w:ilvl="6" w:tplc="1409000F" w:tentative="1">
      <w:start w:val="1"/>
      <w:numFmt w:val="decimal"/>
      <w:lvlText w:val="%7."/>
      <w:lvlJc w:val="left"/>
      <w:pPr>
        <w:ind w:left="5947" w:hanging="360"/>
      </w:pPr>
    </w:lvl>
    <w:lvl w:ilvl="7" w:tplc="14090019" w:tentative="1">
      <w:start w:val="1"/>
      <w:numFmt w:val="lowerLetter"/>
      <w:lvlText w:val="%8."/>
      <w:lvlJc w:val="left"/>
      <w:pPr>
        <w:ind w:left="6667" w:hanging="360"/>
      </w:pPr>
    </w:lvl>
    <w:lvl w:ilvl="8" w:tplc="1409001B" w:tentative="1">
      <w:start w:val="1"/>
      <w:numFmt w:val="lowerRoman"/>
      <w:lvlText w:val="%9."/>
      <w:lvlJc w:val="right"/>
      <w:pPr>
        <w:ind w:left="7387" w:hanging="180"/>
      </w:pPr>
    </w:lvl>
  </w:abstractNum>
  <w:abstractNum w:abstractNumId="9" w15:restartNumberingAfterBreak="0">
    <w:nsid w:val="0E423DCF"/>
    <w:multiLevelType w:val="multilevel"/>
    <w:tmpl w:val="AA342CD8"/>
    <w:lvl w:ilvl="0">
      <w:start w:val="1"/>
      <w:numFmt w:val="decimal"/>
      <w:pStyle w:val="Numheadinglvl1"/>
      <w:lvlText w:val="%1."/>
      <w:lvlJc w:val="left"/>
      <w:pPr>
        <w:ind w:left="397" w:hanging="397"/>
      </w:pPr>
      <w:rPr>
        <w:rFonts w:hint="default"/>
      </w:rPr>
    </w:lvl>
    <w:lvl w:ilvl="1">
      <w:start w:val="1"/>
      <w:numFmt w:val="decimal"/>
      <w:pStyle w:val="Numheadinglvl2"/>
      <w:lvlText w:val="%1.%2"/>
      <w:lvlJc w:val="left"/>
      <w:pPr>
        <w:ind w:left="397" w:hanging="397"/>
      </w:pPr>
      <w:rPr>
        <w:rFonts w:hint="default"/>
      </w:rPr>
    </w:lvl>
    <w:lvl w:ilvl="2">
      <w:start w:val="1"/>
      <w:numFmt w:val="decimal"/>
      <w:pStyle w:val="Numheadinglvl3"/>
      <w:lvlText w:val="%1.%2.%3"/>
      <w:lvlJc w:val="left"/>
      <w:pPr>
        <w:ind w:left="397" w:hanging="397"/>
      </w:pPr>
      <w:rPr>
        <w:rFonts w:hint="default"/>
      </w:rPr>
    </w:lvl>
    <w:lvl w:ilvl="3">
      <w:start w:val="1"/>
      <w:numFmt w:val="decimal"/>
      <w:pStyle w:val="Numheadinglvl4"/>
      <w:lvlText w:val="%1.%2.%3.%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10" w15:restartNumberingAfterBreak="0">
    <w:nsid w:val="0EFB68B3"/>
    <w:multiLevelType w:val="hybridMultilevel"/>
    <w:tmpl w:val="FF84FA9C"/>
    <w:lvl w:ilvl="0" w:tplc="39E21878">
      <w:start w:val="1"/>
      <w:numFmt w:val="lowerRoman"/>
      <w:lvlText w:val="(%1)"/>
      <w:lvlJc w:val="left"/>
      <w:pPr>
        <w:ind w:left="2988" w:hanging="360"/>
      </w:pPr>
      <w:rPr>
        <w:rFonts w:hint="default"/>
      </w:rPr>
    </w:lvl>
    <w:lvl w:ilvl="1" w:tplc="14090019" w:tentative="1">
      <w:start w:val="1"/>
      <w:numFmt w:val="lowerLetter"/>
      <w:lvlText w:val="%2."/>
      <w:lvlJc w:val="left"/>
      <w:pPr>
        <w:ind w:left="3708" w:hanging="360"/>
      </w:pPr>
    </w:lvl>
    <w:lvl w:ilvl="2" w:tplc="1409001B" w:tentative="1">
      <w:start w:val="1"/>
      <w:numFmt w:val="lowerRoman"/>
      <w:lvlText w:val="%3."/>
      <w:lvlJc w:val="right"/>
      <w:pPr>
        <w:ind w:left="4428" w:hanging="180"/>
      </w:pPr>
    </w:lvl>
    <w:lvl w:ilvl="3" w:tplc="1409000F" w:tentative="1">
      <w:start w:val="1"/>
      <w:numFmt w:val="decimal"/>
      <w:lvlText w:val="%4."/>
      <w:lvlJc w:val="left"/>
      <w:pPr>
        <w:ind w:left="5148" w:hanging="360"/>
      </w:pPr>
    </w:lvl>
    <w:lvl w:ilvl="4" w:tplc="14090019" w:tentative="1">
      <w:start w:val="1"/>
      <w:numFmt w:val="lowerLetter"/>
      <w:lvlText w:val="%5."/>
      <w:lvlJc w:val="left"/>
      <w:pPr>
        <w:ind w:left="5868" w:hanging="360"/>
      </w:pPr>
    </w:lvl>
    <w:lvl w:ilvl="5" w:tplc="1409001B" w:tentative="1">
      <w:start w:val="1"/>
      <w:numFmt w:val="lowerRoman"/>
      <w:lvlText w:val="%6."/>
      <w:lvlJc w:val="right"/>
      <w:pPr>
        <w:ind w:left="6588" w:hanging="180"/>
      </w:pPr>
    </w:lvl>
    <w:lvl w:ilvl="6" w:tplc="1409000F" w:tentative="1">
      <w:start w:val="1"/>
      <w:numFmt w:val="decimal"/>
      <w:lvlText w:val="%7."/>
      <w:lvlJc w:val="left"/>
      <w:pPr>
        <w:ind w:left="7308" w:hanging="360"/>
      </w:pPr>
    </w:lvl>
    <w:lvl w:ilvl="7" w:tplc="14090019" w:tentative="1">
      <w:start w:val="1"/>
      <w:numFmt w:val="lowerLetter"/>
      <w:lvlText w:val="%8."/>
      <w:lvlJc w:val="left"/>
      <w:pPr>
        <w:ind w:left="8028" w:hanging="360"/>
      </w:pPr>
    </w:lvl>
    <w:lvl w:ilvl="8" w:tplc="1409001B" w:tentative="1">
      <w:start w:val="1"/>
      <w:numFmt w:val="lowerRoman"/>
      <w:lvlText w:val="%9."/>
      <w:lvlJc w:val="right"/>
      <w:pPr>
        <w:ind w:left="8748" w:hanging="180"/>
      </w:pPr>
    </w:lvl>
  </w:abstractNum>
  <w:abstractNum w:abstractNumId="11" w15:restartNumberingAfterBreak="0">
    <w:nsid w:val="0FD349C4"/>
    <w:multiLevelType w:val="multilevel"/>
    <w:tmpl w:val="A3AEE448"/>
    <w:lvl w:ilvl="0">
      <w:start w:val="1"/>
      <w:numFmt w:val="decimal"/>
      <w:lvlText w:val="%1."/>
      <w:lvlJc w:val="left"/>
      <w:pPr>
        <w:ind w:left="0" w:firstLine="0"/>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2" w15:restartNumberingAfterBreak="0">
    <w:nsid w:val="10832083"/>
    <w:multiLevelType w:val="hybridMultilevel"/>
    <w:tmpl w:val="F41A2178"/>
    <w:lvl w:ilvl="0" w:tplc="14090001">
      <w:start w:val="1"/>
      <w:numFmt w:val="bullet"/>
      <w:lvlText w:val=""/>
      <w:lvlJc w:val="left"/>
      <w:pPr>
        <w:ind w:left="717" w:hanging="360"/>
      </w:pPr>
      <w:rPr>
        <w:rFonts w:hint="default" w:ascii="Symbol" w:hAnsi="Symbol"/>
      </w:rPr>
    </w:lvl>
    <w:lvl w:ilvl="1" w:tplc="14090003" w:tentative="1">
      <w:start w:val="1"/>
      <w:numFmt w:val="bullet"/>
      <w:lvlText w:val="o"/>
      <w:lvlJc w:val="left"/>
      <w:pPr>
        <w:ind w:left="1437" w:hanging="360"/>
      </w:pPr>
      <w:rPr>
        <w:rFonts w:hint="default" w:ascii="Courier New" w:hAnsi="Courier New" w:cs="Courier New"/>
      </w:rPr>
    </w:lvl>
    <w:lvl w:ilvl="2" w:tplc="14090005" w:tentative="1">
      <w:start w:val="1"/>
      <w:numFmt w:val="bullet"/>
      <w:lvlText w:val=""/>
      <w:lvlJc w:val="left"/>
      <w:pPr>
        <w:ind w:left="2157" w:hanging="360"/>
      </w:pPr>
      <w:rPr>
        <w:rFonts w:hint="default" w:ascii="Wingdings" w:hAnsi="Wingdings"/>
      </w:rPr>
    </w:lvl>
    <w:lvl w:ilvl="3" w:tplc="14090001" w:tentative="1">
      <w:start w:val="1"/>
      <w:numFmt w:val="bullet"/>
      <w:lvlText w:val=""/>
      <w:lvlJc w:val="left"/>
      <w:pPr>
        <w:ind w:left="2877" w:hanging="360"/>
      </w:pPr>
      <w:rPr>
        <w:rFonts w:hint="default" w:ascii="Symbol" w:hAnsi="Symbol"/>
      </w:rPr>
    </w:lvl>
    <w:lvl w:ilvl="4" w:tplc="14090003" w:tentative="1">
      <w:start w:val="1"/>
      <w:numFmt w:val="bullet"/>
      <w:lvlText w:val="o"/>
      <w:lvlJc w:val="left"/>
      <w:pPr>
        <w:ind w:left="3597" w:hanging="360"/>
      </w:pPr>
      <w:rPr>
        <w:rFonts w:hint="default" w:ascii="Courier New" w:hAnsi="Courier New" w:cs="Courier New"/>
      </w:rPr>
    </w:lvl>
    <w:lvl w:ilvl="5" w:tplc="14090005" w:tentative="1">
      <w:start w:val="1"/>
      <w:numFmt w:val="bullet"/>
      <w:lvlText w:val=""/>
      <w:lvlJc w:val="left"/>
      <w:pPr>
        <w:ind w:left="4317" w:hanging="360"/>
      </w:pPr>
      <w:rPr>
        <w:rFonts w:hint="default" w:ascii="Wingdings" w:hAnsi="Wingdings"/>
      </w:rPr>
    </w:lvl>
    <w:lvl w:ilvl="6" w:tplc="14090001" w:tentative="1">
      <w:start w:val="1"/>
      <w:numFmt w:val="bullet"/>
      <w:lvlText w:val=""/>
      <w:lvlJc w:val="left"/>
      <w:pPr>
        <w:ind w:left="5037" w:hanging="360"/>
      </w:pPr>
      <w:rPr>
        <w:rFonts w:hint="default" w:ascii="Symbol" w:hAnsi="Symbol"/>
      </w:rPr>
    </w:lvl>
    <w:lvl w:ilvl="7" w:tplc="14090003" w:tentative="1">
      <w:start w:val="1"/>
      <w:numFmt w:val="bullet"/>
      <w:lvlText w:val="o"/>
      <w:lvlJc w:val="left"/>
      <w:pPr>
        <w:ind w:left="5757" w:hanging="360"/>
      </w:pPr>
      <w:rPr>
        <w:rFonts w:hint="default" w:ascii="Courier New" w:hAnsi="Courier New" w:cs="Courier New"/>
      </w:rPr>
    </w:lvl>
    <w:lvl w:ilvl="8" w:tplc="14090005" w:tentative="1">
      <w:start w:val="1"/>
      <w:numFmt w:val="bullet"/>
      <w:lvlText w:val=""/>
      <w:lvlJc w:val="left"/>
      <w:pPr>
        <w:ind w:left="6477" w:hanging="360"/>
      </w:pPr>
      <w:rPr>
        <w:rFonts w:hint="default" w:ascii="Wingdings" w:hAnsi="Wingdings"/>
      </w:rPr>
    </w:lvl>
  </w:abstractNum>
  <w:abstractNum w:abstractNumId="13" w15:restartNumberingAfterBreak="0">
    <w:nsid w:val="12A60AF9"/>
    <w:multiLevelType w:val="hybridMultilevel"/>
    <w:tmpl w:val="297CBE0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4" w15:restartNumberingAfterBreak="0">
    <w:nsid w:val="12EB724E"/>
    <w:multiLevelType w:val="multilevel"/>
    <w:tmpl w:val="E4ECED18"/>
    <w:lvl w:ilvl="0">
      <w:start w:val="1"/>
      <w:numFmt w:val="upperLetter"/>
      <w:suff w:val="space"/>
      <w:lvlText w:val="Appendix %1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5" w15:restartNumberingAfterBreak="0">
    <w:nsid w:val="1BBA5200"/>
    <w:multiLevelType w:val="multilevel"/>
    <w:tmpl w:val="0688CA80"/>
    <w:lvl w:ilvl="0">
      <w:start w:val="1"/>
      <w:numFmt w:val="decimal"/>
      <w:lvlText w:val="%1"/>
      <w:lvlJc w:val="left"/>
      <w:pPr>
        <w:tabs>
          <w:tab w:val="num" w:pos="1588"/>
        </w:tabs>
        <w:ind w:left="1361" w:hanging="681"/>
      </w:pPr>
      <w:rPr>
        <w:rFonts w:hint="default"/>
      </w:rPr>
    </w:lvl>
    <w:lvl w:ilvl="1">
      <w:start w:val="1"/>
      <w:numFmt w:val="decimal"/>
      <w:lvlText w:val="(%2)"/>
      <w:lvlJc w:val="left"/>
      <w:pPr>
        <w:tabs>
          <w:tab w:val="num" w:pos="1588"/>
        </w:tabs>
        <w:ind w:left="1361" w:hanging="681"/>
      </w:pPr>
      <w:rPr>
        <w:rFonts w:hint="default"/>
      </w:rPr>
    </w:lvl>
    <w:lvl w:ilvl="2">
      <w:start w:val="1"/>
      <w:numFmt w:val="lowerLetter"/>
      <w:lvlText w:val="(%3)"/>
      <w:lvlJc w:val="left"/>
      <w:pPr>
        <w:tabs>
          <w:tab w:val="num" w:pos="2268"/>
        </w:tabs>
        <w:ind w:left="2041" w:hanging="680"/>
      </w:pPr>
      <w:rPr>
        <w:rFonts w:hint="default"/>
      </w:rPr>
    </w:lvl>
    <w:lvl w:ilvl="3">
      <w:start w:val="1"/>
      <w:numFmt w:val="lowerRoman"/>
      <w:lvlText w:val="(%4)"/>
      <w:lvlJc w:val="left"/>
      <w:pPr>
        <w:tabs>
          <w:tab w:val="num" w:pos="2948"/>
        </w:tabs>
        <w:ind w:left="2722" w:hanging="681"/>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D3238E6"/>
    <w:multiLevelType w:val="hybridMultilevel"/>
    <w:tmpl w:val="17DCC5EA"/>
    <w:lvl w:ilvl="0" w:tplc="71AE7C48">
      <w:start w:val="8"/>
      <w:numFmt w:val="lowerLetter"/>
      <w:lvlText w:val="(%1)"/>
      <w:lvlJc w:val="left"/>
      <w:pPr>
        <w:ind w:left="1627" w:hanging="360"/>
      </w:pPr>
      <w:rPr>
        <w:rFonts w:hint="default"/>
      </w:rPr>
    </w:lvl>
    <w:lvl w:ilvl="1" w:tplc="14090019" w:tentative="1">
      <w:start w:val="1"/>
      <w:numFmt w:val="lowerLetter"/>
      <w:lvlText w:val="%2."/>
      <w:lvlJc w:val="left"/>
      <w:pPr>
        <w:ind w:left="2347" w:hanging="360"/>
      </w:pPr>
    </w:lvl>
    <w:lvl w:ilvl="2" w:tplc="1409001B" w:tentative="1">
      <w:start w:val="1"/>
      <w:numFmt w:val="lowerRoman"/>
      <w:lvlText w:val="%3."/>
      <w:lvlJc w:val="right"/>
      <w:pPr>
        <w:ind w:left="3067" w:hanging="180"/>
      </w:pPr>
    </w:lvl>
    <w:lvl w:ilvl="3" w:tplc="1409000F" w:tentative="1">
      <w:start w:val="1"/>
      <w:numFmt w:val="decimal"/>
      <w:lvlText w:val="%4."/>
      <w:lvlJc w:val="left"/>
      <w:pPr>
        <w:ind w:left="3787" w:hanging="360"/>
      </w:pPr>
    </w:lvl>
    <w:lvl w:ilvl="4" w:tplc="14090019" w:tentative="1">
      <w:start w:val="1"/>
      <w:numFmt w:val="lowerLetter"/>
      <w:lvlText w:val="%5."/>
      <w:lvlJc w:val="left"/>
      <w:pPr>
        <w:ind w:left="4507" w:hanging="360"/>
      </w:pPr>
    </w:lvl>
    <w:lvl w:ilvl="5" w:tplc="1409001B" w:tentative="1">
      <w:start w:val="1"/>
      <w:numFmt w:val="lowerRoman"/>
      <w:lvlText w:val="%6."/>
      <w:lvlJc w:val="right"/>
      <w:pPr>
        <w:ind w:left="5227" w:hanging="180"/>
      </w:pPr>
    </w:lvl>
    <w:lvl w:ilvl="6" w:tplc="1409000F" w:tentative="1">
      <w:start w:val="1"/>
      <w:numFmt w:val="decimal"/>
      <w:lvlText w:val="%7."/>
      <w:lvlJc w:val="left"/>
      <w:pPr>
        <w:ind w:left="5947" w:hanging="360"/>
      </w:pPr>
    </w:lvl>
    <w:lvl w:ilvl="7" w:tplc="14090019" w:tentative="1">
      <w:start w:val="1"/>
      <w:numFmt w:val="lowerLetter"/>
      <w:lvlText w:val="%8."/>
      <w:lvlJc w:val="left"/>
      <w:pPr>
        <w:ind w:left="6667" w:hanging="360"/>
      </w:pPr>
    </w:lvl>
    <w:lvl w:ilvl="8" w:tplc="1409001B" w:tentative="1">
      <w:start w:val="1"/>
      <w:numFmt w:val="lowerRoman"/>
      <w:lvlText w:val="%9."/>
      <w:lvlJc w:val="right"/>
      <w:pPr>
        <w:ind w:left="7387" w:hanging="180"/>
      </w:pPr>
    </w:lvl>
  </w:abstractNum>
  <w:abstractNum w:abstractNumId="17" w15:restartNumberingAfterBreak="0">
    <w:nsid w:val="1F4D1092"/>
    <w:multiLevelType w:val="multilevel"/>
    <w:tmpl w:val="4C8641E0"/>
    <w:lvl w:ilvl="0">
      <w:start w:val="1"/>
      <w:numFmt w:val="none"/>
      <w:lvlText w:val="Section: "/>
      <w:lvlJc w:val="left"/>
      <w:pPr>
        <w:ind w:left="0" w:firstLine="0"/>
      </w:pPr>
      <w:rPr>
        <w:rFonts w:hint="default"/>
      </w:rPr>
    </w:lvl>
    <w:lvl w:ilvl="1">
      <w:start w:val="1"/>
      <w:numFmt w:val="none"/>
      <w:pStyle w:val="Heading1"/>
      <w:lvlText w:val=""/>
      <w:lvlJc w:val="left"/>
      <w:pPr>
        <w:ind w:left="0" w:firstLine="0"/>
      </w:pPr>
      <w:rPr>
        <w:rFonts w:hint="default"/>
      </w:rPr>
    </w:lvl>
    <w:lvl w:ilvl="2">
      <w:start w:val="1"/>
      <w:numFmt w:val="none"/>
      <w:pStyle w:val="Heading2"/>
      <w:lvlText w:val="%3"/>
      <w:lvlJc w:val="left"/>
      <w:pPr>
        <w:ind w:left="0" w:firstLine="0"/>
      </w:pPr>
      <w:rPr>
        <w:rFonts w:hint="default"/>
      </w:rPr>
    </w:lvl>
    <w:lvl w:ilvl="3">
      <w:start w:val="1"/>
      <w:numFmt w:val="none"/>
      <w:pStyle w:val="Heading3"/>
      <w:lvlText w:val=""/>
      <w:lvlJc w:val="left"/>
      <w:pPr>
        <w:ind w:left="0" w:firstLine="0"/>
      </w:pPr>
      <w:rPr>
        <w:rFonts w:hint="default"/>
      </w:rPr>
    </w:lvl>
    <w:lvl w:ilvl="4">
      <w:start w:val="1"/>
      <w:numFmt w:val="none"/>
      <w:pStyle w:val="Heading4"/>
      <w:lvlText w:val=""/>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22316138"/>
    <w:multiLevelType w:val="multilevel"/>
    <w:tmpl w:val="1D9EAF30"/>
    <w:lvl w:ilvl="0">
      <w:start w:val="1"/>
      <w:numFmt w:val="decimal"/>
      <w:lvlText w:val="%1."/>
      <w:lvlJc w:val="left"/>
      <w:pPr>
        <w:ind w:left="720" w:hanging="363"/>
      </w:pPr>
      <w:rPr>
        <w:rFonts w:hint="default"/>
      </w:rPr>
    </w:lvl>
    <w:lvl w:ilvl="1">
      <w:start w:val="1"/>
      <w:numFmt w:val="lowerLetter"/>
      <w:lvlText w:val="%2."/>
      <w:lvlJc w:val="left"/>
      <w:pPr>
        <w:ind w:left="1077" w:hanging="363"/>
      </w:pPr>
      <w:rPr>
        <w:rFonts w:hint="default"/>
      </w:rPr>
    </w:lvl>
    <w:lvl w:ilvl="2">
      <w:start w:val="1"/>
      <w:numFmt w:val="lowerRoman"/>
      <w:lvlText w:val="%3."/>
      <w:lvlJc w:val="left"/>
      <w:pPr>
        <w:ind w:left="1434" w:hanging="363"/>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righ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right"/>
      <w:pPr>
        <w:ind w:left="3576" w:hanging="363"/>
      </w:pPr>
      <w:rPr>
        <w:rFonts w:hint="default"/>
      </w:rPr>
    </w:lvl>
  </w:abstractNum>
  <w:abstractNum w:abstractNumId="19" w15:restartNumberingAfterBreak="0">
    <w:nsid w:val="25AD1CE8"/>
    <w:multiLevelType w:val="hybridMultilevel"/>
    <w:tmpl w:val="6266548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283F2CA2"/>
    <w:multiLevelType w:val="hybridMultilevel"/>
    <w:tmpl w:val="F9E45A2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1" w15:restartNumberingAfterBreak="0">
    <w:nsid w:val="299B6425"/>
    <w:multiLevelType w:val="hybridMultilevel"/>
    <w:tmpl w:val="B888DBC0"/>
    <w:lvl w:ilvl="0" w:tplc="3F9A4724">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2CD94DD5"/>
    <w:multiLevelType w:val="hybridMultilevel"/>
    <w:tmpl w:val="7DD85FC2"/>
    <w:lvl w:ilvl="0" w:tplc="B4F25636">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23" w15:restartNumberingAfterBreak="0">
    <w:nsid w:val="3CA71221"/>
    <w:multiLevelType w:val="multilevel"/>
    <w:tmpl w:val="A4DE5C46"/>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4" w15:restartNumberingAfterBreak="0">
    <w:nsid w:val="3D6806BA"/>
    <w:multiLevelType w:val="hybridMultilevel"/>
    <w:tmpl w:val="FBE63272"/>
    <w:lvl w:ilvl="0" w:tplc="E12281C0">
      <w:start w:val="1"/>
      <w:numFmt w:val="lowerRoman"/>
      <w:lvlText w:val="%1."/>
      <w:lvlJc w:val="left"/>
      <w:pPr>
        <w:ind w:left="1437"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25" w15:restartNumberingAfterBreak="0">
    <w:nsid w:val="3F99124A"/>
    <w:multiLevelType w:val="multilevel"/>
    <w:tmpl w:val="2E7A69DE"/>
    <w:numStyleLink w:val="BullettedList"/>
  </w:abstractNum>
  <w:abstractNum w:abstractNumId="26" w15:restartNumberingAfterBreak="0">
    <w:nsid w:val="400D6BBB"/>
    <w:multiLevelType w:val="multilevel"/>
    <w:tmpl w:val="00088496"/>
    <w:styleLink w:val="Bullets"/>
    <w:lvl w:ilvl="0">
      <w:start w:val="1"/>
      <w:numFmt w:val="bullet"/>
      <w:pStyle w:val="MoEBulletedList"/>
      <w:lvlText w:val=""/>
      <w:lvlJc w:val="left"/>
      <w:pPr>
        <w:ind w:left="340" w:hanging="340"/>
      </w:pPr>
      <w:rPr>
        <w:rFonts w:hint="default" w:ascii="Symbol" w:hAnsi="Symbol"/>
        <w:b w:val="0"/>
        <w:i w:val="0"/>
        <w:sz w:val="20"/>
      </w:rPr>
    </w:lvl>
    <w:lvl w:ilvl="1">
      <w:start w:val="1"/>
      <w:numFmt w:val="bullet"/>
      <w:lvlText w:val=""/>
      <w:lvlJc w:val="left"/>
      <w:pPr>
        <w:ind w:left="680" w:hanging="340"/>
      </w:pPr>
      <w:rPr>
        <w:rFonts w:hint="default" w:ascii="Symbol" w:hAnsi="Symbol"/>
      </w:rPr>
    </w:lvl>
    <w:lvl w:ilvl="2">
      <w:start w:val="1"/>
      <w:numFmt w:val="bullet"/>
      <w:lvlText w:val=""/>
      <w:lvlJc w:val="left"/>
      <w:pPr>
        <w:ind w:left="1020" w:hanging="340"/>
      </w:pPr>
      <w:rPr>
        <w:rFonts w:hint="default" w:ascii="Wingdings" w:hAnsi="Wingdings"/>
      </w:rPr>
    </w:lvl>
    <w:lvl w:ilvl="3">
      <w:start w:val="1"/>
      <w:numFmt w:val="bullet"/>
      <w:lvlText w:val="•"/>
      <w:lvlJc w:val="left"/>
      <w:pPr>
        <w:ind w:left="1360" w:hanging="340"/>
      </w:pPr>
      <w:rPr>
        <w:rFonts w:hint="default" w:ascii="Arial" w:hAnsi="Arial"/>
        <w:b w:val="0"/>
        <w:i w:val="0"/>
        <w:sz w:val="20"/>
      </w:rPr>
    </w:lvl>
    <w:lvl w:ilvl="4">
      <w:start w:val="1"/>
      <w:numFmt w:val="bullet"/>
      <w:lvlText w:val="o"/>
      <w:lvlJc w:val="left"/>
      <w:pPr>
        <w:ind w:left="1700" w:hanging="340"/>
      </w:pPr>
      <w:rPr>
        <w:rFonts w:hint="default" w:ascii="Courier New" w:hAnsi="Courier New" w:cs="Courier New"/>
      </w:rPr>
    </w:lvl>
    <w:lvl w:ilvl="5">
      <w:start w:val="1"/>
      <w:numFmt w:val="bullet"/>
      <w:lvlText w:val=""/>
      <w:lvlJc w:val="left"/>
      <w:pPr>
        <w:ind w:left="2040" w:hanging="340"/>
      </w:pPr>
      <w:rPr>
        <w:rFonts w:hint="default" w:ascii="Wingdings" w:hAnsi="Wingdings"/>
      </w:rPr>
    </w:lvl>
    <w:lvl w:ilvl="6">
      <w:start w:val="1"/>
      <w:numFmt w:val="bullet"/>
      <w:lvlText w:val=""/>
      <w:lvlJc w:val="left"/>
      <w:pPr>
        <w:ind w:left="2380" w:hanging="340"/>
      </w:pPr>
      <w:rPr>
        <w:rFonts w:hint="default" w:ascii="Symbol" w:hAnsi="Symbol"/>
      </w:rPr>
    </w:lvl>
    <w:lvl w:ilvl="7">
      <w:start w:val="1"/>
      <w:numFmt w:val="bullet"/>
      <w:lvlText w:val="o"/>
      <w:lvlJc w:val="left"/>
      <w:pPr>
        <w:ind w:left="2720" w:hanging="340"/>
      </w:pPr>
      <w:rPr>
        <w:rFonts w:hint="default" w:ascii="Courier New" w:hAnsi="Courier New" w:cs="Courier New"/>
      </w:rPr>
    </w:lvl>
    <w:lvl w:ilvl="8">
      <w:start w:val="1"/>
      <w:numFmt w:val="bullet"/>
      <w:lvlText w:val=""/>
      <w:lvlJc w:val="left"/>
      <w:pPr>
        <w:ind w:left="3060" w:hanging="340"/>
      </w:pPr>
      <w:rPr>
        <w:rFonts w:hint="default" w:ascii="Wingdings" w:hAnsi="Wingdings"/>
      </w:rPr>
    </w:lvl>
  </w:abstractNum>
  <w:abstractNum w:abstractNumId="27" w15:restartNumberingAfterBreak="0">
    <w:nsid w:val="49B607BC"/>
    <w:multiLevelType w:val="multilevel"/>
    <w:tmpl w:val="237EF924"/>
    <w:lvl w:ilvl="0">
      <w:start w:val="1"/>
      <w:numFmt w:val="bullet"/>
      <w:lvlText w:val=""/>
      <w:lvlJc w:val="left"/>
      <w:pPr>
        <w:ind w:left="720" w:hanging="363"/>
      </w:pPr>
      <w:rPr>
        <w:rFonts w:hint="default" w:ascii="Symbol" w:hAnsi="Symbol"/>
      </w:rPr>
    </w:lvl>
    <w:lvl w:ilvl="1">
      <w:start w:val="1"/>
      <w:numFmt w:val="bullet"/>
      <w:lvlText w:val="­"/>
      <w:lvlJc w:val="left"/>
      <w:pPr>
        <w:ind w:left="1077" w:hanging="363"/>
      </w:pPr>
      <w:rPr>
        <w:rFonts w:hint="default" w:ascii="Courier New" w:hAnsi="Courier New"/>
      </w:rPr>
    </w:lvl>
    <w:lvl w:ilvl="2">
      <w:start w:val="1"/>
      <w:numFmt w:val="bullet"/>
      <w:lvlText w:val=""/>
      <w:lvlJc w:val="left"/>
      <w:pPr>
        <w:ind w:left="1434" w:hanging="363"/>
      </w:pPr>
      <w:rPr>
        <w:rFonts w:hint="default" w:ascii="Wingdings" w:hAnsi="Wingdings"/>
      </w:rPr>
    </w:lvl>
    <w:lvl w:ilvl="3">
      <w:start w:val="1"/>
      <w:numFmt w:val="bullet"/>
      <w:lvlText w:val=""/>
      <w:lvlJc w:val="left"/>
      <w:pPr>
        <w:ind w:left="1791" w:hanging="363"/>
      </w:pPr>
      <w:rPr>
        <w:rFonts w:hint="default" w:ascii="Symbol" w:hAnsi="Symbol"/>
      </w:rPr>
    </w:lvl>
    <w:lvl w:ilvl="4">
      <w:start w:val="1"/>
      <w:numFmt w:val="bullet"/>
      <w:lvlText w:val="o"/>
      <w:lvlJc w:val="left"/>
      <w:pPr>
        <w:ind w:left="2148" w:hanging="363"/>
      </w:pPr>
      <w:rPr>
        <w:rFonts w:hint="default" w:ascii="Courier New" w:hAnsi="Courier New" w:cs="Courier New"/>
      </w:rPr>
    </w:lvl>
    <w:lvl w:ilvl="5">
      <w:start w:val="1"/>
      <w:numFmt w:val="bullet"/>
      <w:lvlText w:val=""/>
      <w:lvlJc w:val="left"/>
      <w:pPr>
        <w:ind w:left="2505" w:hanging="363"/>
      </w:pPr>
      <w:rPr>
        <w:rFonts w:hint="default" w:ascii="Wingdings" w:hAnsi="Wingdings"/>
      </w:rPr>
    </w:lvl>
    <w:lvl w:ilvl="6">
      <w:start w:val="1"/>
      <w:numFmt w:val="bullet"/>
      <w:lvlText w:val=""/>
      <w:lvlJc w:val="left"/>
      <w:pPr>
        <w:ind w:left="2862" w:hanging="363"/>
      </w:pPr>
      <w:rPr>
        <w:rFonts w:hint="default" w:ascii="Symbol" w:hAnsi="Symbol"/>
      </w:rPr>
    </w:lvl>
    <w:lvl w:ilvl="7">
      <w:start w:val="1"/>
      <w:numFmt w:val="bullet"/>
      <w:lvlText w:val="o"/>
      <w:lvlJc w:val="left"/>
      <w:pPr>
        <w:ind w:left="3219" w:hanging="363"/>
      </w:pPr>
      <w:rPr>
        <w:rFonts w:hint="default" w:ascii="Courier New" w:hAnsi="Courier New" w:cs="Courier New"/>
      </w:rPr>
    </w:lvl>
    <w:lvl w:ilvl="8">
      <w:start w:val="1"/>
      <w:numFmt w:val="bullet"/>
      <w:lvlText w:val=""/>
      <w:lvlJc w:val="left"/>
      <w:pPr>
        <w:ind w:left="3576" w:hanging="363"/>
      </w:pPr>
      <w:rPr>
        <w:rFonts w:hint="default" w:ascii="Wingdings" w:hAnsi="Wingdings"/>
      </w:rPr>
    </w:lvl>
  </w:abstractNum>
  <w:abstractNum w:abstractNumId="28" w15:restartNumberingAfterBreak="0">
    <w:nsid w:val="57B91A17"/>
    <w:multiLevelType w:val="multilevel"/>
    <w:tmpl w:val="2E7A69DE"/>
    <w:styleLink w:val="BullettedList"/>
    <w:lvl w:ilvl="0">
      <w:start w:val="1"/>
      <w:numFmt w:val="bullet"/>
      <w:pStyle w:val="Bullet1"/>
      <w:lvlText w:val=""/>
      <w:lvlJc w:val="left"/>
      <w:pPr>
        <w:ind w:left="851" w:hanging="426"/>
      </w:pPr>
      <w:rPr>
        <w:rFonts w:hint="default" w:ascii="Symbol" w:hAnsi="Symbol"/>
      </w:rPr>
    </w:lvl>
    <w:lvl w:ilvl="1">
      <w:start w:val="1"/>
      <w:numFmt w:val="bullet"/>
      <w:pStyle w:val="Bullet2"/>
      <w:lvlText w:val="o"/>
      <w:lvlJc w:val="left"/>
      <w:pPr>
        <w:ind w:left="1276" w:hanging="426"/>
      </w:pPr>
      <w:rPr>
        <w:rFonts w:hint="default" w:ascii="Courier New" w:hAnsi="Courier New"/>
      </w:rPr>
    </w:lvl>
    <w:lvl w:ilvl="2">
      <w:start w:val="1"/>
      <w:numFmt w:val="bullet"/>
      <w:pStyle w:val="Bullet3"/>
      <w:lvlText w:val="o"/>
      <w:lvlJc w:val="left"/>
      <w:pPr>
        <w:ind w:left="1701" w:hanging="426"/>
      </w:pPr>
      <w:rPr>
        <w:rFonts w:hint="default" w:ascii="Courier New" w:hAnsi="Courier New"/>
      </w:rPr>
    </w:lvl>
    <w:lvl w:ilvl="3">
      <w:start w:val="1"/>
      <w:numFmt w:val="bullet"/>
      <w:pStyle w:val="Bullet4"/>
      <w:lvlText w:val="o"/>
      <w:lvlJc w:val="left"/>
      <w:pPr>
        <w:ind w:left="2126" w:hanging="426"/>
      </w:pPr>
      <w:rPr>
        <w:rFonts w:hint="default" w:ascii="Courier New" w:hAnsi="Courier New"/>
      </w:rPr>
    </w:lvl>
    <w:lvl w:ilvl="4">
      <w:start w:val="1"/>
      <w:numFmt w:val="bullet"/>
      <w:lvlText w:val="o"/>
      <w:lvlJc w:val="left"/>
      <w:pPr>
        <w:ind w:left="2551" w:hanging="426"/>
      </w:pPr>
      <w:rPr>
        <w:rFonts w:hint="default" w:ascii="Courier New" w:hAnsi="Courier New" w:cs="Courier New"/>
      </w:rPr>
    </w:lvl>
    <w:lvl w:ilvl="5">
      <w:start w:val="1"/>
      <w:numFmt w:val="bullet"/>
      <w:lvlText w:val=""/>
      <w:lvlJc w:val="left"/>
      <w:pPr>
        <w:ind w:left="2976" w:hanging="426"/>
      </w:pPr>
      <w:rPr>
        <w:rFonts w:hint="default" w:ascii="Wingdings" w:hAnsi="Wingdings"/>
      </w:rPr>
    </w:lvl>
    <w:lvl w:ilvl="6">
      <w:start w:val="1"/>
      <w:numFmt w:val="bullet"/>
      <w:lvlText w:val=""/>
      <w:lvlJc w:val="left"/>
      <w:pPr>
        <w:ind w:left="3401" w:hanging="426"/>
      </w:pPr>
      <w:rPr>
        <w:rFonts w:hint="default" w:ascii="Symbol" w:hAnsi="Symbol"/>
      </w:rPr>
    </w:lvl>
    <w:lvl w:ilvl="7">
      <w:start w:val="1"/>
      <w:numFmt w:val="bullet"/>
      <w:lvlText w:val="o"/>
      <w:lvlJc w:val="left"/>
      <w:pPr>
        <w:ind w:left="3826" w:hanging="426"/>
      </w:pPr>
      <w:rPr>
        <w:rFonts w:hint="default" w:ascii="Courier New" w:hAnsi="Courier New" w:cs="Courier New"/>
      </w:rPr>
    </w:lvl>
    <w:lvl w:ilvl="8">
      <w:start w:val="1"/>
      <w:numFmt w:val="bullet"/>
      <w:lvlText w:val=""/>
      <w:lvlJc w:val="left"/>
      <w:pPr>
        <w:ind w:left="4251" w:hanging="426"/>
      </w:pPr>
      <w:rPr>
        <w:rFonts w:hint="default" w:ascii="Wingdings" w:hAnsi="Wingdings"/>
      </w:rPr>
    </w:lvl>
  </w:abstractNum>
  <w:abstractNum w:abstractNumId="29" w15:restartNumberingAfterBreak="0">
    <w:nsid w:val="58BF59AC"/>
    <w:multiLevelType w:val="multilevel"/>
    <w:tmpl w:val="E23245A6"/>
    <w:lvl w:ilvl="0">
      <w:start w:val="1"/>
      <w:numFmt w:val="bullet"/>
      <w:pStyle w:val="Tablebullet"/>
      <w:lvlText w:val=""/>
      <w:lvlJc w:val="left"/>
      <w:pPr>
        <w:ind w:left="227" w:hanging="227"/>
      </w:pPr>
      <w:rPr>
        <w:rFonts w:hint="default" w:ascii="Symbol" w:hAnsi="Symbol"/>
      </w:rPr>
    </w:lvl>
    <w:lvl w:ilvl="1">
      <w:start w:val="1"/>
      <w:numFmt w:val="bullet"/>
      <w:pStyle w:val="Tablebullet2"/>
      <w:lvlText w:val=""/>
      <w:lvlJc w:val="left"/>
      <w:pPr>
        <w:ind w:left="454" w:hanging="227"/>
      </w:pPr>
      <w:rPr>
        <w:rFonts w:hint="default" w:ascii="Symbol" w:hAnsi="Symbol"/>
      </w:rPr>
    </w:lvl>
    <w:lvl w:ilvl="2">
      <w:start w:val="1"/>
      <w:numFmt w:val="bullet"/>
      <w:lvlText w:val=""/>
      <w:lvlJc w:val="left"/>
      <w:pPr>
        <w:ind w:left="681" w:hanging="227"/>
      </w:pPr>
      <w:rPr>
        <w:rFonts w:hint="default" w:ascii="Wingdings" w:hAnsi="Wingdings"/>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cs="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30"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31" w15:restartNumberingAfterBreak="0">
    <w:nsid w:val="67AB57CE"/>
    <w:multiLevelType w:val="hybridMultilevel"/>
    <w:tmpl w:val="53264CDE"/>
    <w:lvl w:ilvl="0" w:tplc="3B547744">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32" w15:restartNumberingAfterBreak="0">
    <w:nsid w:val="70A10E48"/>
    <w:multiLevelType w:val="multilevel"/>
    <w:tmpl w:val="489632A6"/>
    <w:lvl w:ilvl="0">
      <w:start w:val="1"/>
      <w:numFmt w:val="bullet"/>
      <w:pStyle w:val="ListBullet"/>
      <w:lvlText w:val=""/>
      <w:lvlJc w:val="left"/>
      <w:pPr>
        <w:ind w:left="720" w:hanging="363"/>
      </w:pPr>
      <w:rPr>
        <w:rFonts w:hint="default" w:ascii="Symbol" w:hAnsi="Symbol"/>
      </w:rPr>
    </w:lvl>
    <w:lvl w:ilvl="1">
      <w:start w:val="1"/>
      <w:numFmt w:val="bullet"/>
      <w:pStyle w:val="ListBullet2"/>
      <w:lvlText w:val="­"/>
      <w:lvlJc w:val="left"/>
      <w:pPr>
        <w:ind w:left="1077" w:hanging="363"/>
      </w:pPr>
      <w:rPr>
        <w:rFonts w:hint="default" w:ascii="Courier New" w:hAnsi="Courier New"/>
      </w:rPr>
    </w:lvl>
    <w:lvl w:ilvl="2">
      <w:start w:val="1"/>
      <w:numFmt w:val="bullet"/>
      <w:pStyle w:val="ListBullet3"/>
      <w:lvlText w:val=""/>
      <w:lvlJc w:val="left"/>
      <w:pPr>
        <w:ind w:left="1434" w:hanging="363"/>
      </w:pPr>
      <w:rPr>
        <w:rFonts w:hint="default" w:ascii="Wingdings" w:hAnsi="Wingdings"/>
      </w:rPr>
    </w:lvl>
    <w:lvl w:ilvl="3">
      <w:start w:val="1"/>
      <w:numFmt w:val="bullet"/>
      <w:lvlText w:val=""/>
      <w:lvlJc w:val="left"/>
      <w:pPr>
        <w:ind w:left="1791" w:hanging="363"/>
      </w:pPr>
      <w:rPr>
        <w:rFonts w:hint="default" w:ascii="Symbol" w:hAnsi="Symbol"/>
      </w:rPr>
    </w:lvl>
    <w:lvl w:ilvl="4">
      <w:start w:val="1"/>
      <w:numFmt w:val="bullet"/>
      <w:lvlText w:val="o"/>
      <w:lvlJc w:val="left"/>
      <w:pPr>
        <w:ind w:left="2148" w:hanging="363"/>
      </w:pPr>
      <w:rPr>
        <w:rFonts w:hint="default" w:ascii="Courier New" w:hAnsi="Courier New" w:cs="Courier New"/>
      </w:rPr>
    </w:lvl>
    <w:lvl w:ilvl="5">
      <w:start w:val="1"/>
      <w:numFmt w:val="bullet"/>
      <w:lvlText w:val=""/>
      <w:lvlJc w:val="left"/>
      <w:pPr>
        <w:ind w:left="2505" w:hanging="363"/>
      </w:pPr>
      <w:rPr>
        <w:rFonts w:hint="default" w:ascii="Wingdings" w:hAnsi="Wingdings"/>
      </w:rPr>
    </w:lvl>
    <w:lvl w:ilvl="6">
      <w:start w:val="1"/>
      <w:numFmt w:val="bullet"/>
      <w:lvlText w:val=""/>
      <w:lvlJc w:val="left"/>
      <w:pPr>
        <w:ind w:left="2862" w:hanging="363"/>
      </w:pPr>
      <w:rPr>
        <w:rFonts w:hint="default" w:ascii="Symbol" w:hAnsi="Symbol"/>
      </w:rPr>
    </w:lvl>
    <w:lvl w:ilvl="7">
      <w:start w:val="1"/>
      <w:numFmt w:val="bullet"/>
      <w:lvlText w:val="o"/>
      <w:lvlJc w:val="left"/>
      <w:pPr>
        <w:ind w:left="3219" w:hanging="363"/>
      </w:pPr>
      <w:rPr>
        <w:rFonts w:hint="default" w:ascii="Courier New" w:hAnsi="Courier New" w:cs="Courier New"/>
      </w:rPr>
    </w:lvl>
    <w:lvl w:ilvl="8">
      <w:start w:val="1"/>
      <w:numFmt w:val="bullet"/>
      <w:lvlText w:val=""/>
      <w:lvlJc w:val="left"/>
      <w:pPr>
        <w:ind w:left="3576" w:hanging="363"/>
      </w:pPr>
      <w:rPr>
        <w:rFonts w:hint="default" w:ascii="Wingdings" w:hAnsi="Wingdings"/>
      </w:rPr>
    </w:lvl>
  </w:abstractNum>
  <w:abstractNum w:abstractNumId="33" w15:restartNumberingAfterBreak="0">
    <w:nsid w:val="7397477A"/>
    <w:multiLevelType w:val="hybridMultilevel"/>
    <w:tmpl w:val="CB3072C2"/>
    <w:lvl w:ilvl="0" w:tplc="14090001">
      <w:start w:val="1"/>
      <w:numFmt w:val="bullet"/>
      <w:lvlText w:val=""/>
      <w:lvlJc w:val="left"/>
      <w:pPr>
        <w:ind w:left="720" w:hanging="360"/>
      </w:pPr>
      <w:rPr>
        <w:rFonts w:hint="default" w:ascii="Symbol" w:hAnsi="Symbol"/>
      </w:rPr>
    </w:lvl>
    <w:lvl w:ilvl="1" w:tplc="94B212A0">
      <w:numFmt w:val="bullet"/>
      <w:lvlText w:val="•"/>
      <w:lvlJc w:val="left"/>
      <w:pPr>
        <w:ind w:left="1440" w:hanging="360"/>
      </w:pPr>
      <w:rPr>
        <w:rFonts w:hint="default" w:ascii="Arial" w:hAnsi="Arial" w:cs="Arial" w:eastAsiaTheme="minorHAnsi"/>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4" w15:restartNumberingAfterBreak="0">
    <w:nsid w:val="7E7D5BB0"/>
    <w:multiLevelType w:val="hybridMultilevel"/>
    <w:tmpl w:val="AB62680C"/>
    <w:lvl w:ilvl="0" w:tplc="97FADB8E">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35" w15:restartNumberingAfterBreak="0">
    <w:nsid w:val="7FBC23B4"/>
    <w:multiLevelType w:val="multilevel"/>
    <w:tmpl w:val="5AF49A2A"/>
    <w:lvl w:ilvl="0">
      <w:start w:val="1"/>
      <w:numFmt w:val="decimal"/>
      <w:pStyle w:val="ListNumber"/>
      <w:lvlText w:val="%1."/>
      <w:lvlJc w:val="left"/>
      <w:pPr>
        <w:ind w:left="720" w:hanging="363"/>
      </w:pPr>
      <w:rPr>
        <w:rFonts w:hint="default"/>
      </w:rPr>
    </w:lvl>
    <w:lvl w:ilvl="1">
      <w:start w:val="1"/>
      <w:numFmt w:val="lowerLetter"/>
      <w:pStyle w:val="ListNumber2"/>
      <w:lvlText w:val="%2."/>
      <w:lvlJc w:val="left"/>
      <w:pPr>
        <w:ind w:left="1077" w:hanging="363"/>
      </w:pPr>
      <w:rPr>
        <w:rFonts w:hint="default"/>
      </w:rPr>
    </w:lvl>
    <w:lvl w:ilvl="2">
      <w:start w:val="1"/>
      <w:numFmt w:val="lowerRoman"/>
      <w:pStyle w:val="ListNumber3"/>
      <w:lvlText w:val="%3."/>
      <w:lvlJc w:val="right"/>
      <w:pPr>
        <w:ind w:left="1434" w:hanging="363"/>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righ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right"/>
      <w:pPr>
        <w:ind w:left="3576" w:hanging="363"/>
      </w:pPr>
      <w:rPr>
        <w:rFonts w:hint="default"/>
      </w:rPr>
    </w:lvl>
  </w:abstractNum>
  <w:num w:numId="1" w16cid:durableId="157700034">
    <w:abstractNumId w:val="35"/>
  </w:num>
  <w:num w:numId="2" w16cid:durableId="1191530493">
    <w:abstractNumId w:val="32"/>
  </w:num>
  <w:num w:numId="3" w16cid:durableId="1325088461">
    <w:abstractNumId w:val="7"/>
  </w:num>
  <w:num w:numId="4" w16cid:durableId="504171047">
    <w:abstractNumId w:val="17"/>
  </w:num>
  <w:num w:numId="5" w16cid:durableId="1874150494">
    <w:abstractNumId w:val="9"/>
  </w:num>
  <w:num w:numId="6" w16cid:durableId="163934693">
    <w:abstractNumId w:val="29"/>
  </w:num>
  <w:num w:numId="7" w16cid:durableId="1043210475">
    <w:abstractNumId w:val="30"/>
  </w:num>
  <w:num w:numId="8" w16cid:durableId="1767187044">
    <w:abstractNumId w:val="26"/>
  </w:num>
  <w:num w:numId="9" w16cid:durableId="700252303">
    <w:abstractNumId w:val="28"/>
  </w:num>
  <w:num w:numId="10" w16cid:durableId="1465613892">
    <w:abstractNumId w:val="25"/>
  </w:num>
  <w:num w:numId="11" w16cid:durableId="1767573730">
    <w:abstractNumId w:val="6"/>
  </w:num>
  <w:num w:numId="12" w16cid:durableId="1485583147">
    <w:abstractNumId w:val="20"/>
  </w:num>
  <w:num w:numId="13" w16cid:durableId="904989900">
    <w:abstractNumId w:val="27"/>
  </w:num>
  <w:num w:numId="14" w16cid:durableId="249000370">
    <w:abstractNumId w:val="5"/>
  </w:num>
  <w:num w:numId="15" w16cid:durableId="1391419759">
    <w:abstractNumId w:val="3"/>
  </w:num>
  <w:num w:numId="16" w16cid:durableId="15456033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596198">
    <w:abstractNumId w:val="4"/>
  </w:num>
  <w:num w:numId="18" w16cid:durableId="1870338598">
    <w:abstractNumId w:val="1"/>
  </w:num>
  <w:num w:numId="19" w16cid:durableId="1687560567">
    <w:abstractNumId w:val="14"/>
  </w:num>
  <w:num w:numId="20" w16cid:durableId="7923628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2344397">
    <w:abstractNumId w:val="18"/>
  </w:num>
  <w:num w:numId="22" w16cid:durableId="663243610">
    <w:abstractNumId w:val="0"/>
  </w:num>
  <w:num w:numId="23" w16cid:durableId="1445147408">
    <w:abstractNumId w:val="21"/>
  </w:num>
  <w:num w:numId="24" w16cid:durableId="1400135914">
    <w:abstractNumId w:val="24"/>
  </w:num>
  <w:num w:numId="25" w16cid:durableId="641887501">
    <w:abstractNumId w:val="2"/>
  </w:num>
  <w:num w:numId="26" w16cid:durableId="14500122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5585261">
    <w:abstractNumId w:val="22"/>
  </w:num>
  <w:num w:numId="28" w16cid:durableId="889849195">
    <w:abstractNumId w:val="34"/>
  </w:num>
  <w:num w:numId="29" w16cid:durableId="15075571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3878369">
    <w:abstractNumId w:val="31"/>
  </w:num>
  <w:num w:numId="31" w16cid:durableId="668599333">
    <w:abstractNumId w:val="23"/>
  </w:num>
  <w:num w:numId="32" w16cid:durableId="1371689359">
    <w:abstractNumId w:val="15"/>
  </w:num>
  <w:num w:numId="33" w16cid:durableId="1171020178">
    <w:abstractNumId w:val="8"/>
  </w:num>
  <w:num w:numId="34" w16cid:durableId="513035649">
    <w:abstractNumId w:val="16"/>
  </w:num>
  <w:num w:numId="35" w16cid:durableId="412748466">
    <w:abstractNumId w:val="10"/>
  </w:num>
  <w:num w:numId="36" w16cid:durableId="285743700">
    <w:abstractNumId w:val="17"/>
    <w:lvlOverride w:ilvl="0">
      <w:lvl w:ilvl="0">
        <w:start w:val="1"/>
        <w:numFmt w:val="none"/>
        <w:lvlText w:val="Section "/>
        <w:lvlJc w:val="left"/>
        <w:pPr>
          <w:tabs>
            <w:tab w:val="num" w:pos="2268"/>
          </w:tabs>
          <w:ind w:left="0" w:firstLine="0"/>
        </w:pPr>
        <w:rPr>
          <w:rFonts w:hint="default"/>
        </w:rPr>
      </w:lvl>
    </w:lvlOverride>
    <w:lvlOverride w:ilvl="1">
      <w:lvl w:ilvl="1">
        <w:start w:val="1"/>
        <w:numFmt w:val="none"/>
        <w:pStyle w:val="Heading1"/>
        <w:lvlText w:val=""/>
        <w:lvlJc w:val="left"/>
        <w:pPr>
          <w:ind w:left="0" w:firstLine="0"/>
        </w:pPr>
        <w:rPr>
          <w:rFonts w:hint="default"/>
        </w:rPr>
      </w:lvl>
    </w:lvlOverride>
    <w:lvlOverride w:ilvl="2">
      <w:lvl w:ilvl="2">
        <w:start w:val="1"/>
        <w:numFmt w:val="none"/>
        <w:pStyle w:val="Heading2"/>
        <w:lvlText w:val="%3"/>
        <w:lvlJc w:val="left"/>
        <w:pPr>
          <w:ind w:left="0" w:firstLine="0"/>
        </w:pPr>
        <w:rPr>
          <w:rFonts w:hint="default"/>
        </w:rPr>
      </w:lvl>
    </w:lvlOverride>
    <w:lvlOverride w:ilvl="3">
      <w:lvl w:ilvl="3">
        <w:start w:val="1"/>
        <w:numFmt w:val="none"/>
        <w:pStyle w:val="Heading3"/>
        <w:lvlText w:val=""/>
        <w:lvlJc w:val="left"/>
        <w:pPr>
          <w:ind w:left="0" w:firstLine="0"/>
        </w:pPr>
        <w:rPr>
          <w:rFonts w:hint="default"/>
        </w:rPr>
      </w:lvl>
    </w:lvlOverride>
    <w:lvlOverride w:ilvl="4">
      <w:lvl w:ilvl="4">
        <w:start w:val="1"/>
        <w:numFmt w:val="none"/>
        <w:pStyle w:val="Heading4"/>
        <w:lvlText w:val=""/>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7" w16cid:durableId="584999961">
    <w:abstractNumId w:val="11"/>
  </w:num>
  <w:num w:numId="38" w16cid:durableId="506331773">
    <w:abstractNumId w:val="19"/>
  </w:num>
  <w:num w:numId="39" w16cid:durableId="1988314572">
    <w:abstractNumId w:val="33"/>
  </w:num>
  <w:num w:numId="40" w16cid:durableId="958603949">
    <w:abstractNumId w:val="13"/>
  </w:num>
  <w:num w:numId="41" w16cid:durableId="926693955">
    <w:abstractNumId w:val="17"/>
  </w:num>
  <w:num w:numId="42" w16cid:durableId="341513918">
    <w:abstractNumId w:val="17"/>
  </w:num>
  <w:num w:numId="43" w16cid:durableId="77139731">
    <w:abstractNumId w:val="17"/>
  </w:num>
  <w:num w:numId="44" w16cid:durableId="72505980">
    <w:abstractNumId w:val="17"/>
  </w:num>
  <w:num w:numId="45" w16cid:durableId="195243353">
    <w:abstractNumId w:val="17"/>
  </w:num>
  <w:num w:numId="46" w16cid:durableId="622424118">
    <w:abstractNumId w:val="17"/>
  </w:num>
  <w:num w:numId="47" w16cid:durableId="1518084113">
    <w:abstractNumId w:val="17"/>
  </w:num>
  <w:num w:numId="48" w16cid:durableId="198205309">
    <w:abstractNumId w:val="12"/>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C3"/>
    <w:rsid w:val="00000981"/>
    <w:rsid w:val="00000BD9"/>
    <w:rsid w:val="00001723"/>
    <w:rsid w:val="0000217C"/>
    <w:rsid w:val="00002D43"/>
    <w:rsid w:val="000036AD"/>
    <w:rsid w:val="00005FE2"/>
    <w:rsid w:val="0000645D"/>
    <w:rsid w:val="00006CCE"/>
    <w:rsid w:val="0001030D"/>
    <w:rsid w:val="0001181D"/>
    <w:rsid w:val="0001284B"/>
    <w:rsid w:val="00012CE1"/>
    <w:rsid w:val="00014801"/>
    <w:rsid w:val="00014CE3"/>
    <w:rsid w:val="000200A2"/>
    <w:rsid w:val="0002090B"/>
    <w:rsid w:val="00020F3B"/>
    <w:rsid w:val="00021766"/>
    <w:rsid w:val="000217CA"/>
    <w:rsid w:val="000227C2"/>
    <w:rsid w:val="00023D38"/>
    <w:rsid w:val="00024345"/>
    <w:rsid w:val="0002518E"/>
    <w:rsid w:val="000254F5"/>
    <w:rsid w:val="00025574"/>
    <w:rsid w:val="000258C0"/>
    <w:rsid w:val="000259ED"/>
    <w:rsid w:val="00026DC8"/>
    <w:rsid w:val="000279A8"/>
    <w:rsid w:val="00027FA3"/>
    <w:rsid w:val="00031AC1"/>
    <w:rsid w:val="00031E90"/>
    <w:rsid w:val="00032FA3"/>
    <w:rsid w:val="0003342A"/>
    <w:rsid w:val="0003391A"/>
    <w:rsid w:val="00033CBF"/>
    <w:rsid w:val="00034ABB"/>
    <w:rsid w:val="00035BA7"/>
    <w:rsid w:val="0003650D"/>
    <w:rsid w:val="000370FA"/>
    <w:rsid w:val="0003736F"/>
    <w:rsid w:val="00041225"/>
    <w:rsid w:val="00042034"/>
    <w:rsid w:val="00042CB3"/>
    <w:rsid w:val="00042F46"/>
    <w:rsid w:val="0004309D"/>
    <w:rsid w:val="000438F1"/>
    <w:rsid w:val="000450D5"/>
    <w:rsid w:val="000451F5"/>
    <w:rsid w:val="00045255"/>
    <w:rsid w:val="00045CDB"/>
    <w:rsid w:val="00046933"/>
    <w:rsid w:val="00050D26"/>
    <w:rsid w:val="0005294A"/>
    <w:rsid w:val="00052C42"/>
    <w:rsid w:val="00052F79"/>
    <w:rsid w:val="00053AFC"/>
    <w:rsid w:val="00054AE4"/>
    <w:rsid w:val="00054E18"/>
    <w:rsid w:val="0005507C"/>
    <w:rsid w:val="0005670C"/>
    <w:rsid w:val="00056A42"/>
    <w:rsid w:val="00056E55"/>
    <w:rsid w:val="00056F41"/>
    <w:rsid w:val="00060255"/>
    <w:rsid w:val="00060BC4"/>
    <w:rsid w:val="000619EA"/>
    <w:rsid w:val="000625AA"/>
    <w:rsid w:val="00062FE9"/>
    <w:rsid w:val="00063652"/>
    <w:rsid w:val="00063883"/>
    <w:rsid w:val="0006392C"/>
    <w:rsid w:val="00063FE8"/>
    <w:rsid w:val="00065A8E"/>
    <w:rsid w:val="00065CB3"/>
    <w:rsid w:val="00066896"/>
    <w:rsid w:val="000708F4"/>
    <w:rsid w:val="00070960"/>
    <w:rsid w:val="00070CBB"/>
    <w:rsid w:val="000732DC"/>
    <w:rsid w:val="00073FB2"/>
    <w:rsid w:val="00074988"/>
    <w:rsid w:val="00074CD8"/>
    <w:rsid w:val="00075D76"/>
    <w:rsid w:val="00075F75"/>
    <w:rsid w:val="000765DE"/>
    <w:rsid w:val="00077C92"/>
    <w:rsid w:val="00080C2F"/>
    <w:rsid w:val="00081828"/>
    <w:rsid w:val="00081AC6"/>
    <w:rsid w:val="00082EA5"/>
    <w:rsid w:val="000847F2"/>
    <w:rsid w:val="00084E5C"/>
    <w:rsid w:val="00085131"/>
    <w:rsid w:val="000858C2"/>
    <w:rsid w:val="0008591F"/>
    <w:rsid w:val="000859E5"/>
    <w:rsid w:val="0008610D"/>
    <w:rsid w:val="0008615E"/>
    <w:rsid w:val="00086677"/>
    <w:rsid w:val="00087BBD"/>
    <w:rsid w:val="0009043E"/>
    <w:rsid w:val="00090885"/>
    <w:rsid w:val="00091F09"/>
    <w:rsid w:val="0009214C"/>
    <w:rsid w:val="0009227E"/>
    <w:rsid w:val="00092515"/>
    <w:rsid w:val="00092DFD"/>
    <w:rsid w:val="00094111"/>
    <w:rsid w:val="0009499B"/>
    <w:rsid w:val="00096356"/>
    <w:rsid w:val="00096F33"/>
    <w:rsid w:val="00097711"/>
    <w:rsid w:val="000A02DD"/>
    <w:rsid w:val="000A08F5"/>
    <w:rsid w:val="000A110E"/>
    <w:rsid w:val="000A20AC"/>
    <w:rsid w:val="000A21AC"/>
    <w:rsid w:val="000A2672"/>
    <w:rsid w:val="000A3BFF"/>
    <w:rsid w:val="000A6D2F"/>
    <w:rsid w:val="000A72D2"/>
    <w:rsid w:val="000A7370"/>
    <w:rsid w:val="000A7BCC"/>
    <w:rsid w:val="000B0339"/>
    <w:rsid w:val="000B104B"/>
    <w:rsid w:val="000B12B8"/>
    <w:rsid w:val="000B37E6"/>
    <w:rsid w:val="000B3C28"/>
    <w:rsid w:val="000B656A"/>
    <w:rsid w:val="000C0B83"/>
    <w:rsid w:val="000C2363"/>
    <w:rsid w:val="000C3F2E"/>
    <w:rsid w:val="000C516C"/>
    <w:rsid w:val="000C59D1"/>
    <w:rsid w:val="000C5EC3"/>
    <w:rsid w:val="000C65A9"/>
    <w:rsid w:val="000C6EE1"/>
    <w:rsid w:val="000C7547"/>
    <w:rsid w:val="000D11BB"/>
    <w:rsid w:val="000D17D1"/>
    <w:rsid w:val="000D5A8E"/>
    <w:rsid w:val="000D5D06"/>
    <w:rsid w:val="000D634D"/>
    <w:rsid w:val="000D6CD5"/>
    <w:rsid w:val="000E008B"/>
    <w:rsid w:val="000E02A2"/>
    <w:rsid w:val="000E2D23"/>
    <w:rsid w:val="000E3D66"/>
    <w:rsid w:val="000E5831"/>
    <w:rsid w:val="000E5D25"/>
    <w:rsid w:val="000E6B5F"/>
    <w:rsid w:val="000E73D3"/>
    <w:rsid w:val="000F0965"/>
    <w:rsid w:val="000F0BC8"/>
    <w:rsid w:val="000F1CA0"/>
    <w:rsid w:val="000F28D3"/>
    <w:rsid w:val="000F2E0A"/>
    <w:rsid w:val="000F36D5"/>
    <w:rsid w:val="000F4055"/>
    <w:rsid w:val="000F4C10"/>
    <w:rsid w:val="000F5FFB"/>
    <w:rsid w:val="000F6047"/>
    <w:rsid w:val="000F7869"/>
    <w:rsid w:val="000F78A7"/>
    <w:rsid w:val="00100607"/>
    <w:rsid w:val="0010348E"/>
    <w:rsid w:val="0010374B"/>
    <w:rsid w:val="00103D0E"/>
    <w:rsid w:val="00104326"/>
    <w:rsid w:val="001056A1"/>
    <w:rsid w:val="001058DA"/>
    <w:rsid w:val="00105AEA"/>
    <w:rsid w:val="00105C4E"/>
    <w:rsid w:val="00106FA7"/>
    <w:rsid w:val="001072C8"/>
    <w:rsid w:val="00107534"/>
    <w:rsid w:val="00107AD7"/>
    <w:rsid w:val="00110EDD"/>
    <w:rsid w:val="00111109"/>
    <w:rsid w:val="00111499"/>
    <w:rsid w:val="00112CD6"/>
    <w:rsid w:val="00112FF8"/>
    <w:rsid w:val="00113598"/>
    <w:rsid w:val="0011454A"/>
    <w:rsid w:val="001150F9"/>
    <w:rsid w:val="001151A9"/>
    <w:rsid w:val="0011543B"/>
    <w:rsid w:val="00115763"/>
    <w:rsid w:val="00115939"/>
    <w:rsid w:val="00116B77"/>
    <w:rsid w:val="00116E4A"/>
    <w:rsid w:val="00117A5F"/>
    <w:rsid w:val="00120690"/>
    <w:rsid w:val="00120BA5"/>
    <w:rsid w:val="00120F73"/>
    <w:rsid w:val="001211ED"/>
    <w:rsid w:val="001219C9"/>
    <w:rsid w:val="0012249C"/>
    <w:rsid w:val="00123292"/>
    <w:rsid w:val="00123E1A"/>
    <w:rsid w:val="00124AF8"/>
    <w:rsid w:val="00124C59"/>
    <w:rsid w:val="00124DDF"/>
    <w:rsid w:val="0012580E"/>
    <w:rsid w:val="00126099"/>
    <w:rsid w:val="001261FA"/>
    <w:rsid w:val="001307EB"/>
    <w:rsid w:val="0013106B"/>
    <w:rsid w:val="00133501"/>
    <w:rsid w:val="001338DF"/>
    <w:rsid w:val="00134086"/>
    <w:rsid w:val="001340A7"/>
    <w:rsid w:val="00134816"/>
    <w:rsid w:val="00135CD1"/>
    <w:rsid w:val="00140714"/>
    <w:rsid w:val="00142081"/>
    <w:rsid w:val="0014288A"/>
    <w:rsid w:val="00142D54"/>
    <w:rsid w:val="00144931"/>
    <w:rsid w:val="00145282"/>
    <w:rsid w:val="00145991"/>
    <w:rsid w:val="00145D7C"/>
    <w:rsid w:val="00147656"/>
    <w:rsid w:val="00150725"/>
    <w:rsid w:val="001515CA"/>
    <w:rsid w:val="001527F3"/>
    <w:rsid w:val="001529F0"/>
    <w:rsid w:val="001548BD"/>
    <w:rsid w:val="00154B7B"/>
    <w:rsid w:val="001560F7"/>
    <w:rsid w:val="00157111"/>
    <w:rsid w:val="001576D6"/>
    <w:rsid w:val="001607F9"/>
    <w:rsid w:val="00160A3A"/>
    <w:rsid w:val="0016149C"/>
    <w:rsid w:val="001616B2"/>
    <w:rsid w:val="00162000"/>
    <w:rsid w:val="0016245B"/>
    <w:rsid w:val="00162DA1"/>
    <w:rsid w:val="001630E7"/>
    <w:rsid w:val="001641F7"/>
    <w:rsid w:val="001665A0"/>
    <w:rsid w:val="001679B7"/>
    <w:rsid w:val="00167AAA"/>
    <w:rsid w:val="0017041D"/>
    <w:rsid w:val="00170611"/>
    <w:rsid w:val="00171C3C"/>
    <w:rsid w:val="00173802"/>
    <w:rsid w:val="001742AD"/>
    <w:rsid w:val="00176076"/>
    <w:rsid w:val="00176508"/>
    <w:rsid w:val="00176529"/>
    <w:rsid w:val="00176A3E"/>
    <w:rsid w:val="00176D01"/>
    <w:rsid w:val="00177469"/>
    <w:rsid w:val="00177B97"/>
    <w:rsid w:val="00177ED3"/>
    <w:rsid w:val="00180A32"/>
    <w:rsid w:val="00181763"/>
    <w:rsid w:val="001826CD"/>
    <w:rsid w:val="00182835"/>
    <w:rsid w:val="001829E2"/>
    <w:rsid w:val="001831D2"/>
    <w:rsid w:val="001835E9"/>
    <w:rsid w:val="00184008"/>
    <w:rsid w:val="001842DA"/>
    <w:rsid w:val="0018641A"/>
    <w:rsid w:val="00186B71"/>
    <w:rsid w:val="00187583"/>
    <w:rsid w:val="00191D51"/>
    <w:rsid w:val="001927A5"/>
    <w:rsid w:val="00192824"/>
    <w:rsid w:val="00192E9C"/>
    <w:rsid w:val="00193117"/>
    <w:rsid w:val="00195BC6"/>
    <w:rsid w:val="00195E62"/>
    <w:rsid w:val="00196B5D"/>
    <w:rsid w:val="001A0CEB"/>
    <w:rsid w:val="001A1489"/>
    <w:rsid w:val="001A1720"/>
    <w:rsid w:val="001A233C"/>
    <w:rsid w:val="001A2507"/>
    <w:rsid w:val="001A2738"/>
    <w:rsid w:val="001A27B3"/>
    <w:rsid w:val="001A327E"/>
    <w:rsid w:val="001A398D"/>
    <w:rsid w:val="001A4024"/>
    <w:rsid w:val="001A42DC"/>
    <w:rsid w:val="001A4882"/>
    <w:rsid w:val="001A5510"/>
    <w:rsid w:val="001A568E"/>
    <w:rsid w:val="001A696F"/>
    <w:rsid w:val="001A7866"/>
    <w:rsid w:val="001A78FC"/>
    <w:rsid w:val="001B090D"/>
    <w:rsid w:val="001B186C"/>
    <w:rsid w:val="001B2A85"/>
    <w:rsid w:val="001B3C2D"/>
    <w:rsid w:val="001B4852"/>
    <w:rsid w:val="001B4CDC"/>
    <w:rsid w:val="001B4D60"/>
    <w:rsid w:val="001B51F2"/>
    <w:rsid w:val="001B55EF"/>
    <w:rsid w:val="001B6CF9"/>
    <w:rsid w:val="001C069E"/>
    <w:rsid w:val="001C1A9D"/>
    <w:rsid w:val="001C1EC1"/>
    <w:rsid w:val="001C3715"/>
    <w:rsid w:val="001C44F5"/>
    <w:rsid w:val="001C5F85"/>
    <w:rsid w:val="001D0963"/>
    <w:rsid w:val="001D4F81"/>
    <w:rsid w:val="001D5874"/>
    <w:rsid w:val="001D62B2"/>
    <w:rsid w:val="001D65AE"/>
    <w:rsid w:val="001D7B03"/>
    <w:rsid w:val="001E0026"/>
    <w:rsid w:val="001E0804"/>
    <w:rsid w:val="001E0879"/>
    <w:rsid w:val="001E0A9A"/>
    <w:rsid w:val="001E1B51"/>
    <w:rsid w:val="001E3E0D"/>
    <w:rsid w:val="001E5723"/>
    <w:rsid w:val="001E60B7"/>
    <w:rsid w:val="001E643D"/>
    <w:rsid w:val="001E6671"/>
    <w:rsid w:val="001E70B1"/>
    <w:rsid w:val="001E7654"/>
    <w:rsid w:val="001E7EC0"/>
    <w:rsid w:val="001F17F1"/>
    <w:rsid w:val="001F1B96"/>
    <w:rsid w:val="001F1BBD"/>
    <w:rsid w:val="001F2612"/>
    <w:rsid w:val="001F2B33"/>
    <w:rsid w:val="001F3DF7"/>
    <w:rsid w:val="001F4E85"/>
    <w:rsid w:val="001F57B5"/>
    <w:rsid w:val="001F5F96"/>
    <w:rsid w:val="001F62D8"/>
    <w:rsid w:val="001F6E00"/>
    <w:rsid w:val="001F70FD"/>
    <w:rsid w:val="002000D5"/>
    <w:rsid w:val="002005C6"/>
    <w:rsid w:val="00200E7E"/>
    <w:rsid w:val="00201EDE"/>
    <w:rsid w:val="00203026"/>
    <w:rsid w:val="002043E9"/>
    <w:rsid w:val="002044DD"/>
    <w:rsid w:val="0020599E"/>
    <w:rsid w:val="00206414"/>
    <w:rsid w:val="002064E2"/>
    <w:rsid w:val="0020708A"/>
    <w:rsid w:val="00207910"/>
    <w:rsid w:val="00210080"/>
    <w:rsid w:val="0021082E"/>
    <w:rsid w:val="00210B34"/>
    <w:rsid w:val="0021141C"/>
    <w:rsid w:val="00211F2C"/>
    <w:rsid w:val="00212135"/>
    <w:rsid w:val="00212175"/>
    <w:rsid w:val="00212ED6"/>
    <w:rsid w:val="00213963"/>
    <w:rsid w:val="00213B43"/>
    <w:rsid w:val="00213DAA"/>
    <w:rsid w:val="00214888"/>
    <w:rsid w:val="002154C3"/>
    <w:rsid w:val="002158EB"/>
    <w:rsid w:val="00215AF4"/>
    <w:rsid w:val="00215C67"/>
    <w:rsid w:val="00216304"/>
    <w:rsid w:val="0021696A"/>
    <w:rsid w:val="00217CDB"/>
    <w:rsid w:val="00217DE3"/>
    <w:rsid w:val="002218FE"/>
    <w:rsid w:val="00222425"/>
    <w:rsid w:val="0022319A"/>
    <w:rsid w:val="00223763"/>
    <w:rsid w:val="00225503"/>
    <w:rsid w:val="00225BA3"/>
    <w:rsid w:val="00226EEC"/>
    <w:rsid w:val="00227E87"/>
    <w:rsid w:val="00232232"/>
    <w:rsid w:val="0023347D"/>
    <w:rsid w:val="00233BDC"/>
    <w:rsid w:val="002349B1"/>
    <w:rsid w:val="00235523"/>
    <w:rsid w:val="0023581F"/>
    <w:rsid w:val="00235DBE"/>
    <w:rsid w:val="00237F43"/>
    <w:rsid w:val="00240985"/>
    <w:rsid w:val="00240EEA"/>
    <w:rsid w:val="00241C64"/>
    <w:rsid w:val="00242D7F"/>
    <w:rsid w:val="00243610"/>
    <w:rsid w:val="00245431"/>
    <w:rsid w:val="0024602F"/>
    <w:rsid w:val="0024644A"/>
    <w:rsid w:val="00246E0C"/>
    <w:rsid w:val="00247FFC"/>
    <w:rsid w:val="00250057"/>
    <w:rsid w:val="00250DBA"/>
    <w:rsid w:val="002519EA"/>
    <w:rsid w:val="00252679"/>
    <w:rsid w:val="00253250"/>
    <w:rsid w:val="00253AB0"/>
    <w:rsid w:val="00254546"/>
    <w:rsid w:val="002556D1"/>
    <w:rsid w:val="00255AB7"/>
    <w:rsid w:val="00256329"/>
    <w:rsid w:val="00257632"/>
    <w:rsid w:val="00257FF5"/>
    <w:rsid w:val="002605F3"/>
    <w:rsid w:val="00260695"/>
    <w:rsid w:val="00260FB5"/>
    <w:rsid w:val="002624A8"/>
    <w:rsid w:val="00262F8B"/>
    <w:rsid w:val="00264DCB"/>
    <w:rsid w:val="002655A0"/>
    <w:rsid w:val="00265B9D"/>
    <w:rsid w:val="0026659B"/>
    <w:rsid w:val="002676C3"/>
    <w:rsid w:val="002703BE"/>
    <w:rsid w:val="0027159F"/>
    <w:rsid w:val="00272A89"/>
    <w:rsid w:val="00272AAB"/>
    <w:rsid w:val="00272B7F"/>
    <w:rsid w:val="0027303F"/>
    <w:rsid w:val="00273D7A"/>
    <w:rsid w:val="00274043"/>
    <w:rsid w:val="002740A0"/>
    <w:rsid w:val="00274321"/>
    <w:rsid w:val="002748B9"/>
    <w:rsid w:val="00274DAE"/>
    <w:rsid w:val="00275E5B"/>
    <w:rsid w:val="00276D89"/>
    <w:rsid w:val="002808AD"/>
    <w:rsid w:val="002810EA"/>
    <w:rsid w:val="00281468"/>
    <w:rsid w:val="0028192B"/>
    <w:rsid w:val="0028431C"/>
    <w:rsid w:val="00284BEB"/>
    <w:rsid w:val="00284F12"/>
    <w:rsid w:val="002858AB"/>
    <w:rsid w:val="00285FF1"/>
    <w:rsid w:val="00291506"/>
    <w:rsid w:val="00292524"/>
    <w:rsid w:val="00292A17"/>
    <w:rsid w:val="00292C54"/>
    <w:rsid w:val="0029311E"/>
    <w:rsid w:val="00293B13"/>
    <w:rsid w:val="00293BFF"/>
    <w:rsid w:val="002944BB"/>
    <w:rsid w:val="00295F73"/>
    <w:rsid w:val="00296254"/>
    <w:rsid w:val="002968AC"/>
    <w:rsid w:val="0029790E"/>
    <w:rsid w:val="0029793A"/>
    <w:rsid w:val="00297A96"/>
    <w:rsid w:val="00297EDB"/>
    <w:rsid w:val="002A0DA7"/>
    <w:rsid w:val="002A1350"/>
    <w:rsid w:val="002A2221"/>
    <w:rsid w:val="002A26D7"/>
    <w:rsid w:val="002A324F"/>
    <w:rsid w:val="002A52D1"/>
    <w:rsid w:val="002A5317"/>
    <w:rsid w:val="002A5C61"/>
    <w:rsid w:val="002A6ED5"/>
    <w:rsid w:val="002A7402"/>
    <w:rsid w:val="002A78D2"/>
    <w:rsid w:val="002A7EA8"/>
    <w:rsid w:val="002B027F"/>
    <w:rsid w:val="002B0DA8"/>
    <w:rsid w:val="002B14EB"/>
    <w:rsid w:val="002B1AB2"/>
    <w:rsid w:val="002B1DA6"/>
    <w:rsid w:val="002B2542"/>
    <w:rsid w:val="002B2E52"/>
    <w:rsid w:val="002B4E7C"/>
    <w:rsid w:val="002B5F57"/>
    <w:rsid w:val="002B60FD"/>
    <w:rsid w:val="002B625F"/>
    <w:rsid w:val="002B7AFC"/>
    <w:rsid w:val="002C004F"/>
    <w:rsid w:val="002C043D"/>
    <w:rsid w:val="002C1871"/>
    <w:rsid w:val="002C3B2F"/>
    <w:rsid w:val="002C4E58"/>
    <w:rsid w:val="002C6577"/>
    <w:rsid w:val="002C6A05"/>
    <w:rsid w:val="002C6ADE"/>
    <w:rsid w:val="002C7119"/>
    <w:rsid w:val="002D2D82"/>
    <w:rsid w:val="002D3249"/>
    <w:rsid w:val="002D363F"/>
    <w:rsid w:val="002D3704"/>
    <w:rsid w:val="002D3B80"/>
    <w:rsid w:val="002D45EC"/>
    <w:rsid w:val="002D4B20"/>
    <w:rsid w:val="002D4CF4"/>
    <w:rsid w:val="002D4EA1"/>
    <w:rsid w:val="002D630C"/>
    <w:rsid w:val="002D70D7"/>
    <w:rsid w:val="002D76CF"/>
    <w:rsid w:val="002D7ABC"/>
    <w:rsid w:val="002E001D"/>
    <w:rsid w:val="002E0B5B"/>
    <w:rsid w:val="002E0B64"/>
    <w:rsid w:val="002E1190"/>
    <w:rsid w:val="002E19C8"/>
    <w:rsid w:val="002E1B88"/>
    <w:rsid w:val="002E2BD2"/>
    <w:rsid w:val="002E3571"/>
    <w:rsid w:val="002E4695"/>
    <w:rsid w:val="002E4960"/>
    <w:rsid w:val="002E5B94"/>
    <w:rsid w:val="002E5C52"/>
    <w:rsid w:val="002E69C6"/>
    <w:rsid w:val="002E6AD3"/>
    <w:rsid w:val="002E6B6D"/>
    <w:rsid w:val="002E6F4A"/>
    <w:rsid w:val="002E7468"/>
    <w:rsid w:val="002E7BB2"/>
    <w:rsid w:val="002F1444"/>
    <w:rsid w:val="002F1ED1"/>
    <w:rsid w:val="002F268C"/>
    <w:rsid w:val="002F2F79"/>
    <w:rsid w:val="002F32C0"/>
    <w:rsid w:val="002F36E6"/>
    <w:rsid w:val="002F38F3"/>
    <w:rsid w:val="002F5351"/>
    <w:rsid w:val="002F55B5"/>
    <w:rsid w:val="002F61D5"/>
    <w:rsid w:val="002F69DF"/>
    <w:rsid w:val="00300735"/>
    <w:rsid w:val="00300785"/>
    <w:rsid w:val="00300A52"/>
    <w:rsid w:val="00300CD7"/>
    <w:rsid w:val="003012FD"/>
    <w:rsid w:val="0030132F"/>
    <w:rsid w:val="00301781"/>
    <w:rsid w:val="00302D23"/>
    <w:rsid w:val="00303A6C"/>
    <w:rsid w:val="00303C49"/>
    <w:rsid w:val="00304433"/>
    <w:rsid w:val="003051E9"/>
    <w:rsid w:val="003058C9"/>
    <w:rsid w:val="00305C37"/>
    <w:rsid w:val="00306466"/>
    <w:rsid w:val="00306D68"/>
    <w:rsid w:val="00306F97"/>
    <w:rsid w:val="00307181"/>
    <w:rsid w:val="0030768D"/>
    <w:rsid w:val="0031162D"/>
    <w:rsid w:val="00311649"/>
    <w:rsid w:val="003122AA"/>
    <w:rsid w:val="003124E7"/>
    <w:rsid w:val="00313084"/>
    <w:rsid w:val="003141AE"/>
    <w:rsid w:val="003146FE"/>
    <w:rsid w:val="003170CC"/>
    <w:rsid w:val="0031721F"/>
    <w:rsid w:val="00317782"/>
    <w:rsid w:val="00317ACF"/>
    <w:rsid w:val="003201A2"/>
    <w:rsid w:val="00320744"/>
    <w:rsid w:val="003210A8"/>
    <w:rsid w:val="00321470"/>
    <w:rsid w:val="00322C20"/>
    <w:rsid w:val="00323378"/>
    <w:rsid w:val="00324427"/>
    <w:rsid w:val="0032463B"/>
    <w:rsid w:val="00325407"/>
    <w:rsid w:val="00326904"/>
    <w:rsid w:val="00327FC3"/>
    <w:rsid w:val="00330076"/>
    <w:rsid w:val="00330E2C"/>
    <w:rsid w:val="003313FC"/>
    <w:rsid w:val="00331826"/>
    <w:rsid w:val="00331BC9"/>
    <w:rsid w:val="00333196"/>
    <w:rsid w:val="003332B3"/>
    <w:rsid w:val="00333BBD"/>
    <w:rsid w:val="003344A6"/>
    <w:rsid w:val="0033481A"/>
    <w:rsid w:val="00334898"/>
    <w:rsid w:val="0033590A"/>
    <w:rsid w:val="00335CB5"/>
    <w:rsid w:val="00336CB2"/>
    <w:rsid w:val="0033793D"/>
    <w:rsid w:val="00337BB0"/>
    <w:rsid w:val="00337C1B"/>
    <w:rsid w:val="00340C0E"/>
    <w:rsid w:val="003413CA"/>
    <w:rsid w:val="00341556"/>
    <w:rsid w:val="00342092"/>
    <w:rsid w:val="003424B9"/>
    <w:rsid w:val="0034287C"/>
    <w:rsid w:val="00342E63"/>
    <w:rsid w:val="003432E3"/>
    <w:rsid w:val="003435A0"/>
    <w:rsid w:val="003457E9"/>
    <w:rsid w:val="00346B4E"/>
    <w:rsid w:val="00346D9E"/>
    <w:rsid w:val="00350721"/>
    <w:rsid w:val="00350B09"/>
    <w:rsid w:val="003522A4"/>
    <w:rsid w:val="003526BC"/>
    <w:rsid w:val="003526EE"/>
    <w:rsid w:val="00352E94"/>
    <w:rsid w:val="003530B2"/>
    <w:rsid w:val="00353B24"/>
    <w:rsid w:val="00353E54"/>
    <w:rsid w:val="003541FA"/>
    <w:rsid w:val="00354411"/>
    <w:rsid w:val="00354A88"/>
    <w:rsid w:val="003561F4"/>
    <w:rsid w:val="0035638C"/>
    <w:rsid w:val="00356E0C"/>
    <w:rsid w:val="00357222"/>
    <w:rsid w:val="0036181A"/>
    <w:rsid w:val="00361C79"/>
    <w:rsid w:val="003624A4"/>
    <w:rsid w:val="00362880"/>
    <w:rsid w:val="00362AF6"/>
    <w:rsid w:val="00363179"/>
    <w:rsid w:val="0036354E"/>
    <w:rsid w:val="00364A02"/>
    <w:rsid w:val="00364D82"/>
    <w:rsid w:val="00365BB8"/>
    <w:rsid w:val="003671B3"/>
    <w:rsid w:val="00367990"/>
    <w:rsid w:val="00370442"/>
    <w:rsid w:val="003710D0"/>
    <w:rsid w:val="00371F5B"/>
    <w:rsid w:val="0037223D"/>
    <w:rsid w:val="00372B0D"/>
    <w:rsid w:val="00372C01"/>
    <w:rsid w:val="003747A9"/>
    <w:rsid w:val="003748CA"/>
    <w:rsid w:val="00374AF4"/>
    <w:rsid w:val="00374D21"/>
    <w:rsid w:val="00375EFE"/>
    <w:rsid w:val="00376357"/>
    <w:rsid w:val="00376EEE"/>
    <w:rsid w:val="00382324"/>
    <w:rsid w:val="00382C23"/>
    <w:rsid w:val="0038339A"/>
    <w:rsid w:val="00383A7D"/>
    <w:rsid w:val="00383B14"/>
    <w:rsid w:val="00383C8C"/>
    <w:rsid w:val="00384A7E"/>
    <w:rsid w:val="00384D3D"/>
    <w:rsid w:val="0038594B"/>
    <w:rsid w:val="00385B62"/>
    <w:rsid w:val="00385E33"/>
    <w:rsid w:val="00386130"/>
    <w:rsid w:val="0038693C"/>
    <w:rsid w:val="00386FFF"/>
    <w:rsid w:val="003876FC"/>
    <w:rsid w:val="00387B15"/>
    <w:rsid w:val="00387C54"/>
    <w:rsid w:val="00387D8C"/>
    <w:rsid w:val="003900D6"/>
    <w:rsid w:val="0039157C"/>
    <w:rsid w:val="00391F92"/>
    <w:rsid w:val="0039210A"/>
    <w:rsid w:val="0039590A"/>
    <w:rsid w:val="00395D15"/>
    <w:rsid w:val="00396A4C"/>
    <w:rsid w:val="00397F99"/>
    <w:rsid w:val="003A0F19"/>
    <w:rsid w:val="003A2015"/>
    <w:rsid w:val="003A3B24"/>
    <w:rsid w:val="003A45FF"/>
    <w:rsid w:val="003A4897"/>
    <w:rsid w:val="003A4A4F"/>
    <w:rsid w:val="003A4FD7"/>
    <w:rsid w:val="003A6751"/>
    <w:rsid w:val="003A7309"/>
    <w:rsid w:val="003A7E6A"/>
    <w:rsid w:val="003B170E"/>
    <w:rsid w:val="003B1D50"/>
    <w:rsid w:val="003B288E"/>
    <w:rsid w:val="003B3683"/>
    <w:rsid w:val="003B3EFF"/>
    <w:rsid w:val="003B3FDE"/>
    <w:rsid w:val="003B5C10"/>
    <w:rsid w:val="003B5D52"/>
    <w:rsid w:val="003B646E"/>
    <w:rsid w:val="003B650A"/>
    <w:rsid w:val="003B66CB"/>
    <w:rsid w:val="003B6DD3"/>
    <w:rsid w:val="003B70EE"/>
    <w:rsid w:val="003B76C2"/>
    <w:rsid w:val="003C1C1A"/>
    <w:rsid w:val="003C23E1"/>
    <w:rsid w:val="003C2AAB"/>
    <w:rsid w:val="003C2EE5"/>
    <w:rsid w:val="003C3370"/>
    <w:rsid w:val="003C559A"/>
    <w:rsid w:val="003C5814"/>
    <w:rsid w:val="003C5952"/>
    <w:rsid w:val="003C64F7"/>
    <w:rsid w:val="003C6B3A"/>
    <w:rsid w:val="003C7AD4"/>
    <w:rsid w:val="003D0FB3"/>
    <w:rsid w:val="003D22B6"/>
    <w:rsid w:val="003D3764"/>
    <w:rsid w:val="003D42DE"/>
    <w:rsid w:val="003D4CAC"/>
    <w:rsid w:val="003D65D7"/>
    <w:rsid w:val="003D7147"/>
    <w:rsid w:val="003D7BD7"/>
    <w:rsid w:val="003E00E1"/>
    <w:rsid w:val="003E0B0F"/>
    <w:rsid w:val="003E2427"/>
    <w:rsid w:val="003E339C"/>
    <w:rsid w:val="003E347F"/>
    <w:rsid w:val="003E3DC7"/>
    <w:rsid w:val="003E42E1"/>
    <w:rsid w:val="003E56FD"/>
    <w:rsid w:val="003E589F"/>
    <w:rsid w:val="003E5E1A"/>
    <w:rsid w:val="003E6120"/>
    <w:rsid w:val="003E7FEF"/>
    <w:rsid w:val="003F0076"/>
    <w:rsid w:val="003F0187"/>
    <w:rsid w:val="003F07D1"/>
    <w:rsid w:val="003F185C"/>
    <w:rsid w:val="003F1B29"/>
    <w:rsid w:val="003F1B75"/>
    <w:rsid w:val="003F2837"/>
    <w:rsid w:val="003F2C6D"/>
    <w:rsid w:val="003F32F1"/>
    <w:rsid w:val="003F39BC"/>
    <w:rsid w:val="003F3A87"/>
    <w:rsid w:val="003F3F7B"/>
    <w:rsid w:val="003F4DBA"/>
    <w:rsid w:val="003F5014"/>
    <w:rsid w:val="003F642D"/>
    <w:rsid w:val="00400A3B"/>
    <w:rsid w:val="00400D8E"/>
    <w:rsid w:val="00401018"/>
    <w:rsid w:val="004010E0"/>
    <w:rsid w:val="004013BC"/>
    <w:rsid w:val="0040188C"/>
    <w:rsid w:val="00401ADC"/>
    <w:rsid w:val="0040279D"/>
    <w:rsid w:val="004028EC"/>
    <w:rsid w:val="00402A39"/>
    <w:rsid w:val="00403A5D"/>
    <w:rsid w:val="00403E5C"/>
    <w:rsid w:val="00404CC4"/>
    <w:rsid w:val="0040506B"/>
    <w:rsid w:val="004065BF"/>
    <w:rsid w:val="00406B82"/>
    <w:rsid w:val="004112FB"/>
    <w:rsid w:val="00411B9E"/>
    <w:rsid w:val="0041236A"/>
    <w:rsid w:val="004126E0"/>
    <w:rsid w:val="00413148"/>
    <w:rsid w:val="004154FA"/>
    <w:rsid w:val="0041563E"/>
    <w:rsid w:val="0041564D"/>
    <w:rsid w:val="00415B55"/>
    <w:rsid w:val="0041619F"/>
    <w:rsid w:val="004207EB"/>
    <w:rsid w:val="004207EE"/>
    <w:rsid w:val="00420B45"/>
    <w:rsid w:val="00420BA9"/>
    <w:rsid w:val="00421A6C"/>
    <w:rsid w:val="00421B7C"/>
    <w:rsid w:val="00423526"/>
    <w:rsid w:val="00423979"/>
    <w:rsid w:val="00423DAC"/>
    <w:rsid w:val="00424478"/>
    <w:rsid w:val="00424676"/>
    <w:rsid w:val="0042478D"/>
    <w:rsid w:val="00424A7B"/>
    <w:rsid w:val="00425D78"/>
    <w:rsid w:val="004261BC"/>
    <w:rsid w:val="00427515"/>
    <w:rsid w:val="00427BA7"/>
    <w:rsid w:val="004309E0"/>
    <w:rsid w:val="00430D2F"/>
    <w:rsid w:val="0043188E"/>
    <w:rsid w:val="004331C0"/>
    <w:rsid w:val="004333BC"/>
    <w:rsid w:val="00433D11"/>
    <w:rsid w:val="00434022"/>
    <w:rsid w:val="004365DA"/>
    <w:rsid w:val="0043707D"/>
    <w:rsid w:val="00440908"/>
    <w:rsid w:val="0044090F"/>
    <w:rsid w:val="00441793"/>
    <w:rsid w:val="00441B21"/>
    <w:rsid w:val="00442028"/>
    <w:rsid w:val="0044249F"/>
    <w:rsid w:val="00442F50"/>
    <w:rsid w:val="00443AC7"/>
    <w:rsid w:val="0044631B"/>
    <w:rsid w:val="00447D8C"/>
    <w:rsid w:val="00450AD9"/>
    <w:rsid w:val="00451BF6"/>
    <w:rsid w:val="004524CE"/>
    <w:rsid w:val="0045306F"/>
    <w:rsid w:val="004536AA"/>
    <w:rsid w:val="004549B5"/>
    <w:rsid w:val="00455E30"/>
    <w:rsid w:val="00456259"/>
    <w:rsid w:val="004572FE"/>
    <w:rsid w:val="0045749A"/>
    <w:rsid w:val="00457CDA"/>
    <w:rsid w:val="00460C61"/>
    <w:rsid w:val="00461C22"/>
    <w:rsid w:val="00461E8A"/>
    <w:rsid w:val="00463A83"/>
    <w:rsid w:val="00463E91"/>
    <w:rsid w:val="00464D04"/>
    <w:rsid w:val="00467411"/>
    <w:rsid w:val="004675BD"/>
    <w:rsid w:val="0046769D"/>
    <w:rsid w:val="00470B1A"/>
    <w:rsid w:val="00471345"/>
    <w:rsid w:val="004718FD"/>
    <w:rsid w:val="0047385F"/>
    <w:rsid w:val="004749AA"/>
    <w:rsid w:val="00476980"/>
    <w:rsid w:val="004803CC"/>
    <w:rsid w:val="00480971"/>
    <w:rsid w:val="004809F2"/>
    <w:rsid w:val="0048161B"/>
    <w:rsid w:val="004835F8"/>
    <w:rsid w:val="004836C2"/>
    <w:rsid w:val="004838FB"/>
    <w:rsid w:val="00484FAE"/>
    <w:rsid w:val="00485288"/>
    <w:rsid w:val="0048532C"/>
    <w:rsid w:val="0048661D"/>
    <w:rsid w:val="00486754"/>
    <w:rsid w:val="00486914"/>
    <w:rsid w:val="00486B4D"/>
    <w:rsid w:val="004872E4"/>
    <w:rsid w:val="004912A3"/>
    <w:rsid w:val="004915F1"/>
    <w:rsid w:val="00491D81"/>
    <w:rsid w:val="0049326F"/>
    <w:rsid w:val="00493696"/>
    <w:rsid w:val="00493F99"/>
    <w:rsid w:val="004949F6"/>
    <w:rsid w:val="004955A1"/>
    <w:rsid w:val="00495DA4"/>
    <w:rsid w:val="004964BE"/>
    <w:rsid w:val="00497C54"/>
    <w:rsid w:val="00497FCA"/>
    <w:rsid w:val="004A0C4A"/>
    <w:rsid w:val="004A10FD"/>
    <w:rsid w:val="004A398F"/>
    <w:rsid w:val="004A3EF4"/>
    <w:rsid w:val="004A402A"/>
    <w:rsid w:val="004A4B19"/>
    <w:rsid w:val="004A5362"/>
    <w:rsid w:val="004A556E"/>
    <w:rsid w:val="004A6597"/>
    <w:rsid w:val="004A6774"/>
    <w:rsid w:val="004B11BE"/>
    <w:rsid w:val="004B3E15"/>
    <w:rsid w:val="004B3EBC"/>
    <w:rsid w:val="004B4658"/>
    <w:rsid w:val="004B59B7"/>
    <w:rsid w:val="004B5CAE"/>
    <w:rsid w:val="004B7F77"/>
    <w:rsid w:val="004C0512"/>
    <w:rsid w:val="004C0DD3"/>
    <w:rsid w:val="004C2529"/>
    <w:rsid w:val="004C26E1"/>
    <w:rsid w:val="004C2899"/>
    <w:rsid w:val="004C387E"/>
    <w:rsid w:val="004C391A"/>
    <w:rsid w:val="004C40DE"/>
    <w:rsid w:val="004C4D66"/>
    <w:rsid w:val="004C62EC"/>
    <w:rsid w:val="004C6B2D"/>
    <w:rsid w:val="004C7BF5"/>
    <w:rsid w:val="004C7BFC"/>
    <w:rsid w:val="004D0203"/>
    <w:rsid w:val="004D10D4"/>
    <w:rsid w:val="004D11EF"/>
    <w:rsid w:val="004D2E3D"/>
    <w:rsid w:val="004D37F1"/>
    <w:rsid w:val="004D3C3B"/>
    <w:rsid w:val="004D4765"/>
    <w:rsid w:val="004D497E"/>
    <w:rsid w:val="004D62BD"/>
    <w:rsid w:val="004D695C"/>
    <w:rsid w:val="004E00CC"/>
    <w:rsid w:val="004E0931"/>
    <w:rsid w:val="004E0B9B"/>
    <w:rsid w:val="004E19E3"/>
    <w:rsid w:val="004E29CD"/>
    <w:rsid w:val="004E2CDB"/>
    <w:rsid w:val="004E312C"/>
    <w:rsid w:val="004E6603"/>
    <w:rsid w:val="004E6618"/>
    <w:rsid w:val="004E7CA8"/>
    <w:rsid w:val="004F02BA"/>
    <w:rsid w:val="004F0467"/>
    <w:rsid w:val="004F0BA0"/>
    <w:rsid w:val="004F0E5D"/>
    <w:rsid w:val="004F120E"/>
    <w:rsid w:val="004F20A6"/>
    <w:rsid w:val="004F2846"/>
    <w:rsid w:val="004F2ADD"/>
    <w:rsid w:val="004F336F"/>
    <w:rsid w:val="004F35CE"/>
    <w:rsid w:val="004F3CDF"/>
    <w:rsid w:val="004F44BD"/>
    <w:rsid w:val="004F6426"/>
    <w:rsid w:val="004F6B37"/>
    <w:rsid w:val="005010AE"/>
    <w:rsid w:val="00501A53"/>
    <w:rsid w:val="005037F1"/>
    <w:rsid w:val="00503BCB"/>
    <w:rsid w:val="00504353"/>
    <w:rsid w:val="00504AC5"/>
    <w:rsid w:val="00505BB1"/>
    <w:rsid w:val="00506148"/>
    <w:rsid w:val="00506288"/>
    <w:rsid w:val="00507487"/>
    <w:rsid w:val="00507D47"/>
    <w:rsid w:val="00507FE6"/>
    <w:rsid w:val="00510828"/>
    <w:rsid w:val="005122E3"/>
    <w:rsid w:val="0051231C"/>
    <w:rsid w:val="00512E5D"/>
    <w:rsid w:val="0051456C"/>
    <w:rsid w:val="00514689"/>
    <w:rsid w:val="005146BC"/>
    <w:rsid w:val="005156B9"/>
    <w:rsid w:val="00516BA1"/>
    <w:rsid w:val="00517A06"/>
    <w:rsid w:val="00517ABE"/>
    <w:rsid w:val="00517C64"/>
    <w:rsid w:val="00520765"/>
    <w:rsid w:val="0052109F"/>
    <w:rsid w:val="00521D86"/>
    <w:rsid w:val="0052281A"/>
    <w:rsid w:val="0052467B"/>
    <w:rsid w:val="005257CC"/>
    <w:rsid w:val="00525DBC"/>
    <w:rsid w:val="00525EA3"/>
    <w:rsid w:val="00526305"/>
    <w:rsid w:val="00527C4C"/>
    <w:rsid w:val="00527DF9"/>
    <w:rsid w:val="005312BE"/>
    <w:rsid w:val="00531CD9"/>
    <w:rsid w:val="0053270A"/>
    <w:rsid w:val="00532B20"/>
    <w:rsid w:val="00533342"/>
    <w:rsid w:val="00533966"/>
    <w:rsid w:val="005362C2"/>
    <w:rsid w:val="00537F46"/>
    <w:rsid w:val="005402C5"/>
    <w:rsid w:val="00540CD0"/>
    <w:rsid w:val="00543350"/>
    <w:rsid w:val="00544E7C"/>
    <w:rsid w:val="005468C0"/>
    <w:rsid w:val="00546E14"/>
    <w:rsid w:val="00552178"/>
    <w:rsid w:val="00553901"/>
    <w:rsid w:val="00553D34"/>
    <w:rsid w:val="005541C4"/>
    <w:rsid w:val="005551F8"/>
    <w:rsid w:val="0055555B"/>
    <w:rsid w:val="00556A32"/>
    <w:rsid w:val="0055721C"/>
    <w:rsid w:val="005574B0"/>
    <w:rsid w:val="005604D5"/>
    <w:rsid w:val="00560708"/>
    <w:rsid w:val="00560FB8"/>
    <w:rsid w:val="00561B4B"/>
    <w:rsid w:val="00566A55"/>
    <w:rsid w:val="00566C38"/>
    <w:rsid w:val="00567E64"/>
    <w:rsid w:val="00570CAB"/>
    <w:rsid w:val="00571176"/>
    <w:rsid w:val="005717E4"/>
    <w:rsid w:val="005727E9"/>
    <w:rsid w:val="005764DF"/>
    <w:rsid w:val="00576B12"/>
    <w:rsid w:val="005800BE"/>
    <w:rsid w:val="0058024F"/>
    <w:rsid w:val="00581CCC"/>
    <w:rsid w:val="00583B22"/>
    <w:rsid w:val="00584D79"/>
    <w:rsid w:val="005852D9"/>
    <w:rsid w:val="005873B3"/>
    <w:rsid w:val="005875DA"/>
    <w:rsid w:val="0058765D"/>
    <w:rsid w:val="005877CC"/>
    <w:rsid w:val="00587CF7"/>
    <w:rsid w:val="00590C8A"/>
    <w:rsid w:val="00591367"/>
    <w:rsid w:val="00591863"/>
    <w:rsid w:val="0059405C"/>
    <w:rsid w:val="005947E7"/>
    <w:rsid w:val="00594C1D"/>
    <w:rsid w:val="00594D49"/>
    <w:rsid w:val="00594EA4"/>
    <w:rsid w:val="00596FD0"/>
    <w:rsid w:val="005A0D9D"/>
    <w:rsid w:val="005A1F9B"/>
    <w:rsid w:val="005A21E8"/>
    <w:rsid w:val="005A2E87"/>
    <w:rsid w:val="005A3003"/>
    <w:rsid w:val="005A37EF"/>
    <w:rsid w:val="005A4B42"/>
    <w:rsid w:val="005A4DC6"/>
    <w:rsid w:val="005A5A36"/>
    <w:rsid w:val="005A6637"/>
    <w:rsid w:val="005A6D02"/>
    <w:rsid w:val="005A7024"/>
    <w:rsid w:val="005A7559"/>
    <w:rsid w:val="005B0119"/>
    <w:rsid w:val="005B058E"/>
    <w:rsid w:val="005B0A6D"/>
    <w:rsid w:val="005B1278"/>
    <w:rsid w:val="005B151C"/>
    <w:rsid w:val="005B15B5"/>
    <w:rsid w:val="005B1620"/>
    <w:rsid w:val="005B217D"/>
    <w:rsid w:val="005B2AF3"/>
    <w:rsid w:val="005B2F58"/>
    <w:rsid w:val="005B30CF"/>
    <w:rsid w:val="005B46FA"/>
    <w:rsid w:val="005B4EF6"/>
    <w:rsid w:val="005B597A"/>
    <w:rsid w:val="005B6895"/>
    <w:rsid w:val="005C03E3"/>
    <w:rsid w:val="005C2464"/>
    <w:rsid w:val="005C2E3B"/>
    <w:rsid w:val="005C4DD0"/>
    <w:rsid w:val="005C5A1A"/>
    <w:rsid w:val="005C5A2B"/>
    <w:rsid w:val="005C5B9C"/>
    <w:rsid w:val="005C606C"/>
    <w:rsid w:val="005C6740"/>
    <w:rsid w:val="005C69F6"/>
    <w:rsid w:val="005D048A"/>
    <w:rsid w:val="005D0654"/>
    <w:rsid w:val="005D0714"/>
    <w:rsid w:val="005D16EF"/>
    <w:rsid w:val="005D29A4"/>
    <w:rsid w:val="005D30ED"/>
    <w:rsid w:val="005D37FE"/>
    <w:rsid w:val="005D3C4B"/>
    <w:rsid w:val="005D3EB5"/>
    <w:rsid w:val="005D3F29"/>
    <w:rsid w:val="005D4AFA"/>
    <w:rsid w:val="005D4B7B"/>
    <w:rsid w:val="005D4C56"/>
    <w:rsid w:val="005D5E38"/>
    <w:rsid w:val="005D668A"/>
    <w:rsid w:val="005D6A5B"/>
    <w:rsid w:val="005D7A94"/>
    <w:rsid w:val="005D7AE6"/>
    <w:rsid w:val="005D7C40"/>
    <w:rsid w:val="005E0F04"/>
    <w:rsid w:val="005E2B2A"/>
    <w:rsid w:val="005E43E5"/>
    <w:rsid w:val="005E4798"/>
    <w:rsid w:val="005E5503"/>
    <w:rsid w:val="005E5738"/>
    <w:rsid w:val="005E5A03"/>
    <w:rsid w:val="005E6783"/>
    <w:rsid w:val="005E7EB5"/>
    <w:rsid w:val="005F09B0"/>
    <w:rsid w:val="005F0DC4"/>
    <w:rsid w:val="005F18E6"/>
    <w:rsid w:val="005F1A61"/>
    <w:rsid w:val="005F26A4"/>
    <w:rsid w:val="005F2805"/>
    <w:rsid w:val="005F4CA0"/>
    <w:rsid w:val="005F4E98"/>
    <w:rsid w:val="005F4FF7"/>
    <w:rsid w:val="005F6454"/>
    <w:rsid w:val="005F7405"/>
    <w:rsid w:val="005F792B"/>
    <w:rsid w:val="00600B64"/>
    <w:rsid w:val="00602281"/>
    <w:rsid w:val="006046CC"/>
    <w:rsid w:val="00605CF4"/>
    <w:rsid w:val="00605F81"/>
    <w:rsid w:val="00606599"/>
    <w:rsid w:val="0061094B"/>
    <w:rsid w:val="00612D7C"/>
    <w:rsid w:val="00613530"/>
    <w:rsid w:val="006143DD"/>
    <w:rsid w:val="00614677"/>
    <w:rsid w:val="00614F67"/>
    <w:rsid w:val="00614F6B"/>
    <w:rsid w:val="006150CA"/>
    <w:rsid w:val="00616CD8"/>
    <w:rsid w:val="00616FEE"/>
    <w:rsid w:val="00617B53"/>
    <w:rsid w:val="00617D6C"/>
    <w:rsid w:val="00621336"/>
    <w:rsid w:val="006229CE"/>
    <w:rsid w:val="006231D1"/>
    <w:rsid w:val="00625301"/>
    <w:rsid w:val="00625BF3"/>
    <w:rsid w:val="00625DE3"/>
    <w:rsid w:val="00625F56"/>
    <w:rsid w:val="00627010"/>
    <w:rsid w:val="006275F3"/>
    <w:rsid w:val="0063198B"/>
    <w:rsid w:val="00631D55"/>
    <w:rsid w:val="00631E8E"/>
    <w:rsid w:val="00635E5F"/>
    <w:rsid w:val="00636CFE"/>
    <w:rsid w:val="00636E4C"/>
    <w:rsid w:val="00637264"/>
    <w:rsid w:val="00637541"/>
    <w:rsid w:val="006403C1"/>
    <w:rsid w:val="00640772"/>
    <w:rsid w:val="00640EB0"/>
    <w:rsid w:val="006419BF"/>
    <w:rsid w:val="0064299B"/>
    <w:rsid w:val="00642B05"/>
    <w:rsid w:val="00643A79"/>
    <w:rsid w:val="00643EE3"/>
    <w:rsid w:val="006457FE"/>
    <w:rsid w:val="00645D1D"/>
    <w:rsid w:val="00646836"/>
    <w:rsid w:val="0064748D"/>
    <w:rsid w:val="00650EDA"/>
    <w:rsid w:val="00651066"/>
    <w:rsid w:val="00651383"/>
    <w:rsid w:val="006514F8"/>
    <w:rsid w:val="00651C49"/>
    <w:rsid w:val="00652AF2"/>
    <w:rsid w:val="006533E7"/>
    <w:rsid w:val="00653ADF"/>
    <w:rsid w:val="00653D5D"/>
    <w:rsid w:val="00654429"/>
    <w:rsid w:val="006579EF"/>
    <w:rsid w:val="00657FCD"/>
    <w:rsid w:val="00657FEB"/>
    <w:rsid w:val="00660834"/>
    <w:rsid w:val="00662A74"/>
    <w:rsid w:val="00662E50"/>
    <w:rsid w:val="00662FFC"/>
    <w:rsid w:val="006631A0"/>
    <w:rsid w:val="00663C39"/>
    <w:rsid w:val="00664ECA"/>
    <w:rsid w:val="00667D61"/>
    <w:rsid w:val="006702D4"/>
    <w:rsid w:val="00674AA1"/>
    <w:rsid w:val="00674F41"/>
    <w:rsid w:val="00675068"/>
    <w:rsid w:val="0067535E"/>
    <w:rsid w:val="00680378"/>
    <w:rsid w:val="00680749"/>
    <w:rsid w:val="00680E2F"/>
    <w:rsid w:val="00681E7C"/>
    <w:rsid w:val="00682C41"/>
    <w:rsid w:val="006839BF"/>
    <w:rsid w:val="00683B10"/>
    <w:rsid w:val="00683F03"/>
    <w:rsid w:val="00684411"/>
    <w:rsid w:val="00684697"/>
    <w:rsid w:val="00684BC3"/>
    <w:rsid w:val="00684BD7"/>
    <w:rsid w:val="00684EF6"/>
    <w:rsid w:val="0068555F"/>
    <w:rsid w:val="00686B91"/>
    <w:rsid w:val="00687C95"/>
    <w:rsid w:val="00690EB8"/>
    <w:rsid w:val="006933C1"/>
    <w:rsid w:val="00693EB0"/>
    <w:rsid w:val="0069457A"/>
    <w:rsid w:val="00694BF1"/>
    <w:rsid w:val="0069602E"/>
    <w:rsid w:val="00696E30"/>
    <w:rsid w:val="006976CD"/>
    <w:rsid w:val="00697832"/>
    <w:rsid w:val="006A00D6"/>
    <w:rsid w:val="006A090D"/>
    <w:rsid w:val="006A164F"/>
    <w:rsid w:val="006A1B92"/>
    <w:rsid w:val="006A1BAD"/>
    <w:rsid w:val="006A2298"/>
    <w:rsid w:val="006A2843"/>
    <w:rsid w:val="006A4929"/>
    <w:rsid w:val="006A5D9D"/>
    <w:rsid w:val="006A5E7F"/>
    <w:rsid w:val="006A68D4"/>
    <w:rsid w:val="006A6ED2"/>
    <w:rsid w:val="006A77A7"/>
    <w:rsid w:val="006A798E"/>
    <w:rsid w:val="006A79A9"/>
    <w:rsid w:val="006B00CE"/>
    <w:rsid w:val="006B0144"/>
    <w:rsid w:val="006B0C50"/>
    <w:rsid w:val="006B2566"/>
    <w:rsid w:val="006B3E43"/>
    <w:rsid w:val="006B4E0D"/>
    <w:rsid w:val="006B5E61"/>
    <w:rsid w:val="006B6004"/>
    <w:rsid w:val="006B7758"/>
    <w:rsid w:val="006B7C10"/>
    <w:rsid w:val="006C2932"/>
    <w:rsid w:val="006C3666"/>
    <w:rsid w:val="006C3C78"/>
    <w:rsid w:val="006C539D"/>
    <w:rsid w:val="006C6283"/>
    <w:rsid w:val="006D0653"/>
    <w:rsid w:val="006D06B1"/>
    <w:rsid w:val="006D0EFA"/>
    <w:rsid w:val="006D1321"/>
    <w:rsid w:val="006D2C8A"/>
    <w:rsid w:val="006D31D8"/>
    <w:rsid w:val="006D39FF"/>
    <w:rsid w:val="006D4427"/>
    <w:rsid w:val="006D4AEE"/>
    <w:rsid w:val="006D76C3"/>
    <w:rsid w:val="006D783F"/>
    <w:rsid w:val="006E0B2C"/>
    <w:rsid w:val="006E0BDE"/>
    <w:rsid w:val="006E1D68"/>
    <w:rsid w:val="006E23F0"/>
    <w:rsid w:val="006E2EBE"/>
    <w:rsid w:val="006E4424"/>
    <w:rsid w:val="006E4701"/>
    <w:rsid w:val="006E50A0"/>
    <w:rsid w:val="006E52FC"/>
    <w:rsid w:val="006E53B8"/>
    <w:rsid w:val="006E6DC3"/>
    <w:rsid w:val="006E7226"/>
    <w:rsid w:val="006E7CA1"/>
    <w:rsid w:val="006F00CE"/>
    <w:rsid w:val="006F208B"/>
    <w:rsid w:val="006F375A"/>
    <w:rsid w:val="006F3EC4"/>
    <w:rsid w:val="006F3FF4"/>
    <w:rsid w:val="006F5C8B"/>
    <w:rsid w:val="006F5CCF"/>
    <w:rsid w:val="006F6397"/>
    <w:rsid w:val="006F685E"/>
    <w:rsid w:val="006F7128"/>
    <w:rsid w:val="006F7B3D"/>
    <w:rsid w:val="007007B5"/>
    <w:rsid w:val="00702ADE"/>
    <w:rsid w:val="00704077"/>
    <w:rsid w:val="00705998"/>
    <w:rsid w:val="00705B2E"/>
    <w:rsid w:val="00706834"/>
    <w:rsid w:val="00706A12"/>
    <w:rsid w:val="00707EAC"/>
    <w:rsid w:val="00712592"/>
    <w:rsid w:val="007143F4"/>
    <w:rsid w:val="007145CE"/>
    <w:rsid w:val="007156A0"/>
    <w:rsid w:val="00715735"/>
    <w:rsid w:val="00715E21"/>
    <w:rsid w:val="00716C64"/>
    <w:rsid w:val="00717149"/>
    <w:rsid w:val="00717519"/>
    <w:rsid w:val="00717F98"/>
    <w:rsid w:val="0072004E"/>
    <w:rsid w:val="007222A6"/>
    <w:rsid w:val="0072325E"/>
    <w:rsid w:val="00723AAB"/>
    <w:rsid w:val="007247FA"/>
    <w:rsid w:val="007255FA"/>
    <w:rsid w:val="0072575F"/>
    <w:rsid w:val="00726408"/>
    <w:rsid w:val="00726CD9"/>
    <w:rsid w:val="007276BD"/>
    <w:rsid w:val="00731003"/>
    <w:rsid w:val="00733370"/>
    <w:rsid w:val="00734049"/>
    <w:rsid w:val="0073404D"/>
    <w:rsid w:val="007341D1"/>
    <w:rsid w:val="00734BEA"/>
    <w:rsid w:val="00734EE1"/>
    <w:rsid w:val="007353F9"/>
    <w:rsid w:val="00735990"/>
    <w:rsid w:val="00735A54"/>
    <w:rsid w:val="007362DF"/>
    <w:rsid w:val="00737325"/>
    <w:rsid w:val="00737807"/>
    <w:rsid w:val="00740C33"/>
    <w:rsid w:val="00740E33"/>
    <w:rsid w:val="007414F0"/>
    <w:rsid w:val="0074159C"/>
    <w:rsid w:val="00741CA0"/>
    <w:rsid w:val="0074287C"/>
    <w:rsid w:val="007445E6"/>
    <w:rsid w:val="007448A3"/>
    <w:rsid w:val="0074547B"/>
    <w:rsid w:val="007456E9"/>
    <w:rsid w:val="00746199"/>
    <w:rsid w:val="007461B5"/>
    <w:rsid w:val="00746D07"/>
    <w:rsid w:val="00746E05"/>
    <w:rsid w:val="00746E6E"/>
    <w:rsid w:val="00747634"/>
    <w:rsid w:val="00747B42"/>
    <w:rsid w:val="0075026F"/>
    <w:rsid w:val="00750501"/>
    <w:rsid w:val="007512E8"/>
    <w:rsid w:val="007534AB"/>
    <w:rsid w:val="00753774"/>
    <w:rsid w:val="007539C1"/>
    <w:rsid w:val="00753F30"/>
    <w:rsid w:val="007541F9"/>
    <w:rsid w:val="00754E45"/>
    <w:rsid w:val="0075553C"/>
    <w:rsid w:val="00755E6B"/>
    <w:rsid w:val="007565D4"/>
    <w:rsid w:val="00756804"/>
    <w:rsid w:val="00756BA6"/>
    <w:rsid w:val="007602AF"/>
    <w:rsid w:val="00760300"/>
    <w:rsid w:val="007607EA"/>
    <w:rsid w:val="00764DBB"/>
    <w:rsid w:val="0076568A"/>
    <w:rsid w:val="00765B0C"/>
    <w:rsid w:val="007666BE"/>
    <w:rsid w:val="00766B16"/>
    <w:rsid w:val="00771685"/>
    <w:rsid w:val="007719CB"/>
    <w:rsid w:val="0077201B"/>
    <w:rsid w:val="00772907"/>
    <w:rsid w:val="0077389C"/>
    <w:rsid w:val="00773938"/>
    <w:rsid w:val="007739B3"/>
    <w:rsid w:val="00775B22"/>
    <w:rsid w:val="0077600A"/>
    <w:rsid w:val="00781988"/>
    <w:rsid w:val="00781FD6"/>
    <w:rsid w:val="00782F27"/>
    <w:rsid w:val="00784B4F"/>
    <w:rsid w:val="00784C1E"/>
    <w:rsid w:val="0078552D"/>
    <w:rsid w:val="00786276"/>
    <w:rsid w:val="00786558"/>
    <w:rsid w:val="00786BA0"/>
    <w:rsid w:val="00786CCD"/>
    <w:rsid w:val="00791901"/>
    <w:rsid w:val="00791C34"/>
    <w:rsid w:val="007926C1"/>
    <w:rsid w:val="00793E02"/>
    <w:rsid w:val="007942E9"/>
    <w:rsid w:val="00795843"/>
    <w:rsid w:val="00796367"/>
    <w:rsid w:val="007977B9"/>
    <w:rsid w:val="007A02C9"/>
    <w:rsid w:val="007A05D6"/>
    <w:rsid w:val="007A0EC2"/>
    <w:rsid w:val="007A1C53"/>
    <w:rsid w:val="007A1F81"/>
    <w:rsid w:val="007A1FD3"/>
    <w:rsid w:val="007A2AF9"/>
    <w:rsid w:val="007A48CF"/>
    <w:rsid w:val="007A5B59"/>
    <w:rsid w:val="007A7D48"/>
    <w:rsid w:val="007B00FA"/>
    <w:rsid w:val="007B0FCE"/>
    <w:rsid w:val="007B159D"/>
    <w:rsid w:val="007B1CE9"/>
    <w:rsid w:val="007B28C4"/>
    <w:rsid w:val="007B312F"/>
    <w:rsid w:val="007B3D59"/>
    <w:rsid w:val="007B3EE5"/>
    <w:rsid w:val="007B4408"/>
    <w:rsid w:val="007B46E3"/>
    <w:rsid w:val="007B4ACD"/>
    <w:rsid w:val="007B62FC"/>
    <w:rsid w:val="007B6D1F"/>
    <w:rsid w:val="007C0492"/>
    <w:rsid w:val="007C0858"/>
    <w:rsid w:val="007C0F54"/>
    <w:rsid w:val="007C20F2"/>
    <w:rsid w:val="007C3639"/>
    <w:rsid w:val="007C4A41"/>
    <w:rsid w:val="007C512A"/>
    <w:rsid w:val="007C55F3"/>
    <w:rsid w:val="007C72D7"/>
    <w:rsid w:val="007C7D9C"/>
    <w:rsid w:val="007C7F43"/>
    <w:rsid w:val="007D0BCD"/>
    <w:rsid w:val="007D1C08"/>
    <w:rsid w:val="007D4AED"/>
    <w:rsid w:val="007D4F5B"/>
    <w:rsid w:val="007D55CA"/>
    <w:rsid w:val="007D6F9D"/>
    <w:rsid w:val="007E0184"/>
    <w:rsid w:val="007E0513"/>
    <w:rsid w:val="007E16BE"/>
    <w:rsid w:val="007E1AA6"/>
    <w:rsid w:val="007E1AAD"/>
    <w:rsid w:val="007E2C8C"/>
    <w:rsid w:val="007E356C"/>
    <w:rsid w:val="007E4150"/>
    <w:rsid w:val="007E453B"/>
    <w:rsid w:val="007E5166"/>
    <w:rsid w:val="007E5691"/>
    <w:rsid w:val="007E5F9B"/>
    <w:rsid w:val="007E6234"/>
    <w:rsid w:val="007E65C1"/>
    <w:rsid w:val="007E747A"/>
    <w:rsid w:val="007E7525"/>
    <w:rsid w:val="007E75C9"/>
    <w:rsid w:val="007E7720"/>
    <w:rsid w:val="007F0380"/>
    <w:rsid w:val="007F07DA"/>
    <w:rsid w:val="007F206D"/>
    <w:rsid w:val="007F2B1A"/>
    <w:rsid w:val="007F3D47"/>
    <w:rsid w:val="007F597D"/>
    <w:rsid w:val="007F5C77"/>
    <w:rsid w:val="007F6184"/>
    <w:rsid w:val="007F6927"/>
    <w:rsid w:val="007F69CC"/>
    <w:rsid w:val="007F6DA1"/>
    <w:rsid w:val="007F6DCF"/>
    <w:rsid w:val="007F7D61"/>
    <w:rsid w:val="008006C9"/>
    <w:rsid w:val="0080165A"/>
    <w:rsid w:val="00802784"/>
    <w:rsid w:val="00802D92"/>
    <w:rsid w:val="00803142"/>
    <w:rsid w:val="008036DF"/>
    <w:rsid w:val="00803851"/>
    <w:rsid w:val="008050D9"/>
    <w:rsid w:val="00805599"/>
    <w:rsid w:val="00805E07"/>
    <w:rsid w:val="008062C1"/>
    <w:rsid w:val="00806453"/>
    <w:rsid w:val="00806814"/>
    <w:rsid w:val="00806B59"/>
    <w:rsid w:val="00806BB0"/>
    <w:rsid w:val="00806FBC"/>
    <w:rsid w:val="008101BB"/>
    <w:rsid w:val="00810274"/>
    <w:rsid w:val="00810D76"/>
    <w:rsid w:val="00811919"/>
    <w:rsid w:val="008141F9"/>
    <w:rsid w:val="008142A3"/>
    <w:rsid w:val="00815556"/>
    <w:rsid w:val="00817436"/>
    <w:rsid w:val="008178B5"/>
    <w:rsid w:val="008179D1"/>
    <w:rsid w:val="008203AF"/>
    <w:rsid w:val="0082040D"/>
    <w:rsid w:val="00821CC4"/>
    <w:rsid w:val="008220C0"/>
    <w:rsid w:val="0082298B"/>
    <w:rsid w:val="00823FD8"/>
    <w:rsid w:val="008247E7"/>
    <w:rsid w:val="00824BD0"/>
    <w:rsid w:val="008250C1"/>
    <w:rsid w:val="00826FC3"/>
    <w:rsid w:val="008273FB"/>
    <w:rsid w:val="00827665"/>
    <w:rsid w:val="00830612"/>
    <w:rsid w:val="00830BE5"/>
    <w:rsid w:val="008321D3"/>
    <w:rsid w:val="00832789"/>
    <w:rsid w:val="00832AB6"/>
    <w:rsid w:val="0083318C"/>
    <w:rsid w:val="00833C94"/>
    <w:rsid w:val="008342E5"/>
    <w:rsid w:val="0083519F"/>
    <w:rsid w:val="00835CA0"/>
    <w:rsid w:val="008367F6"/>
    <w:rsid w:val="008374D5"/>
    <w:rsid w:val="0083764B"/>
    <w:rsid w:val="008376EC"/>
    <w:rsid w:val="00837A84"/>
    <w:rsid w:val="00840145"/>
    <w:rsid w:val="00840181"/>
    <w:rsid w:val="0084081A"/>
    <w:rsid w:val="00840C46"/>
    <w:rsid w:val="008416AC"/>
    <w:rsid w:val="00841A9C"/>
    <w:rsid w:val="00842672"/>
    <w:rsid w:val="00843062"/>
    <w:rsid w:val="00843694"/>
    <w:rsid w:val="00843747"/>
    <w:rsid w:val="008441A8"/>
    <w:rsid w:val="00845922"/>
    <w:rsid w:val="008463FB"/>
    <w:rsid w:val="008468A9"/>
    <w:rsid w:val="00846B37"/>
    <w:rsid w:val="008479D6"/>
    <w:rsid w:val="00850B30"/>
    <w:rsid w:val="0085263B"/>
    <w:rsid w:val="008526C6"/>
    <w:rsid w:val="00853B3F"/>
    <w:rsid w:val="0085527B"/>
    <w:rsid w:val="00855420"/>
    <w:rsid w:val="00855A9D"/>
    <w:rsid w:val="00857C93"/>
    <w:rsid w:val="00860329"/>
    <w:rsid w:val="0086048D"/>
    <w:rsid w:val="00860FC0"/>
    <w:rsid w:val="00861397"/>
    <w:rsid w:val="008640C7"/>
    <w:rsid w:val="008658F2"/>
    <w:rsid w:val="008664AB"/>
    <w:rsid w:val="00866BAE"/>
    <w:rsid w:val="00870182"/>
    <w:rsid w:val="008706C1"/>
    <w:rsid w:val="008706D6"/>
    <w:rsid w:val="008709E4"/>
    <w:rsid w:val="008714AE"/>
    <w:rsid w:val="00871827"/>
    <w:rsid w:val="00871B88"/>
    <w:rsid w:val="00871CCF"/>
    <w:rsid w:val="00871E39"/>
    <w:rsid w:val="008724D7"/>
    <w:rsid w:val="008731FC"/>
    <w:rsid w:val="00873F86"/>
    <w:rsid w:val="00874527"/>
    <w:rsid w:val="008761D9"/>
    <w:rsid w:val="008772CB"/>
    <w:rsid w:val="0087730C"/>
    <w:rsid w:val="00877331"/>
    <w:rsid w:val="00877FA0"/>
    <w:rsid w:val="00880903"/>
    <w:rsid w:val="00881360"/>
    <w:rsid w:val="00881C12"/>
    <w:rsid w:val="00881C17"/>
    <w:rsid w:val="00882316"/>
    <w:rsid w:val="008825D1"/>
    <w:rsid w:val="00882B17"/>
    <w:rsid w:val="0088484D"/>
    <w:rsid w:val="00884E29"/>
    <w:rsid w:val="008860E6"/>
    <w:rsid w:val="008865B3"/>
    <w:rsid w:val="00887263"/>
    <w:rsid w:val="00887CB7"/>
    <w:rsid w:val="0089051B"/>
    <w:rsid w:val="00890E4F"/>
    <w:rsid w:val="00891229"/>
    <w:rsid w:val="00891565"/>
    <w:rsid w:val="00891764"/>
    <w:rsid w:val="00891F3D"/>
    <w:rsid w:val="0089226B"/>
    <w:rsid w:val="00893261"/>
    <w:rsid w:val="00893409"/>
    <w:rsid w:val="00894694"/>
    <w:rsid w:val="008948E7"/>
    <w:rsid w:val="0089502A"/>
    <w:rsid w:val="00895104"/>
    <w:rsid w:val="00896678"/>
    <w:rsid w:val="0089684A"/>
    <w:rsid w:val="00897524"/>
    <w:rsid w:val="008978B0"/>
    <w:rsid w:val="00897F8A"/>
    <w:rsid w:val="008A1448"/>
    <w:rsid w:val="008A2512"/>
    <w:rsid w:val="008A291E"/>
    <w:rsid w:val="008A2CB0"/>
    <w:rsid w:val="008A3463"/>
    <w:rsid w:val="008A3D95"/>
    <w:rsid w:val="008B0B6D"/>
    <w:rsid w:val="008B1586"/>
    <w:rsid w:val="008B2494"/>
    <w:rsid w:val="008B2988"/>
    <w:rsid w:val="008B29CB"/>
    <w:rsid w:val="008B2A75"/>
    <w:rsid w:val="008B31D9"/>
    <w:rsid w:val="008B32DB"/>
    <w:rsid w:val="008B3646"/>
    <w:rsid w:val="008B44A0"/>
    <w:rsid w:val="008B47DB"/>
    <w:rsid w:val="008B5593"/>
    <w:rsid w:val="008B59DE"/>
    <w:rsid w:val="008B5F3B"/>
    <w:rsid w:val="008B6AEF"/>
    <w:rsid w:val="008B73B0"/>
    <w:rsid w:val="008B7B0E"/>
    <w:rsid w:val="008C12AC"/>
    <w:rsid w:val="008C28F1"/>
    <w:rsid w:val="008C2F87"/>
    <w:rsid w:val="008C4C95"/>
    <w:rsid w:val="008C517B"/>
    <w:rsid w:val="008C56AE"/>
    <w:rsid w:val="008C6B32"/>
    <w:rsid w:val="008C6ED2"/>
    <w:rsid w:val="008C6F0E"/>
    <w:rsid w:val="008C72C9"/>
    <w:rsid w:val="008C7424"/>
    <w:rsid w:val="008C76DF"/>
    <w:rsid w:val="008C7A6D"/>
    <w:rsid w:val="008C7A96"/>
    <w:rsid w:val="008D0BCC"/>
    <w:rsid w:val="008D0FCC"/>
    <w:rsid w:val="008D1275"/>
    <w:rsid w:val="008D1660"/>
    <w:rsid w:val="008D1CC1"/>
    <w:rsid w:val="008D1DB0"/>
    <w:rsid w:val="008D1EC4"/>
    <w:rsid w:val="008D1FC9"/>
    <w:rsid w:val="008D43BB"/>
    <w:rsid w:val="008D448C"/>
    <w:rsid w:val="008D5E76"/>
    <w:rsid w:val="008D61A5"/>
    <w:rsid w:val="008D69CF"/>
    <w:rsid w:val="008D7A62"/>
    <w:rsid w:val="008D7ABC"/>
    <w:rsid w:val="008E009F"/>
    <w:rsid w:val="008E0256"/>
    <w:rsid w:val="008E07FC"/>
    <w:rsid w:val="008E2B38"/>
    <w:rsid w:val="008E2E53"/>
    <w:rsid w:val="008E4323"/>
    <w:rsid w:val="008E4EDE"/>
    <w:rsid w:val="008E5043"/>
    <w:rsid w:val="008E5563"/>
    <w:rsid w:val="008E5A55"/>
    <w:rsid w:val="008E64EE"/>
    <w:rsid w:val="008E6740"/>
    <w:rsid w:val="008E73F2"/>
    <w:rsid w:val="008F02E8"/>
    <w:rsid w:val="008F145A"/>
    <w:rsid w:val="008F14AC"/>
    <w:rsid w:val="008F3105"/>
    <w:rsid w:val="008F381A"/>
    <w:rsid w:val="008F3F44"/>
    <w:rsid w:val="008F4085"/>
    <w:rsid w:val="008F4B49"/>
    <w:rsid w:val="008F5C1F"/>
    <w:rsid w:val="008F7B5C"/>
    <w:rsid w:val="00900DB5"/>
    <w:rsid w:val="00901211"/>
    <w:rsid w:val="009029EE"/>
    <w:rsid w:val="00902AD7"/>
    <w:rsid w:val="00902B95"/>
    <w:rsid w:val="00902D5E"/>
    <w:rsid w:val="00902D9B"/>
    <w:rsid w:val="00904B23"/>
    <w:rsid w:val="00905DB5"/>
    <w:rsid w:val="00905EF3"/>
    <w:rsid w:val="00906F62"/>
    <w:rsid w:val="00907110"/>
    <w:rsid w:val="00907418"/>
    <w:rsid w:val="009076E4"/>
    <w:rsid w:val="00912963"/>
    <w:rsid w:val="0091333A"/>
    <w:rsid w:val="00913C79"/>
    <w:rsid w:val="009141E3"/>
    <w:rsid w:val="00916094"/>
    <w:rsid w:val="009165CB"/>
    <w:rsid w:val="009165EF"/>
    <w:rsid w:val="009166C9"/>
    <w:rsid w:val="00920722"/>
    <w:rsid w:val="00921A51"/>
    <w:rsid w:val="00921D16"/>
    <w:rsid w:val="00923223"/>
    <w:rsid w:val="00923790"/>
    <w:rsid w:val="00923B2C"/>
    <w:rsid w:val="00924249"/>
    <w:rsid w:val="00924A08"/>
    <w:rsid w:val="0092564B"/>
    <w:rsid w:val="00925EE9"/>
    <w:rsid w:val="009264A0"/>
    <w:rsid w:val="00927264"/>
    <w:rsid w:val="00927FEC"/>
    <w:rsid w:val="00930581"/>
    <w:rsid w:val="0093103C"/>
    <w:rsid w:val="00931A14"/>
    <w:rsid w:val="00931F71"/>
    <w:rsid w:val="00932522"/>
    <w:rsid w:val="009327BF"/>
    <w:rsid w:val="00932AD5"/>
    <w:rsid w:val="00934067"/>
    <w:rsid w:val="00934BEA"/>
    <w:rsid w:val="00935018"/>
    <w:rsid w:val="00935101"/>
    <w:rsid w:val="0093604D"/>
    <w:rsid w:val="009400D1"/>
    <w:rsid w:val="009404AB"/>
    <w:rsid w:val="00940BC1"/>
    <w:rsid w:val="00942518"/>
    <w:rsid w:val="009429CB"/>
    <w:rsid w:val="009438B6"/>
    <w:rsid w:val="00947C49"/>
    <w:rsid w:val="00947E24"/>
    <w:rsid w:val="00950042"/>
    <w:rsid w:val="009506EC"/>
    <w:rsid w:val="00950C8E"/>
    <w:rsid w:val="0095157D"/>
    <w:rsid w:val="0095182A"/>
    <w:rsid w:val="00951F9D"/>
    <w:rsid w:val="009540DA"/>
    <w:rsid w:val="00955087"/>
    <w:rsid w:val="0095633A"/>
    <w:rsid w:val="00957C53"/>
    <w:rsid w:val="00960647"/>
    <w:rsid w:val="009618AE"/>
    <w:rsid w:val="00962F84"/>
    <w:rsid w:val="00963AAA"/>
    <w:rsid w:val="00964D70"/>
    <w:rsid w:val="0096608D"/>
    <w:rsid w:val="00966DAC"/>
    <w:rsid w:val="00970AC9"/>
    <w:rsid w:val="00970EEC"/>
    <w:rsid w:val="009710BC"/>
    <w:rsid w:val="00971B91"/>
    <w:rsid w:val="00972B1C"/>
    <w:rsid w:val="00972E61"/>
    <w:rsid w:val="0097316B"/>
    <w:rsid w:val="00974ED5"/>
    <w:rsid w:val="0097550B"/>
    <w:rsid w:val="00976001"/>
    <w:rsid w:val="009765C8"/>
    <w:rsid w:val="00976710"/>
    <w:rsid w:val="00976973"/>
    <w:rsid w:val="00977C30"/>
    <w:rsid w:val="00980311"/>
    <w:rsid w:val="0098083A"/>
    <w:rsid w:val="009813C6"/>
    <w:rsid w:val="0098153D"/>
    <w:rsid w:val="0098298E"/>
    <w:rsid w:val="00983F8C"/>
    <w:rsid w:val="009859FD"/>
    <w:rsid w:val="0098645C"/>
    <w:rsid w:val="00986BA2"/>
    <w:rsid w:val="0098723E"/>
    <w:rsid w:val="0098731F"/>
    <w:rsid w:val="00987B6C"/>
    <w:rsid w:val="00987F54"/>
    <w:rsid w:val="009902A9"/>
    <w:rsid w:val="009924B1"/>
    <w:rsid w:val="009929FD"/>
    <w:rsid w:val="00992C86"/>
    <w:rsid w:val="00994468"/>
    <w:rsid w:val="0099664A"/>
    <w:rsid w:val="009966BF"/>
    <w:rsid w:val="00996BCB"/>
    <w:rsid w:val="009976F3"/>
    <w:rsid w:val="009A0F71"/>
    <w:rsid w:val="009A21DA"/>
    <w:rsid w:val="009A2754"/>
    <w:rsid w:val="009A28BE"/>
    <w:rsid w:val="009A30E5"/>
    <w:rsid w:val="009A3921"/>
    <w:rsid w:val="009A3BFD"/>
    <w:rsid w:val="009A4863"/>
    <w:rsid w:val="009A51CD"/>
    <w:rsid w:val="009A54B2"/>
    <w:rsid w:val="009A60DF"/>
    <w:rsid w:val="009A6A3A"/>
    <w:rsid w:val="009A6F42"/>
    <w:rsid w:val="009A7130"/>
    <w:rsid w:val="009B118D"/>
    <w:rsid w:val="009B16CA"/>
    <w:rsid w:val="009B1C73"/>
    <w:rsid w:val="009B3811"/>
    <w:rsid w:val="009B4575"/>
    <w:rsid w:val="009B47C3"/>
    <w:rsid w:val="009B6B83"/>
    <w:rsid w:val="009B7070"/>
    <w:rsid w:val="009B749E"/>
    <w:rsid w:val="009B7D4C"/>
    <w:rsid w:val="009B7FDD"/>
    <w:rsid w:val="009C21FD"/>
    <w:rsid w:val="009C2417"/>
    <w:rsid w:val="009C4470"/>
    <w:rsid w:val="009C47CC"/>
    <w:rsid w:val="009C48E7"/>
    <w:rsid w:val="009C5FD9"/>
    <w:rsid w:val="009C6136"/>
    <w:rsid w:val="009C6F15"/>
    <w:rsid w:val="009C7F4E"/>
    <w:rsid w:val="009D0AAB"/>
    <w:rsid w:val="009D29EF"/>
    <w:rsid w:val="009D2E9E"/>
    <w:rsid w:val="009D48EB"/>
    <w:rsid w:val="009D4F49"/>
    <w:rsid w:val="009D5A7E"/>
    <w:rsid w:val="009D5DBC"/>
    <w:rsid w:val="009E05F6"/>
    <w:rsid w:val="009E0DA1"/>
    <w:rsid w:val="009E177D"/>
    <w:rsid w:val="009E185C"/>
    <w:rsid w:val="009E477A"/>
    <w:rsid w:val="009E4DCA"/>
    <w:rsid w:val="009E5128"/>
    <w:rsid w:val="009E5D21"/>
    <w:rsid w:val="009E61C9"/>
    <w:rsid w:val="009E779B"/>
    <w:rsid w:val="009F3813"/>
    <w:rsid w:val="009F3ED4"/>
    <w:rsid w:val="009F4429"/>
    <w:rsid w:val="009F4AF9"/>
    <w:rsid w:val="009F710F"/>
    <w:rsid w:val="009F7749"/>
    <w:rsid w:val="00A00781"/>
    <w:rsid w:val="00A0193A"/>
    <w:rsid w:val="00A01997"/>
    <w:rsid w:val="00A02517"/>
    <w:rsid w:val="00A041A3"/>
    <w:rsid w:val="00A065CA"/>
    <w:rsid w:val="00A06E77"/>
    <w:rsid w:val="00A1107F"/>
    <w:rsid w:val="00A11A2B"/>
    <w:rsid w:val="00A1241B"/>
    <w:rsid w:val="00A12A0D"/>
    <w:rsid w:val="00A12A67"/>
    <w:rsid w:val="00A12FFB"/>
    <w:rsid w:val="00A13CE5"/>
    <w:rsid w:val="00A14082"/>
    <w:rsid w:val="00A1460C"/>
    <w:rsid w:val="00A147C2"/>
    <w:rsid w:val="00A14882"/>
    <w:rsid w:val="00A15490"/>
    <w:rsid w:val="00A1654A"/>
    <w:rsid w:val="00A169DC"/>
    <w:rsid w:val="00A174A3"/>
    <w:rsid w:val="00A20505"/>
    <w:rsid w:val="00A22A61"/>
    <w:rsid w:val="00A2422C"/>
    <w:rsid w:val="00A24E44"/>
    <w:rsid w:val="00A25A43"/>
    <w:rsid w:val="00A25D28"/>
    <w:rsid w:val="00A262A1"/>
    <w:rsid w:val="00A273F6"/>
    <w:rsid w:val="00A3078F"/>
    <w:rsid w:val="00A307EE"/>
    <w:rsid w:val="00A30A6B"/>
    <w:rsid w:val="00A3153A"/>
    <w:rsid w:val="00A32CA5"/>
    <w:rsid w:val="00A334B8"/>
    <w:rsid w:val="00A36141"/>
    <w:rsid w:val="00A36263"/>
    <w:rsid w:val="00A36854"/>
    <w:rsid w:val="00A36EC9"/>
    <w:rsid w:val="00A37490"/>
    <w:rsid w:val="00A37822"/>
    <w:rsid w:val="00A40A1C"/>
    <w:rsid w:val="00A40A31"/>
    <w:rsid w:val="00A4119B"/>
    <w:rsid w:val="00A412AF"/>
    <w:rsid w:val="00A416ED"/>
    <w:rsid w:val="00A43082"/>
    <w:rsid w:val="00A431FF"/>
    <w:rsid w:val="00A432E0"/>
    <w:rsid w:val="00A43CD2"/>
    <w:rsid w:val="00A44368"/>
    <w:rsid w:val="00A444F1"/>
    <w:rsid w:val="00A44B76"/>
    <w:rsid w:val="00A452E3"/>
    <w:rsid w:val="00A454FF"/>
    <w:rsid w:val="00A459D3"/>
    <w:rsid w:val="00A50624"/>
    <w:rsid w:val="00A518F7"/>
    <w:rsid w:val="00A53142"/>
    <w:rsid w:val="00A533FE"/>
    <w:rsid w:val="00A54ECF"/>
    <w:rsid w:val="00A560FA"/>
    <w:rsid w:val="00A5780A"/>
    <w:rsid w:val="00A57CBC"/>
    <w:rsid w:val="00A60A59"/>
    <w:rsid w:val="00A6167A"/>
    <w:rsid w:val="00A64059"/>
    <w:rsid w:val="00A642E7"/>
    <w:rsid w:val="00A6505F"/>
    <w:rsid w:val="00A65631"/>
    <w:rsid w:val="00A6655F"/>
    <w:rsid w:val="00A666E1"/>
    <w:rsid w:val="00A67D38"/>
    <w:rsid w:val="00A67E0E"/>
    <w:rsid w:val="00A67E3F"/>
    <w:rsid w:val="00A70114"/>
    <w:rsid w:val="00A707A8"/>
    <w:rsid w:val="00A72051"/>
    <w:rsid w:val="00A73104"/>
    <w:rsid w:val="00A73234"/>
    <w:rsid w:val="00A73761"/>
    <w:rsid w:val="00A74A33"/>
    <w:rsid w:val="00A75914"/>
    <w:rsid w:val="00A759FD"/>
    <w:rsid w:val="00A80038"/>
    <w:rsid w:val="00A80222"/>
    <w:rsid w:val="00A82943"/>
    <w:rsid w:val="00A83367"/>
    <w:rsid w:val="00A833F6"/>
    <w:rsid w:val="00A837AC"/>
    <w:rsid w:val="00A83D61"/>
    <w:rsid w:val="00A85A6F"/>
    <w:rsid w:val="00A85DA6"/>
    <w:rsid w:val="00A86F10"/>
    <w:rsid w:val="00A901DE"/>
    <w:rsid w:val="00A9023F"/>
    <w:rsid w:val="00A90DF5"/>
    <w:rsid w:val="00A917FD"/>
    <w:rsid w:val="00A91EEC"/>
    <w:rsid w:val="00A92546"/>
    <w:rsid w:val="00A92A31"/>
    <w:rsid w:val="00A92AC7"/>
    <w:rsid w:val="00A9370A"/>
    <w:rsid w:val="00A94A13"/>
    <w:rsid w:val="00A9559B"/>
    <w:rsid w:val="00A95D32"/>
    <w:rsid w:val="00A96889"/>
    <w:rsid w:val="00A96BFD"/>
    <w:rsid w:val="00A96FBE"/>
    <w:rsid w:val="00A977C5"/>
    <w:rsid w:val="00AA0F35"/>
    <w:rsid w:val="00AA1144"/>
    <w:rsid w:val="00AA125E"/>
    <w:rsid w:val="00AA1377"/>
    <w:rsid w:val="00AA169D"/>
    <w:rsid w:val="00AA23DF"/>
    <w:rsid w:val="00AA2FA9"/>
    <w:rsid w:val="00AA3125"/>
    <w:rsid w:val="00AA3CE0"/>
    <w:rsid w:val="00AA3E7E"/>
    <w:rsid w:val="00AA4374"/>
    <w:rsid w:val="00AA5845"/>
    <w:rsid w:val="00AB1003"/>
    <w:rsid w:val="00AB28ED"/>
    <w:rsid w:val="00AB2C63"/>
    <w:rsid w:val="00AB315A"/>
    <w:rsid w:val="00AB3250"/>
    <w:rsid w:val="00AB429B"/>
    <w:rsid w:val="00AB494F"/>
    <w:rsid w:val="00AB4C4E"/>
    <w:rsid w:val="00AB55B4"/>
    <w:rsid w:val="00AB55CB"/>
    <w:rsid w:val="00AB5A54"/>
    <w:rsid w:val="00AB5A64"/>
    <w:rsid w:val="00AB5B47"/>
    <w:rsid w:val="00AB796A"/>
    <w:rsid w:val="00AB7B7D"/>
    <w:rsid w:val="00AB7F5C"/>
    <w:rsid w:val="00AB7F7C"/>
    <w:rsid w:val="00AC18E5"/>
    <w:rsid w:val="00AC278B"/>
    <w:rsid w:val="00AC2926"/>
    <w:rsid w:val="00AC2B48"/>
    <w:rsid w:val="00AC2BA5"/>
    <w:rsid w:val="00AC4CB9"/>
    <w:rsid w:val="00AC5764"/>
    <w:rsid w:val="00AC69CF"/>
    <w:rsid w:val="00AC76F9"/>
    <w:rsid w:val="00AC7D4D"/>
    <w:rsid w:val="00AC7D6F"/>
    <w:rsid w:val="00AC7FF4"/>
    <w:rsid w:val="00AD2A5D"/>
    <w:rsid w:val="00AD3F48"/>
    <w:rsid w:val="00AD5A08"/>
    <w:rsid w:val="00AD5C88"/>
    <w:rsid w:val="00AD62F3"/>
    <w:rsid w:val="00AD66BD"/>
    <w:rsid w:val="00AD6C40"/>
    <w:rsid w:val="00AE0437"/>
    <w:rsid w:val="00AE0860"/>
    <w:rsid w:val="00AE0EF5"/>
    <w:rsid w:val="00AE1D1D"/>
    <w:rsid w:val="00AE3260"/>
    <w:rsid w:val="00AE49B4"/>
    <w:rsid w:val="00AE50DF"/>
    <w:rsid w:val="00AE5909"/>
    <w:rsid w:val="00AE6B61"/>
    <w:rsid w:val="00AF027F"/>
    <w:rsid w:val="00AF2546"/>
    <w:rsid w:val="00AF31C4"/>
    <w:rsid w:val="00AF329F"/>
    <w:rsid w:val="00AF4D38"/>
    <w:rsid w:val="00AF4E40"/>
    <w:rsid w:val="00AF5364"/>
    <w:rsid w:val="00AF563D"/>
    <w:rsid w:val="00AF60B3"/>
    <w:rsid w:val="00B000F3"/>
    <w:rsid w:val="00B00870"/>
    <w:rsid w:val="00B00CF4"/>
    <w:rsid w:val="00B02518"/>
    <w:rsid w:val="00B02C94"/>
    <w:rsid w:val="00B043B0"/>
    <w:rsid w:val="00B05D81"/>
    <w:rsid w:val="00B0742F"/>
    <w:rsid w:val="00B076B2"/>
    <w:rsid w:val="00B1120E"/>
    <w:rsid w:val="00B12598"/>
    <w:rsid w:val="00B1295C"/>
    <w:rsid w:val="00B136E5"/>
    <w:rsid w:val="00B137CA"/>
    <w:rsid w:val="00B13A18"/>
    <w:rsid w:val="00B146E0"/>
    <w:rsid w:val="00B14E3A"/>
    <w:rsid w:val="00B15143"/>
    <w:rsid w:val="00B15E91"/>
    <w:rsid w:val="00B16E9C"/>
    <w:rsid w:val="00B20733"/>
    <w:rsid w:val="00B2109E"/>
    <w:rsid w:val="00B2173B"/>
    <w:rsid w:val="00B21D6E"/>
    <w:rsid w:val="00B2272C"/>
    <w:rsid w:val="00B22953"/>
    <w:rsid w:val="00B22B24"/>
    <w:rsid w:val="00B23529"/>
    <w:rsid w:val="00B250AB"/>
    <w:rsid w:val="00B2621D"/>
    <w:rsid w:val="00B27714"/>
    <w:rsid w:val="00B30076"/>
    <w:rsid w:val="00B31DE7"/>
    <w:rsid w:val="00B32596"/>
    <w:rsid w:val="00B3467B"/>
    <w:rsid w:val="00B3572B"/>
    <w:rsid w:val="00B35FE9"/>
    <w:rsid w:val="00B361AF"/>
    <w:rsid w:val="00B3671A"/>
    <w:rsid w:val="00B367A2"/>
    <w:rsid w:val="00B42541"/>
    <w:rsid w:val="00B4297F"/>
    <w:rsid w:val="00B42E51"/>
    <w:rsid w:val="00B43BE4"/>
    <w:rsid w:val="00B45327"/>
    <w:rsid w:val="00B45983"/>
    <w:rsid w:val="00B46ED5"/>
    <w:rsid w:val="00B50A65"/>
    <w:rsid w:val="00B51803"/>
    <w:rsid w:val="00B52B05"/>
    <w:rsid w:val="00B54673"/>
    <w:rsid w:val="00B54892"/>
    <w:rsid w:val="00B54B9D"/>
    <w:rsid w:val="00B55F24"/>
    <w:rsid w:val="00B56C2F"/>
    <w:rsid w:val="00B56EEC"/>
    <w:rsid w:val="00B60342"/>
    <w:rsid w:val="00B609BD"/>
    <w:rsid w:val="00B61D1B"/>
    <w:rsid w:val="00B6262B"/>
    <w:rsid w:val="00B62B53"/>
    <w:rsid w:val="00B630A8"/>
    <w:rsid w:val="00B639F3"/>
    <w:rsid w:val="00B6417E"/>
    <w:rsid w:val="00B64285"/>
    <w:rsid w:val="00B6489E"/>
    <w:rsid w:val="00B65101"/>
    <w:rsid w:val="00B66007"/>
    <w:rsid w:val="00B66499"/>
    <w:rsid w:val="00B67448"/>
    <w:rsid w:val="00B67C32"/>
    <w:rsid w:val="00B67F3E"/>
    <w:rsid w:val="00B700E0"/>
    <w:rsid w:val="00B7037E"/>
    <w:rsid w:val="00B72A86"/>
    <w:rsid w:val="00B74F42"/>
    <w:rsid w:val="00B75261"/>
    <w:rsid w:val="00B75985"/>
    <w:rsid w:val="00B75F31"/>
    <w:rsid w:val="00B760AF"/>
    <w:rsid w:val="00B76327"/>
    <w:rsid w:val="00B76D1C"/>
    <w:rsid w:val="00B8087B"/>
    <w:rsid w:val="00B80D52"/>
    <w:rsid w:val="00B81A64"/>
    <w:rsid w:val="00B81E90"/>
    <w:rsid w:val="00B8362A"/>
    <w:rsid w:val="00B8380C"/>
    <w:rsid w:val="00B83CBF"/>
    <w:rsid w:val="00B83FCD"/>
    <w:rsid w:val="00B84B9B"/>
    <w:rsid w:val="00B85BD9"/>
    <w:rsid w:val="00B86848"/>
    <w:rsid w:val="00B87C55"/>
    <w:rsid w:val="00B900D3"/>
    <w:rsid w:val="00B94A0E"/>
    <w:rsid w:val="00B967C6"/>
    <w:rsid w:val="00B973E8"/>
    <w:rsid w:val="00B977C4"/>
    <w:rsid w:val="00B97BB0"/>
    <w:rsid w:val="00BA2753"/>
    <w:rsid w:val="00BA2BFF"/>
    <w:rsid w:val="00BA4824"/>
    <w:rsid w:val="00BA4A16"/>
    <w:rsid w:val="00BA4C06"/>
    <w:rsid w:val="00BA4CB9"/>
    <w:rsid w:val="00BA5BC8"/>
    <w:rsid w:val="00BA62F3"/>
    <w:rsid w:val="00BA633C"/>
    <w:rsid w:val="00BA65BB"/>
    <w:rsid w:val="00BA75A5"/>
    <w:rsid w:val="00BA7B6C"/>
    <w:rsid w:val="00BB0004"/>
    <w:rsid w:val="00BB0D70"/>
    <w:rsid w:val="00BB1736"/>
    <w:rsid w:val="00BB21F1"/>
    <w:rsid w:val="00BB2D84"/>
    <w:rsid w:val="00BB3695"/>
    <w:rsid w:val="00BB3711"/>
    <w:rsid w:val="00BB424C"/>
    <w:rsid w:val="00BB444D"/>
    <w:rsid w:val="00BB4991"/>
    <w:rsid w:val="00BB53DD"/>
    <w:rsid w:val="00BB567C"/>
    <w:rsid w:val="00BB70C4"/>
    <w:rsid w:val="00BB713B"/>
    <w:rsid w:val="00BB73DB"/>
    <w:rsid w:val="00BB7E78"/>
    <w:rsid w:val="00BC0883"/>
    <w:rsid w:val="00BC1634"/>
    <w:rsid w:val="00BC179E"/>
    <w:rsid w:val="00BC2774"/>
    <w:rsid w:val="00BC2F16"/>
    <w:rsid w:val="00BC31B2"/>
    <w:rsid w:val="00BC4259"/>
    <w:rsid w:val="00BC480D"/>
    <w:rsid w:val="00BC554F"/>
    <w:rsid w:val="00BC5C65"/>
    <w:rsid w:val="00BC6277"/>
    <w:rsid w:val="00BC6874"/>
    <w:rsid w:val="00BC6B4F"/>
    <w:rsid w:val="00BD01AA"/>
    <w:rsid w:val="00BD04E8"/>
    <w:rsid w:val="00BD0F04"/>
    <w:rsid w:val="00BD158D"/>
    <w:rsid w:val="00BD177A"/>
    <w:rsid w:val="00BD17CB"/>
    <w:rsid w:val="00BD1F75"/>
    <w:rsid w:val="00BD2DCD"/>
    <w:rsid w:val="00BD4EEF"/>
    <w:rsid w:val="00BD6F0A"/>
    <w:rsid w:val="00BD725C"/>
    <w:rsid w:val="00BE17E7"/>
    <w:rsid w:val="00BE1987"/>
    <w:rsid w:val="00BE248B"/>
    <w:rsid w:val="00BE2558"/>
    <w:rsid w:val="00BE2D23"/>
    <w:rsid w:val="00BE4795"/>
    <w:rsid w:val="00BE493B"/>
    <w:rsid w:val="00BE600D"/>
    <w:rsid w:val="00BE6293"/>
    <w:rsid w:val="00BE731D"/>
    <w:rsid w:val="00BE7928"/>
    <w:rsid w:val="00BF180E"/>
    <w:rsid w:val="00BF1BD8"/>
    <w:rsid w:val="00BF2755"/>
    <w:rsid w:val="00BF27A8"/>
    <w:rsid w:val="00BF2A5A"/>
    <w:rsid w:val="00BF3C6B"/>
    <w:rsid w:val="00BF49E9"/>
    <w:rsid w:val="00BF4AFB"/>
    <w:rsid w:val="00BF4EA4"/>
    <w:rsid w:val="00BF59FF"/>
    <w:rsid w:val="00BF6D70"/>
    <w:rsid w:val="00BF6F15"/>
    <w:rsid w:val="00BF7EA4"/>
    <w:rsid w:val="00BF7ED9"/>
    <w:rsid w:val="00C0236F"/>
    <w:rsid w:val="00C037D8"/>
    <w:rsid w:val="00C03FEC"/>
    <w:rsid w:val="00C04178"/>
    <w:rsid w:val="00C057E0"/>
    <w:rsid w:val="00C07164"/>
    <w:rsid w:val="00C07280"/>
    <w:rsid w:val="00C074FC"/>
    <w:rsid w:val="00C102D1"/>
    <w:rsid w:val="00C12E24"/>
    <w:rsid w:val="00C12FD7"/>
    <w:rsid w:val="00C13001"/>
    <w:rsid w:val="00C13FD4"/>
    <w:rsid w:val="00C14A85"/>
    <w:rsid w:val="00C14C84"/>
    <w:rsid w:val="00C15760"/>
    <w:rsid w:val="00C16B33"/>
    <w:rsid w:val="00C16E39"/>
    <w:rsid w:val="00C202EF"/>
    <w:rsid w:val="00C204F6"/>
    <w:rsid w:val="00C20644"/>
    <w:rsid w:val="00C20A58"/>
    <w:rsid w:val="00C20E25"/>
    <w:rsid w:val="00C21A9C"/>
    <w:rsid w:val="00C249D6"/>
    <w:rsid w:val="00C25BA0"/>
    <w:rsid w:val="00C25BA3"/>
    <w:rsid w:val="00C26F1D"/>
    <w:rsid w:val="00C272FB"/>
    <w:rsid w:val="00C30F1C"/>
    <w:rsid w:val="00C3223B"/>
    <w:rsid w:val="00C32FB2"/>
    <w:rsid w:val="00C330FA"/>
    <w:rsid w:val="00C331DB"/>
    <w:rsid w:val="00C343D3"/>
    <w:rsid w:val="00C358B7"/>
    <w:rsid w:val="00C404C5"/>
    <w:rsid w:val="00C41735"/>
    <w:rsid w:val="00C424DE"/>
    <w:rsid w:val="00C425E1"/>
    <w:rsid w:val="00C43885"/>
    <w:rsid w:val="00C43998"/>
    <w:rsid w:val="00C44372"/>
    <w:rsid w:val="00C4503A"/>
    <w:rsid w:val="00C45BD4"/>
    <w:rsid w:val="00C46F14"/>
    <w:rsid w:val="00C47186"/>
    <w:rsid w:val="00C471C4"/>
    <w:rsid w:val="00C512D1"/>
    <w:rsid w:val="00C51F33"/>
    <w:rsid w:val="00C535F0"/>
    <w:rsid w:val="00C546B2"/>
    <w:rsid w:val="00C56124"/>
    <w:rsid w:val="00C56F39"/>
    <w:rsid w:val="00C577CC"/>
    <w:rsid w:val="00C5782E"/>
    <w:rsid w:val="00C60968"/>
    <w:rsid w:val="00C61228"/>
    <w:rsid w:val="00C61465"/>
    <w:rsid w:val="00C62817"/>
    <w:rsid w:val="00C62C0B"/>
    <w:rsid w:val="00C6322F"/>
    <w:rsid w:val="00C63383"/>
    <w:rsid w:val="00C6345F"/>
    <w:rsid w:val="00C643BB"/>
    <w:rsid w:val="00C65470"/>
    <w:rsid w:val="00C65E07"/>
    <w:rsid w:val="00C665C5"/>
    <w:rsid w:val="00C7094D"/>
    <w:rsid w:val="00C72A06"/>
    <w:rsid w:val="00C72BE8"/>
    <w:rsid w:val="00C73783"/>
    <w:rsid w:val="00C738E3"/>
    <w:rsid w:val="00C74139"/>
    <w:rsid w:val="00C74422"/>
    <w:rsid w:val="00C74536"/>
    <w:rsid w:val="00C747E5"/>
    <w:rsid w:val="00C7600A"/>
    <w:rsid w:val="00C76884"/>
    <w:rsid w:val="00C80655"/>
    <w:rsid w:val="00C8117F"/>
    <w:rsid w:val="00C829B6"/>
    <w:rsid w:val="00C836D2"/>
    <w:rsid w:val="00C83EB6"/>
    <w:rsid w:val="00C862D4"/>
    <w:rsid w:val="00C87900"/>
    <w:rsid w:val="00C87B07"/>
    <w:rsid w:val="00C9044B"/>
    <w:rsid w:val="00C90F8F"/>
    <w:rsid w:val="00C91FC1"/>
    <w:rsid w:val="00C9267F"/>
    <w:rsid w:val="00C929D4"/>
    <w:rsid w:val="00C92D17"/>
    <w:rsid w:val="00C944FA"/>
    <w:rsid w:val="00C9531B"/>
    <w:rsid w:val="00C96212"/>
    <w:rsid w:val="00C96B25"/>
    <w:rsid w:val="00C97804"/>
    <w:rsid w:val="00C97A63"/>
    <w:rsid w:val="00C97DEF"/>
    <w:rsid w:val="00C97F9A"/>
    <w:rsid w:val="00CA00C2"/>
    <w:rsid w:val="00CA102C"/>
    <w:rsid w:val="00CA1319"/>
    <w:rsid w:val="00CA4C1B"/>
    <w:rsid w:val="00CA585D"/>
    <w:rsid w:val="00CA5FC7"/>
    <w:rsid w:val="00CA6A47"/>
    <w:rsid w:val="00CA6F45"/>
    <w:rsid w:val="00CA7789"/>
    <w:rsid w:val="00CA7B28"/>
    <w:rsid w:val="00CB078F"/>
    <w:rsid w:val="00CB0F5E"/>
    <w:rsid w:val="00CB1074"/>
    <w:rsid w:val="00CB13DA"/>
    <w:rsid w:val="00CB146E"/>
    <w:rsid w:val="00CB2DF9"/>
    <w:rsid w:val="00CB2FAE"/>
    <w:rsid w:val="00CB4750"/>
    <w:rsid w:val="00CB5F88"/>
    <w:rsid w:val="00CB7305"/>
    <w:rsid w:val="00CB75E9"/>
    <w:rsid w:val="00CB7A7B"/>
    <w:rsid w:val="00CB7C78"/>
    <w:rsid w:val="00CC0C9F"/>
    <w:rsid w:val="00CC0F91"/>
    <w:rsid w:val="00CC0FD8"/>
    <w:rsid w:val="00CC2B39"/>
    <w:rsid w:val="00CC2F30"/>
    <w:rsid w:val="00CC3E5A"/>
    <w:rsid w:val="00CC600C"/>
    <w:rsid w:val="00CC7481"/>
    <w:rsid w:val="00CC75AA"/>
    <w:rsid w:val="00CC7B9B"/>
    <w:rsid w:val="00CD0EC2"/>
    <w:rsid w:val="00CD1D4D"/>
    <w:rsid w:val="00CD2268"/>
    <w:rsid w:val="00CD2E81"/>
    <w:rsid w:val="00CD3B2B"/>
    <w:rsid w:val="00CD448C"/>
    <w:rsid w:val="00CD4DD9"/>
    <w:rsid w:val="00CD578B"/>
    <w:rsid w:val="00CD6103"/>
    <w:rsid w:val="00CD67C4"/>
    <w:rsid w:val="00CD6CD1"/>
    <w:rsid w:val="00CD76B1"/>
    <w:rsid w:val="00CD7BD3"/>
    <w:rsid w:val="00CE0047"/>
    <w:rsid w:val="00CE3315"/>
    <w:rsid w:val="00CE36E7"/>
    <w:rsid w:val="00CE41EA"/>
    <w:rsid w:val="00CE48C4"/>
    <w:rsid w:val="00CE4A29"/>
    <w:rsid w:val="00CE5E1C"/>
    <w:rsid w:val="00CE79CD"/>
    <w:rsid w:val="00CE7B2F"/>
    <w:rsid w:val="00CF032F"/>
    <w:rsid w:val="00CF3FCF"/>
    <w:rsid w:val="00CF433F"/>
    <w:rsid w:val="00CF7435"/>
    <w:rsid w:val="00CF7A1D"/>
    <w:rsid w:val="00D0015F"/>
    <w:rsid w:val="00D008A1"/>
    <w:rsid w:val="00D010B4"/>
    <w:rsid w:val="00D015EC"/>
    <w:rsid w:val="00D02669"/>
    <w:rsid w:val="00D03027"/>
    <w:rsid w:val="00D03334"/>
    <w:rsid w:val="00D03519"/>
    <w:rsid w:val="00D03689"/>
    <w:rsid w:val="00D04B7A"/>
    <w:rsid w:val="00D06172"/>
    <w:rsid w:val="00D0733C"/>
    <w:rsid w:val="00D07AA9"/>
    <w:rsid w:val="00D1144E"/>
    <w:rsid w:val="00D119B8"/>
    <w:rsid w:val="00D122A5"/>
    <w:rsid w:val="00D12326"/>
    <w:rsid w:val="00D123F7"/>
    <w:rsid w:val="00D12FCB"/>
    <w:rsid w:val="00D13878"/>
    <w:rsid w:val="00D15BBE"/>
    <w:rsid w:val="00D1633B"/>
    <w:rsid w:val="00D20B78"/>
    <w:rsid w:val="00D20B79"/>
    <w:rsid w:val="00D20EAE"/>
    <w:rsid w:val="00D218F5"/>
    <w:rsid w:val="00D22408"/>
    <w:rsid w:val="00D227BE"/>
    <w:rsid w:val="00D22D55"/>
    <w:rsid w:val="00D231B2"/>
    <w:rsid w:val="00D232E8"/>
    <w:rsid w:val="00D23360"/>
    <w:rsid w:val="00D25158"/>
    <w:rsid w:val="00D2525B"/>
    <w:rsid w:val="00D255F4"/>
    <w:rsid w:val="00D267B9"/>
    <w:rsid w:val="00D26C4B"/>
    <w:rsid w:val="00D27093"/>
    <w:rsid w:val="00D27A7B"/>
    <w:rsid w:val="00D30E07"/>
    <w:rsid w:val="00D30EF1"/>
    <w:rsid w:val="00D331E4"/>
    <w:rsid w:val="00D33226"/>
    <w:rsid w:val="00D33509"/>
    <w:rsid w:val="00D336D5"/>
    <w:rsid w:val="00D345C7"/>
    <w:rsid w:val="00D34C08"/>
    <w:rsid w:val="00D35097"/>
    <w:rsid w:val="00D36210"/>
    <w:rsid w:val="00D3644F"/>
    <w:rsid w:val="00D4039B"/>
    <w:rsid w:val="00D40960"/>
    <w:rsid w:val="00D41290"/>
    <w:rsid w:val="00D417A3"/>
    <w:rsid w:val="00D418AF"/>
    <w:rsid w:val="00D419FD"/>
    <w:rsid w:val="00D4227D"/>
    <w:rsid w:val="00D44A12"/>
    <w:rsid w:val="00D44A7C"/>
    <w:rsid w:val="00D45274"/>
    <w:rsid w:val="00D453E6"/>
    <w:rsid w:val="00D45527"/>
    <w:rsid w:val="00D45AAC"/>
    <w:rsid w:val="00D46406"/>
    <w:rsid w:val="00D47981"/>
    <w:rsid w:val="00D506A4"/>
    <w:rsid w:val="00D50AD2"/>
    <w:rsid w:val="00D514DF"/>
    <w:rsid w:val="00D517A9"/>
    <w:rsid w:val="00D5184C"/>
    <w:rsid w:val="00D53281"/>
    <w:rsid w:val="00D53F46"/>
    <w:rsid w:val="00D54482"/>
    <w:rsid w:val="00D557CE"/>
    <w:rsid w:val="00D55BC2"/>
    <w:rsid w:val="00D56CA4"/>
    <w:rsid w:val="00D56EC6"/>
    <w:rsid w:val="00D5723C"/>
    <w:rsid w:val="00D57985"/>
    <w:rsid w:val="00D57B19"/>
    <w:rsid w:val="00D608C5"/>
    <w:rsid w:val="00D616A5"/>
    <w:rsid w:val="00D6354B"/>
    <w:rsid w:val="00D64587"/>
    <w:rsid w:val="00D64912"/>
    <w:rsid w:val="00D65472"/>
    <w:rsid w:val="00D66163"/>
    <w:rsid w:val="00D66B17"/>
    <w:rsid w:val="00D67483"/>
    <w:rsid w:val="00D675F5"/>
    <w:rsid w:val="00D70066"/>
    <w:rsid w:val="00D70260"/>
    <w:rsid w:val="00D70699"/>
    <w:rsid w:val="00D70AEF"/>
    <w:rsid w:val="00D7253D"/>
    <w:rsid w:val="00D72608"/>
    <w:rsid w:val="00D72AEF"/>
    <w:rsid w:val="00D7324D"/>
    <w:rsid w:val="00D741DC"/>
    <w:rsid w:val="00D76C43"/>
    <w:rsid w:val="00D77B5D"/>
    <w:rsid w:val="00D81279"/>
    <w:rsid w:val="00D812C7"/>
    <w:rsid w:val="00D81E58"/>
    <w:rsid w:val="00D82818"/>
    <w:rsid w:val="00D83016"/>
    <w:rsid w:val="00D83760"/>
    <w:rsid w:val="00D844EA"/>
    <w:rsid w:val="00D84776"/>
    <w:rsid w:val="00D852E4"/>
    <w:rsid w:val="00D855EC"/>
    <w:rsid w:val="00D85E42"/>
    <w:rsid w:val="00D865D3"/>
    <w:rsid w:val="00D878C7"/>
    <w:rsid w:val="00D91142"/>
    <w:rsid w:val="00D916B5"/>
    <w:rsid w:val="00D91CC5"/>
    <w:rsid w:val="00D921A1"/>
    <w:rsid w:val="00D9247F"/>
    <w:rsid w:val="00D92998"/>
    <w:rsid w:val="00D92EEC"/>
    <w:rsid w:val="00D945B1"/>
    <w:rsid w:val="00D95DF2"/>
    <w:rsid w:val="00D9608B"/>
    <w:rsid w:val="00D96341"/>
    <w:rsid w:val="00D969AB"/>
    <w:rsid w:val="00D96FB4"/>
    <w:rsid w:val="00D97020"/>
    <w:rsid w:val="00DA242A"/>
    <w:rsid w:val="00DA2E77"/>
    <w:rsid w:val="00DA3D2F"/>
    <w:rsid w:val="00DA4B5C"/>
    <w:rsid w:val="00DA547D"/>
    <w:rsid w:val="00DA573D"/>
    <w:rsid w:val="00DB09AE"/>
    <w:rsid w:val="00DB0DCA"/>
    <w:rsid w:val="00DB12E2"/>
    <w:rsid w:val="00DB13AE"/>
    <w:rsid w:val="00DB14B6"/>
    <w:rsid w:val="00DB5959"/>
    <w:rsid w:val="00DB68AB"/>
    <w:rsid w:val="00DC01D9"/>
    <w:rsid w:val="00DC08D4"/>
    <w:rsid w:val="00DC09AF"/>
    <w:rsid w:val="00DC1C14"/>
    <w:rsid w:val="00DC4C2D"/>
    <w:rsid w:val="00DC5131"/>
    <w:rsid w:val="00DC5858"/>
    <w:rsid w:val="00DC5BF4"/>
    <w:rsid w:val="00DC7676"/>
    <w:rsid w:val="00DD0D0F"/>
    <w:rsid w:val="00DD0F10"/>
    <w:rsid w:val="00DD463E"/>
    <w:rsid w:val="00DD4884"/>
    <w:rsid w:val="00DD52DD"/>
    <w:rsid w:val="00DD5E1A"/>
    <w:rsid w:val="00DD7971"/>
    <w:rsid w:val="00DE19E5"/>
    <w:rsid w:val="00DE1AD3"/>
    <w:rsid w:val="00DE1B6B"/>
    <w:rsid w:val="00DE23F1"/>
    <w:rsid w:val="00DE29C5"/>
    <w:rsid w:val="00DE2F71"/>
    <w:rsid w:val="00DE387B"/>
    <w:rsid w:val="00DE5271"/>
    <w:rsid w:val="00DE5A4A"/>
    <w:rsid w:val="00DE5FFD"/>
    <w:rsid w:val="00DE6728"/>
    <w:rsid w:val="00DE6784"/>
    <w:rsid w:val="00DE6B9F"/>
    <w:rsid w:val="00DE782D"/>
    <w:rsid w:val="00DF023B"/>
    <w:rsid w:val="00DF1EDB"/>
    <w:rsid w:val="00DF44BB"/>
    <w:rsid w:val="00DF45E3"/>
    <w:rsid w:val="00DF480E"/>
    <w:rsid w:val="00DF491F"/>
    <w:rsid w:val="00DF50A6"/>
    <w:rsid w:val="00DF7C51"/>
    <w:rsid w:val="00E004E4"/>
    <w:rsid w:val="00E02EAC"/>
    <w:rsid w:val="00E03FC2"/>
    <w:rsid w:val="00E046AA"/>
    <w:rsid w:val="00E0527B"/>
    <w:rsid w:val="00E05C8E"/>
    <w:rsid w:val="00E070F3"/>
    <w:rsid w:val="00E0713A"/>
    <w:rsid w:val="00E0768A"/>
    <w:rsid w:val="00E0788A"/>
    <w:rsid w:val="00E07CA2"/>
    <w:rsid w:val="00E10851"/>
    <w:rsid w:val="00E10A31"/>
    <w:rsid w:val="00E12B25"/>
    <w:rsid w:val="00E132AE"/>
    <w:rsid w:val="00E153F3"/>
    <w:rsid w:val="00E156E7"/>
    <w:rsid w:val="00E15D78"/>
    <w:rsid w:val="00E15DC1"/>
    <w:rsid w:val="00E16C9B"/>
    <w:rsid w:val="00E202A2"/>
    <w:rsid w:val="00E20B15"/>
    <w:rsid w:val="00E20E0D"/>
    <w:rsid w:val="00E2184F"/>
    <w:rsid w:val="00E218A8"/>
    <w:rsid w:val="00E234FD"/>
    <w:rsid w:val="00E2448C"/>
    <w:rsid w:val="00E245BE"/>
    <w:rsid w:val="00E24612"/>
    <w:rsid w:val="00E24776"/>
    <w:rsid w:val="00E25051"/>
    <w:rsid w:val="00E25686"/>
    <w:rsid w:val="00E25767"/>
    <w:rsid w:val="00E2612E"/>
    <w:rsid w:val="00E264EC"/>
    <w:rsid w:val="00E26C8E"/>
    <w:rsid w:val="00E305E4"/>
    <w:rsid w:val="00E3092D"/>
    <w:rsid w:val="00E31067"/>
    <w:rsid w:val="00E3162D"/>
    <w:rsid w:val="00E32198"/>
    <w:rsid w:val="00E3252D"/>
    <w:rsid w:val="00E33F1C"/>
    <w:rsid w:val="00E3400D"/>
    <w:rsid w:val="00E34116"/>
    <w:rsid w:val="00E342F1"/>
    <w:rsid w:val="00E3458E"/>
    <w:rsid w:val="00E363C6"/>
    <w:rsid w:val="00E37DE5"/>
    <w:rsid w:val="00E40ED2"/>
    <w:rsid w:val="00E41565"/>
    <w:rsid w:val="00E4233F"/>
    <w:rsid w:val="00E44701"/>
    <w:rsid w:val="00E455A6"/>
    <w:rsid w:val="00E45992"/>
    <w:rsid w:val="00E45C29"/>
    <w:rsid w:val="00E46079"/>
    <w:rsid w:val="00E4675A"/>
    <w:rsid w:val="00E5170B"/>
    <w:rsid w:val="00E51A13"/>
    <w:rsid w:val="00E52739"/>
    <w:rsid w:val="00E52AAA"/>
    <w:rsid w:val="00E52DF2"/>
    <w:rsid w:val="00E53529"/>
    <w:rsid w:val="00E540DE"/>
    <w:rsid w:val="00E54F9D"/>
    <w:rsid w:val="00E55743"/>
    <w:rsid w:val="00E55CE8"/>
    <w:rsid w:val="00E562E4"/>
    <w:rsid w:val="00E56A4F"/>
    <w:rsid w:val="00E578FA"/>
    <w:rsid w:val="00E57C21"/>
    <w:rsid w:val="00E63160"/>
    <w:rsid w:val="00E63414"/>
    <w:rsid w:val="00E63AF9"/>
    <w:rsid w:val="00E63FBC"/>
    <w:rsid w:val="00E64512"/>
    <w:rsid w:val="00E648CA"/>
    <w:rsid w:val="00E650C1"/>
    <w:rsid w:val="00E6583A"/>
    <w:rsid w:val="00E66523"/>
    <w:rsid w:val="00E66D76"/>
    <w:rsid w:val="00E67411"/>
    <w:rsid w:val="00E67A5C"/>
    <w:rsid w:val="00E70F25"/>
    <w:rsid w:val="00E73614"/>
    <w:rsid w:val="00E74162"/>
    <w:rsid w:val="00E75953"/>
    <w:rsid w:val="00E75E9C"/>
    <w:rsid w:val="00E76E5D"/>
    <w:rsid w:val="00E77D65"/>
    <w:rsid w:val="00E811C0"/>
    <w:rsid w:val="00E81747"/>
    <w:rsid w:val="00E81841"/>
    <w:rsid w:val="00E8197B"/>
    <w:rsid w:val="00E81D99"/>
    <w:rsid w:val="00E8257A"/>
    <w:rsid w:val="00E82798"/>
    <w:rsid w:val="00E828ED"/>
    <w:rsid w:val="00E830E2"/>
    <w:rsid w:val="00E83858"/>
    <w:rsid w:val="00E8487B"/>
    <w:rsid w:val="00E85204"/>
    <w:rsid w:val="00E8733B"/>
    <w:rsid w:val="00E873BE"/>
    <w:rsid w:val="00E879DB"/>
    <w:rsid w:val="00E87C60"/>
    <w:rsid w:val="00E90038"/>
    <w:rsid w:val="00E9060F"/>
    <w:rsid w:val="00E91539"/>
    <w:rsid w:val="00E9194B"/>
    <w:rsid w:val="00E91A03"/>
    <w:rsid w:val="00E92C0D"/>
    <w:rsid w:val="00E93176"/>
    <w:rsid w:val="00E9406C"/>
    <w:rsid w:val="00E9410B"/>
    <w:rsid w:val="00E947D0"/>
    <w:rsid w:val="00E95268"/>
    <w:rsid w:val="00E953FB"/>
    <w:rsid w:val="00E96799"/>
    <w:rsid w:val="00E97730"/>
    <w:rsid w:val="00EA21B6"/>
    <w:rsid w:val="00EA292A"/>
    <w:rsid w:val="00EA328C"/>
    <w:rsid w:val="00EA440D"/>
    <w:rsid w:val="00EA441D"/>
    <w:rsid w:val="00EA46EE"/>
    <w:rsid w:val="00EA508E"/>
    <w:rsid w:val="00EB0748"/>
    <w:rsid w:val="00EB40F5"/>
    <w:rsid w:val="00EB4543"/>
    <w:rsid w:val="00EB4DC3"/>
    <w:rsid w:val="00EB59CB"/>
    <w:rsid w:val="00EB610B"/>
    <w:rsid w:val="00EB6167"/>
    <w:rsid w:val="00EB6383"/>
    <w:rsid w:val="00EB7013"/>
    <w:rsid w:val="00EB7950"/>
    <w:rsid w:val="00EB7C09"/>
    <w:rsid w:val="00EC0639"/>
    <w:rsid w:val="00EC07D8"/>
    <w:rsid w:val="00EC0AD2"/>
    <w:rsid w:val="00EC101C"/>
    <w:rsid w:val="00EC1A75"/>
    <w:rsid w:val="00EC206E"/>
    <w:rsid w:val="00EC2F29"/>
    <w:rsid w:val="00EC341C"/>
    <w:rsid w:val="00EC3872"/>
    <w:rsid w:val="00EC7975"/>
    <w:rsid w:val="00ED08DD"/>
    <w:rsid w:val="00ED0CF6"/>
    <w:rsid w:val="00ED20B8"/>
    <w:rsid w:val="00ED2C25"/>
    <w:rsid w:val="00ED38B5"/>
    <w:rsid w:val="00ED4CE1"/>
    <w:rsid w:val="00ED4F00"/>
    <w:rsid w:val="00ED51CD"/>
    <w:rsid w:val="00ED657A"/>
    <w:rsid w:val="00ED730C"/>
    <w:rsid w:val="00ED7605"/>
    <w:rsid w:val="00ED7B0C"/>
    <w:rsid w:val="00EE0259"/>
    <w:rsid w:val="00EE0C28"/>
    <w:rsid w:val="00EE19C3"/>
    <w:rsid w:val="00EE2B99"/>
    <w:rsid w:val="00EE336C"/>
    <w:rsid w:val="00EE48BE"/>
    <w:rsid w:val="00EE4CD9"/>
    <w:rsid w:val="00EE57BE"/>
    <w:rsid w:val="00EE66B4"/>
    <w:rsid w:val="00EE6D9C"/>
    <w:rsid w:val="00EF0380"/>
    <w:rsid w:val="00EF223A"/>
    <w:rsid w:val="00EF224B"/>
    <w:rsid w:val="00EF25D8"/>
    <w:rsid w:val="00EF2A9D"/>
    <w:rsid w:val="00EF3711"/>
    <w:rsid w:val="00EF4D7C"/>
    <w:rsid w:val="00EF4E82"/>
    <w:rsid w:val="00EF62C2"/>
    <w:rsid w:val="00EF6441"/>
    <w:rsid w:val="00EF66CD"/>
    <w:rsid w:val="00EF6D1B"/>
    <w:rsid w:val="00EF7A20"/>
    <w:rsid w:val="00EF7D6D"/>
    <w:rsid w:val="00F00B35"/>
    <w:rsid w:val="00F024B5"/>
    <w:rsid w:val="00F024CD"/>
    <w:rsid w:val="00F02521"/>
    <w:rsid w:val="00F0292A"/>
    <w:rsid w:val="00F0367D"/>
    <w:rsid w:val="00F04A2F"/>
    <w:rsid w:val="00F04DC6"/>
    <w:rsid w:val="00F05D48"/>
    <w:rsid w:val="00F06E68"/>
    <w:rsid w:val="00F076F3"/>
    <w:rsid w:val="00F105BA"/>
    <w:rsid w:val="00F10A0F"/>
    <w:rsid w:val="00F1191B"/>
    <w:rsid w:val="00F127CA"/>
    <w:rsid w:val="00F14110"/>
    <w:rsid w:val="00F1540D"/>
    <w:rsid w:val="00F15B31"/>
    <w:rsid w:val="00F1671C"/>
    <w:rsid w:val="00F16A11"/>
    <w:rsid w:val="00F16C11"/>
    <w:rsid w:val="00F1778A"/>
    <w:rsid w:val="00F20803"/>
    <w:rsid w:val="00F21024"/>
    <w:rsid w:val="00F2198B"/>
    <w:rsid w:val="00F228F7"/>
    <w:rsid w:val="00F22BB3"/>
    <w:rsid w:val="00F22D89"/>
    <w:rsid w:val="00F2323C"/>
    <w:rsid w:val="00F23496"/>
    <w:rsid w:val="00F2431F"/>
    <w:rsid w:val="00F24413"/>
    <w:rsid w:val="00F26930"/>
    <w:rsid w:val="00F30649"/>
    <w:rsid w:val="00F30BFF"/>
    <w:rsid w:val="00F317F5"/>
    <w:rsid w:val="00F322DC"/>
    <w:rsid w:val="00F333B4"/>
    <w:rsid w:val="00F33B6F"/>
    <w:rsid w:val="00F344D5"/>
    <w:rsid w:val="00F344E0"/>
    <w:rsid w:val="00F34977"/>
    <w:rsid w:val="00F35DAB"/>
    <w:rsid w:val="00F364AB"/>
    <w:rsid w:val="00F36A1D"/>
    <w:rsid w:val="00F3727A"/>
    <w:rsid w:val="00F40933"/>
    <w:rsid w:val="00F417D4"/>
    <w:rsid w:val="00F41BDA"/>
    <w:rsid w:val="00F44FFF"/>
    <w:rsid w:val="00F45728"/>
    <w:rsid w:val="00F45BEB"/>
    <w:rsid w:val="00F472D1"/>
    <w:rsid w:val="00F47314"/>
    <w:rsid w:val="00F5059A"/>
    <w:rsid w:val="00F505C1"/>
    <w:rsid w:val="00F525A1"/>
    <w:rsid w:val="00F5468B"/>
    <w:rsid w:val="00F546E4"/>
    <w:rsid w:val="00F55BAC"/>
    <w:rsid w:val="00F568FA"/>
    <w:rsid w:val="00F57F6D"/>
    <w:rsid w:val="00F61132"/>
    <w:rsid w:val="00F6242B"/>
    <w:rsid w:val="00F62493"/>
    <w:rsid w:val="00F642A5"/>
    <w:rsid w:val="00F6681E"/>
    <w:rsid w:val="00F67D5E"/>
    <w:rsid w:val="00F704E7"/>
    <w:rsid w:val="00F7190B"/>
    <w:rsid w:val="00F71BB9"/>
    <w:rsid w:val="00F72330"/>
    <w:rsid w:val="00F726DE"/>
    <w:rsid w:val="00F72845"/>
    <w:rsid w:val="00F72EFE"/>
    <w:rsid w:val="00F7548D"/>
    <w:rsid w:val="00F76AD9"/>
    <w:rsid w:val="00F76C5E"/>
    <w:rsid w:val="00F76F66"/>
    <w:rsid w:val="00F770F3"/>
    <w:rsid w:val="00F80193"/>
    <w:rsid w:val="00F81837"/>
    <w:rsid w:val="00F82080"/>
    <w:rsid w:val="00F83685"/>
    <w:rsid w:val="00F843A8"/>
    <w:rsid w:val="00F850E1"/>
    <w:rsid w:val="00F85253"/>
    <w:rsid w:val="00F85F07"/>
    <w:rsid w:val="00F904C3"/>
    <w:rsid w:val="00F905D0"/>
    <w:rsid w:val="00F907E6"/>
    <w:rsid w:val="00F92458"/>
    <w:rsid w:val="00F93A67"/>
    <w:rsid w:val="00F9443F"/>
    <w:rsid w:val="00F947A0"/>
    <w:rsid w:val="00F94C54"/>
    <w:rsid w:val="00F94F25"/>
    <w:rsid w:val="00F9505F"/>
    <w:rsid w:val="00FA0D88"/>
    <w:rsid w:val="00FA1A87"/>
    <w:rsid w:val="00FA2307"/>
    <w:rsid w:val="00FA2ED9"/>
    <w:rsid w:val="00FA3FD5"/>
    <w:rsid w:val="00FA44B5"/>
    <w:rsid w:val="00FA4753"/>
    <w:rsid w:val="00FA49FE"/>
    <w:rsid w:val="00FA51C5"/>
    <w:rsid w:val="00FA5358"/>
    <w:rsid w:val="00FA652D"/>
    <w:rsid w:val="00FA75B9"/>
    <w:rsid w:val="00FA7D4F"/>
    <w:rsid w:val="00FB24F4"/>
    <w:rsid w:val="00FB2A97"/>
    <w:rsid w:val="00FB3376"/>
    <w:rsid w:val="00FB39AE"/>
    <w:rsid w:val="00FB3D6A"/>
    <w:rsid w:val="00FB42A6"/>
    <w:rsid w:val="00FB42AB"/>
    <w:rsid w:val="00FB4872"/>
    <w:rsid w:val="00FB48EB"/>
    <w:rsid w:val="00FB53BE"/>
    <w:rsid w:val="00FB5E99"/>
    <w:rsid w:val="00FB7663"/>
    <w:rsid w:val="00FB7BC2"/>
    <w:rsid w:val="00FC05C1"/>
    <w:rsid w:val="00FC0C1C"/>
    <w:rsid w:val="00FC1056"/>
    <w:rsid w:val="00FC1325"/>
    <w:rsid w:val="00FC27DB"/>
    <w:rsid w:val="00FC3EC6"/>
    <w:rsid w:val="00FC737A"/>
    <w:rsid w:val="00FC77D4"/>
    <w:rsid w:val="00FD0465"/>
    <w:rsid w:val="00FD241A"/>
    <w:rsid w:val="00FD36EC"/>
    <w:rsid w:val="00FD3DC1"/>
    <w:rsid w:val="00FD427B"/>
    <w:rsid w:val="00FD6C8D"/>
    <w:rsid w:val="00FD6F2B"/>
    <w:rsid w:val="00FD7796"/>
    <w:rsid w:val="00FD7C8D"/>
    <w:rsid w:val="00FD7CB5"/>
    <w:rsid w:val="00FE016F"/>
    <w:rsid w:val="00FE046E"/>
    <w:rsid w:val="00FE0503"/>
    <w:rsid w:val="00FE202C"/>
    <w:rsid w:val="00FE3443"/>
    <w:rsid w:val="00FE4387"/>
    <w:rsid w:val="00FE4443"/>
    <w:rsid w:val="00FE4972"/>
    <w:rsid w:val="00FE4BCB"/>
    <w:rsid w:val="00FE728D"/>
    <w:rsid w:val="00FE7602"/>
    <w:rsid w:val="00FE76BE"/>
    <w:rsid w:val="00FE7EAD"/>
    <w:rsid w:val="00FF08C3"/>
    <w:rsid w:val="00FF098A"/>
    <w:rsid w:val="00FF0E74"/>
    <w:rsid w:val="00FF1144"/>
    <w:rsid w:val="00FF1298"/>
    <w:rsid w:val="00FF17D7"/>
    <w:rsid w:val="00FF2765"/>
    <w:rsid w:val="00FF2E4C"/>
    <w:rsid w:val="00FF3282"/>
    <w:rsid w:val="00FF4889"/>
    <w:rsid w:val="00FF661B"/>
    <w:rsid w:val="00FF6AA9"/>
    <w:rsid w:val="00FF6EDA"/>
    <w:rsid w:val="00FF7296"/>
    <w:rsid w:val="0A0F1629"/>
    <w:rsid w:val="20C6E596"/>
    <w:rsid w:val="21340B89"/>
    <w:rsid w:val="2B32FDA4"/>
    <w:rsid w:val="35937218"/>
    <w:rsid w:val="3BE8683D"/>
    <w:rsid w:val="72274069"/>
    <w:rsid w:val="7A6AA68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2CB35"/>
  <w15:chartTrackingRefBased/>
  <w15:docId w15:val="{D4982EBC-9307-4501-BBB7-15E5C1AD66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Times New Roman" w:eastAsiaTheme="minorHAnsi"/>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0699"/>
  </w:style>
  <w:style w:type="paragraph" w:styleId="Heading1">
    <w:name w:val="heading 1"/>
    <w:basedOn w:val="Normal"/>
    <w:next w:val="Normal"/>
    <w:link w:val="Heading1Char"/>
    <w:uiPriority w:val="2"/>
    <w:qFormat/>
    <w:rsid w:val="00756804"/>
    <w:pPr>
      <w:keepNext/>
      <w:keepLines/>
      <w:numPr>
        <w:ilvl w:val="1"/>
        <w:numId w:val="4"/>
      </w:numPr>
      <w:spacing w:before="480"/>
      <w:outlineLvl w:val="0"/>
    </w:pPr>
    <w:rPr>
      <w:rFonts w:eastAsiaTheme="majorEastAsia" w:cstheme="majorBidi"/>
      <w:b/>
      <w:color w:val="4C1F41"/>
      <w:sz w:val="44"/>
      <w:szCs w:val="32"/>
    </w:rPr>
  </w:style>
  <w:style w:type="paragraph" w:styleId="Heading2">
    <w:name w:val="heading 2"/>
    <w:basedOn w:val="Heading1"/>
    <w:next w:val="Normal"/>
    <w:link w:val="Heading2Char"/>
    <w:uiPriority w:val="2"/>
    <w:unhideWhenUsed/>
    <w:qFormat/>
    <w:rsid w:val="005D048A"/>
    <w:pPr>
      <w:numPr>
        <w:ilvl w:val="2"/>
      </w:numPr>
      <w:spacing w:before="360"/>
      <w:outlineLvl w:val="1"/>
    </w:pPr>
    <w:rPr>
      <w:sz w:val="32"/>
      <w:szCs w:val="26"/>
    </w:rPr>
  </w:style>
  <w:style w:type="paragraph" w:styleId="Heading3">
    <w:name w:val="heading 3"/>
    <w:basedOn w:val="Heading1"/>
    <w:next w:val="Normal"/>
    <w:link w:val="Heading3Char"/>
    <w:uiPriority w:val="2"/>
    <w:unhideWhenUsed/>
    <w:qFormat/>
    <w:rsid w:val="005D048A"/>
    <w:pPr>
      <w:numPr>
        <w:ilvl w:val="3"/>
      </w:numPr>
      <w:spacing w:before="360"/>
      <w:outlineLvl w:val="2"/>
    </w:pPr>
    <w:rPr>
      <w:i/>
      <w:sz w:val="26"/>
    </w:rPr>
  </w:style>
  <w:style w:type="paragraph" w:styleId="Heading4">
    <w:name w:val="heading 4"/>
    <w:basedOn w:val="Normal"/>
    <w:next w:val="Normal"/>
    <w:link w:val="Heading4Char"/>
    <w:uiPriority w:val="2"/>
    <w:unhideWhenUsed/>
    <w:qFormat/>
    <w:rsid w:val="005D048A"/>
    <w:pPr>
      <w:keepNext/>
      <w:keepLines/>
      <w:numPr>
        <w:ilvl w:val="4"/>
        <w:numId w:val="4"/>
      </w:numPr>
      <w:spacing w:before="240"/>
      <w:outlineLvl w:val="3"/>
    </w:pPr>
    <w:rPr>
      <w:rFonts w:ascii="Arial Narrow" w:hAnsi="Arial Narrow" w:eastAsiaTheme="majorEastAsia" w:cstheme="majorBidi"/>
      <w:b/>
      <w:iCs/>
    </w:rPr>
  </w:style>
  <w:style w:type="paragraph" w:styleId="Heading5">
    <w:name w:val="heading 5"/>
    <w:basedOn w:val="Normal"/>
    <w:next w:val="Normal"/>
    <w:link w:val="Heading5Char"/>
    <w:uiPriority w:val="9"/>
    <w:semiHidden/>
    <w:qFormat/>
    <w:rsid w:val="00056E55"/>
    <w:pPr>
      <w:keepNext/>
      <w:keepLines/>
      <w:spacing w:before="40" w:after="0"/>
      <w:outlineLvl w:val="4"/>
    </w:pPr>
    <w:rPr>
      <w:rFonts w:asciiTheme="majorHAnsi" w:hAnsiTheme="majorHAnsi" w:eastAsiaTheme="majorEastAsia" w:cstheme="majorBidi"/>
      <w:color w:val="13433D" w:themeColor="accent1" w:themeShade="BF"/>
    </w:rPr>
  </w:style>
  <w:style w:type="paragraph" w:styleId="Heading6">
    <w:name w:val="heading 6"/>
    <w:basedOn w:val="Normal"/>
    <w:next w:val="Normal"/>
    <w:link w:val="Heading6Char"/>
    <w:uiPriority w:val="9"/>
    <w:semiHidden/>
    <w:unhideWhenUsed/>
    <w:qFormat/>
    <w:rsid w:val="00056E55"/>
    <w:pPr>
      <w:keepNext/>
      <w:keepLines/>
      <w:spacing w:before="40" w:after="0"/>
      <w:outlineLvl w:val="5"/>
    </w:pPr>
    <w:rPr>
      <w:rFonts w:asciiTheme="majorHAnsi" w:hAnsiTheme="majorHAnsi" w:eastAsiaTheme="majorEastAsia" w:cstheme="majorBidi"/>
      <w:color w:val="0D2D28" w:themeColor="accent1" w:themeShade="7F"/>
    </w:rPr>
  </w:style>
  <w:style w:type="paragraph" w:styleId="Heading7">
    <w:name w:val="heading 7"/>
    <w:basedOn w:val="Normal"/>
    <w:next w:val="Normal"/>
    <w:link w:val="Heading7Char"/>
    <w:uiPriority w:val="9"/>
    <w:semiHidden/>
    <w:unhideWhenUsed/>
    <w:qFormat/>
    <w:rsid w:val="00056E55"/>
    <w:pPr>
      <w:keepNext/>
      <w:keepLines/>
      <w:spacing w:before="40" w:after="0"/>
      <w:outlineLvl w:val="6"/>
    </w:pPr>
    <w:rPr>
      <w:rFonts w:asciiTheme="majorHAnsi" w:hAnsiTheme="majorHAnsi" w:eastAsiaTheme="majorEastAsia" w:cstheme="majorBidi"/>
      <w:i/>
      <w:iCs/>
      <w:color w:val="0D2D28" w:themeColor="accent1" w:themeShade="7F"/>
    </w:rPr>
  </w:style>
  <w:style w:type="paragraph" w:styleId="Heading8">
    <w:name w:val="heading 8"/>
    <w:basedOn w:val="Normal"/>
    <w:next w:val="Normal"/>
    <w:link w:val="Heading8Char"/>
    <w:uiPriority w:val="9"/>
    <w:semiHidden/>
    <w:unhideWhenUsed/>
    <w:qFormat/>
    <w:rsid w:val="00056E55"/>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56E55"/>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924A08"/>
    <w:pPr>
      <w:spacing w:before="360" w:after="360"/>
    </w:pPr>
    <w:rPr>
      <w:rFonts w:eastAsiaTheme="majorEastAsia" w:cstheme="majorBidi"/>
      <w:b/>
      <w:color w:val="4D1F40"/>
      <w:kern w:val="28"/>
      <w:sz w:val="72"/>
      <w:szCs w:val="56"/>
    </w:rPr>
  </w:style>
  <w:style w:type="character" w:styleId="TitleChar" w:customStyle="1">
    <w:name w:val="Title Char"/>
    <w:basedOn w:val="DefaultParagraphFont"/>
    <w:link w:val="Title"/>
    <w:uiPriority w:val="10"/>
    <w:rsid w:val="00924A08"/>
    <w:rPr>
      <w:rFonts w:eastAsiaTheme="majorEastAsia" w:cstheme="majorBidi"/>
      <w:b/>
      <w:color w:val="4D1F40"/>
      <w:kern w:val="28"/>
      <w:sz w:val="72"/>
      <w:szCs w:val="56"/>
    </w:rPr>
  </w:style>
  <w:style w:type="paragraph" w:styleId="Subtitle">
    <w:name w:val="Subtitle"/>
    <w:basedOn w:val="Title"/>
    <w:next w:val="Normal"/>
    <w:link w:val="SubtitleChar"/>
    <w:uiPriority w:val="10"/>
    <w:qFormat/>
    <w:rsid w:val="00924A08"/>
    <w:pPr>
      <w:numPr>
        <w:ilvl w:val="1"/>
      </w:numPr>
    </w:pPr>
    <w:rPr>
      <w:rFonts w:eastAsiaTheme="minorEastAsia" w:cstheme="minorBidi"/>
      <w:sz w:val="48"/>
      <w:szCs w:val="22"/>
    </w:rPr>
  </w:style>
  <w:style w:type="character" w:styleId="SubtitleChar" w:customStyle="1">
    <w:name w:val="Subtitle Char"/>
    <w:basedOn w:val="DefaultParagraphFont"/>
    <w:link w:val="Subtitle"/>
    <w:uiPriority w:val="10"/>
    <w:rsid w:val="00924A08"/>
    <w:rPr>
      <w:rFonts w:eastAsiaTheme="minorEastAsia" w:cstheme="minorBidi"/>
      <w:b/>
      <w:color w:val="4D1F40"/>
      <w:kern w:val="28"/>
      <w:sz w:val="48"/>
      <w:szCs w:val="22"/>
    </w:rPr>
  </w:style>
  <w:style w:type="character" w:styleId="Heading1Char" w:customStyle="1">
    <w:name w:val="Heading 1 Char"/>
    <w:basedOn w:val="DefaultParagraphFont"/>
    <w:link w:val="Heading1"/>
    <w:uiPriority w:val="2"/>
    <w:rsid w:val="00756804"/>
    <w:rPr>
      <w:rFonts w:eastAsiaTheme="majorEastAsia" w:cstheme="majorBidi"/>
      <w:b/>
      <w:color w:val="4C1F41"/>
      <w:sz w:val="44"/>
      <w:szCs w:val="32"/>
    </w:rPr>
  </w:style>
  <w:style w:type="character" w:styleId="Heading2Char" w:customStyle="1">
    <w:name w:val="Heading 2 Char"/>
    <w:basedOn w:val="DefaultParagraphFont"/>
    <w:link w:val="Heading2"/>
    <w:uiPriority w:val="2"/>
    <w:rsid w:val="005D048A"/>
    <w:rPr>
      <w:rFonts w:eastAsiaTheme="majorEastAsia" w:cstheme="majorBidi"/>
      <w:b/>
      <w:color w:val="4C1F41"/>
      <w:sz w:val="32"/>
      <w:szCs w:val="26"/>
    </w:rPr>
  </w:style>
  <w:style w:type="character" w:styleId="Heading3Char" w:customStyle="1">
    <w:name w:val="Heading 3 Char"/>
    <w:basedOn w:val="DefaultParagraphFont"/>
    <w:link w:val="Heading3"/>
    <w:uiPriority w:val="2"/>
    <w:rsid w:val="005D048A"/>
    <w:rPr>
      <w:rFonts w:eastAsiaTheme="majorEastAsia" w:cstheme="majorBidi"/>
      <w:b/>
      <w:i/>
      <w:color w:val="4C1F41"/>
      <w:sz w:val="26"/>
      <w:szCs w:val="32"/>
    </w:rPr>
  </w:style>
  <w:style w:type="paragraph" w:styleId="TOC1">
    <w:name w:val="toc 1"/>
    <w:basedOn w:val="Normal"/>
    <w:next w:val="Normal"/>
    <w:autoRedefine/>
    <w:uiPriority w:val="39"/>
    <w:rsid w:val="00CB13DA"/>
    <w:pPr>
      <w:spacing w:before="0" w:after="0"/>
    </w:pPr>
  </w:style>
  <w:style w:type="paragraph" w:styleId="TOC2">
    <w:name w:val="toc 2"/>
    <w:basedOn w:val="Normal"/>
    <w:next w:val="Normal"/>
    <w:autoRedefine/>
    <w:uiPriority w:val="39"/>
    <w:rsid w:val="00CB13DA"/>
    <w:pPr>
      <w:tabs>
        <w:tab w:val="right" w:leader="dot" w:pos="9402"/>
      </w:tabs>
      <w:spacing w:before="0" w:after="0"/>
      <w:ind w:left="238"/>
    </w:pPr>
  </w:style>
  <w:style w:type="paragraph" w:styleId="TOC3">
    <w:name w:val="toc 3"/>
    <w:basedOn w:val="Normal"/>
    <w:next w:val="Normal"/>
    <w:autoRedefine/>
    <w:uiPriority w:val="39"/>
    <w:rsid w:val="00873F86"/>
    <w:pPr>
      <w:spacing w:before="0" w:after="0"/>
      <w:ind w:left="482"/>
    </w:pPr>
  </w:style>
  <w:style w:type="character" w:styleId="Hyperlink">
    <w:name w:val="Hyperlink"/>
    <w:aliases w:val="A+C Hyperlink"/>
    <w:basedOn w:val="DefaultParagraphFont"/>
    <w:uiPriority w:val="99"/>
    <w:rsid w:val="00A666E1"/>
    <w:rPr>
      <w:color w:val="0072DA" w:themeColor="hyperlink"/>
      <w:u w:val="single"/>
    </w:rPr>
  </w:style>
  <w:style w:type="paragraph" w:styleId="ListBullet">
    <w:name w:val="List Bullet"/>
    <w:basedOn w:val="Normal"/>
    <w:uiPriority w:val="99"/>
    <w:rsid w:val="005D048A"/>
    <w:pPr>
      <w:numPr>
        <w:numId w:val="2"/>
      </w:numPr>
      <w:spacing w:before="80" w:after="80"/>
    </w:pPr>
  </w:style>
  <w:style w:type="paragraph" w:styleId="ListBullet2">
    <w:name w:val="List Bullet 2"/>
    <w:basedOn w:val="ListBullet"/>
    <w:uiPriority w:val="99"/>
    <w:rsid w:val="00EF223A"/>
    <w:pPr>
      <w:numPr>
        <w:ilvl w:val="1"/>
      </w:numPr>
      <w:ind w:left="1083"/>
    </w:pPr>
  </w:style>
  <w:style w:type="paragraph" w:styleId="ListNumber">
    <w:name w:val="List Number"/>
    <w:basedOn w:val="Normal"/>
    <w:uiPriority w:val="99"/>
    <w:rsid w:val="00873F86"/>
    <w:pPr>
      <w:numPr>
        <w:numId w:val="1"/>
      </w:numPr>
      <w:spacing w:before="80" w:after="80"/>
    </w:pPr>
  </w:style>
  <w:style w:type="paragraph" w:styleId="ListNumber2">
    <w:name w:val="List Number 2"/>
    <w:basedOn w:val="ListNumber"/>
    <w:uiPriority w:val="99"/>
    <w:rsid w:val="00873F86"/>
    <w:pPr>
      <w:numPr>
        <w:ilvl w:val="1"/>
      </w:numPr>
    </w:pPr>
  </w:style>
  <w:style w:type="paragraph" w:styleId="Header">
    <w:name w:val="header"/>
    <w:basedOn w:val="Normal"/>
    <w:link w:val="HeaderChar"/>
    <w:uiPriority w:val="99"/>
    <w:semiHidden/>
    <w:rsid w:val="005D048A"/>
    <w:pPr>
      <w:tabs>
        <w:tab w:val="center" w:pos="4513"/>
        <w:tab w:val="right" w:pos="9026"/>
      </w:tabs>
      <w:spacing w:before="0" w:line="240" w:lineRule="auto"/>
    </w:pPr>
    <w:rPr>
      <w:color w:val="595959" w:themeColor="text1" w:themeTint="A6"/>
    </w:rPr>
  </w:style>
  <w:style w:type="character" w:styleId="HeaderChar" w:customStyle="1">
    <w:name w:val="Header Char"/>
    <w:basedOn w:val="DefaultParagraphFont"/>
    <w:link w:val="Header"/>
    <w:uiPriority w:val="99"/>
    <w:semiHidden/>
    <w:rsid w:val="005D048A"/>
    <w:rPr>
      <w:color w:val="595959" w:themeColor="text1" w:themeTint="A6"/>
    </w:rPr>
  </w:style>
  <w:style w:type="paragraph" w:styleId="Footer">
    <w:name w:val="footer"/>
    <w:basedOn w:val="Normal"/>
    <w:link w:val="FooterChar"/>
    <w:uiPriority w:val="99"/>
    <w:semiHidden/>
    <w:rsid w:val="003A4FD7"/>
    <w:pPr>
      <w:tabs>
        <w:tab w:val="center" w:pos="4513"/>
        <w:tab w:val="right" w:pos="9026"/>
      </w:tabs>
      <w:spacing w:before="0" w:after="0" w:line="240" w:lineRule="auto"/>
    </w:pPr>
    <w:rPr>
      <w:i/>
      <w:color w:val="595959" w:themeColor="text1" w:themeTint="A6"/>
      <w:sz w:val="22"/>
    </w:rPr>
  </w:style>
  <w:style w:type="character" w:styleId="FooterChar" w:customStyle="1">
    <w:name w:val="Footer Char"/>
    <w:basedOn w:val="DefaultParagraphFont"/>
    <w:link w:val="Footer"/>
    <w:uiPriority w:val="99"/>
    <w:semiHidden/>
    <w:rsid w:val="001219C9"/>
    <w:rPr>
      <w:i/>
      <w:color w:val="595959" w:themeColor="text1" w:themeTint="A6"/>
      <w:sz w:val="22"/>
    </w:rPr>
  </w:style>
  <w:style w:type="character" w:styleId="Heading4Char" w:customStyle="1">
    <w:name w:val="Heading 4 Char"/>
    <w:basedOn w:val="DefaultParagraphFont"/>
    <w:link w:val="Heading4"/>
    <w:uiPriority w:val="2"/>
    <w:rsid w:val="005D048A"/>
    <w:rPr>
      <w:rFonts w:ascii="Arial Narrow" w:hAnsi="Arial Narrow" w:eastAsiaTheme="majorEastAsia" w:cstheme="majorBidi"/>
      <w:b/>
      <w:iCs/>
    </w:rPr>
  </w:style>
  <w:style w:type="paragraph" w:styleId="Notforcontentsheading1" w:customStyle="1">
    <w:name w:val="Not for contents heading 1"/>
    <w:basedOn w:val="Normal"/>
    <w:next w:val="Normal"/>
    <w:uiPriority w:val="3"/>
    <w:qFormat/>
    <w:rsid w:val="00756804"/>
    <w:pPr>
      <w:keepNext/>
    </w:pPr>
    <w:rPr>
      <w:b/>
      <w:color w:val="4C1F41"/>
      <w:sz w:val="44"/>
    </w:rPr>
  </w:style>
  <w:style w:type="table" w:styleId="TableGrid">
    <w:name w:val="Table Grid"/>
    <w:basedOn w:val="TableNormal"/>
    <w:uiPriority w:val="39"/>
    <w:rsid w:val="0021141C"/>
    <w:pPr>
      <w:spacing w:before="0"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aliases w:val="Table/Figure - Caption (ALWAYS ABOVE)"/>
    <w:basedOn w:val="Normal"/>
    <w:next w:val="Normal"/>
    <w:uiPriority w:val="5"/>
    <w:qFormat/>
    <w:rsid w:val="00CB13DA"/>
    <w:pPr>
      <w:spacing w:before="80" w:after="80" w:line="240" w:lineRule="auto"/>
    </w:pPr>
    <w:rPr>
      <w:b/>
      <w:iCs/>
      <w:sz w:val="22"/>
      <w:szCs w:val="18"/>
    </w:rPr>
  </w:style>
  <w:style w:type="paragraph" w:styleId="NoSpacing">
    <w:name w:val="No Spacing"/>
    <w:uiPriority w:val="14"/>
    <w:qFormat/>
    <w:rsid w:val="00056E55"/>
    <w:pPr>
      <w:spacing w:before="0" w:after="0" w:line="240" w:lineRule="auto"/>
    </w:pPr>
  </w:style>
  <w:style w:type="paragraph" w:styleId="Tinyline" w:customStyle="1">
    <w:name w:val="Tiny line"/>
    <w:basedOn w:val="Normal"/>
    <w:uiPriority w:val="14"/>
    <w:qFormat/>
    <w:rsid w:val="00056E55"/>
    <w:pPr>
      <w:spacing w:before="0" w:after="0"/>
    </w:pPr>
    <w:rPr>
      <w:sz w:val="8"/>
    </w:rPr>
  </w:style>
  <w:style w:type="character" w:styleId="Importantword" w:customStyle="1">
    <w:name w:val="Important word"/>
    <w:basedOn w:val="DefaultParagraphFont"/>
    <w:uiPriority w:val="11"/>
    <w:qFormat/>
    <w:rsid w:val="00D85E42"/>
    <w:rPr>
      <w:bdr w:val="single" w:color="FF0000" w:sz="12" w:space="0"/>
    </w:rPr>
  </w:style>
  <w:style w:type="paragraph" w:styleId="Importantpara" w:customStyle="1">
    <w:name w:val="Important para"/>
    <w:basedOn w:val="Normal"/>
    <w:uiPriority w:val="11"/>
    <w:qFormat/>
    <w:rsid w:val="00D70699"/>
    <w:pPr>
      <w:pBdr>
        <w:top w:val="single" w:color="FF0000" w:sz="18" w:space="6"/>
        <w:left w:val="single" w:color="FF0000" w:sz="18" w:space="6"/>
        <w:bottom w:val="single" w:color="FF0000" w:sz="18" w:space="6"/>
        <w:right w:val="single" w:color="FF0000" w:sz="18" w:space="6"/>
      </w:pBdr>
      <w:spacing w:before="240" w:after="240"/>
      <w:contextualSpacing/>
      <w:jc w:val="center"/>
    </w:pPr>
  </w:style>
  <w:style w:type="table" w:styleId="TopandsideheadingsTeThuhu" w:customStyle="1">
    <w:name w:val="Top and side headings Te Tāhuhu"/>
    <w:basedOn w:val="MainTeThuhu"/>
    <w:uiPriority w:val="99"/>
    <w:rsid w:val="00081AC6"/>
    <w:tblPr/>
    <w:tblStylePr w:type="firstRow">
      <w:pPr>
        <w:wordWrap/>
        <w:spacing w:before="100" w:beforeLines="0" w:beforeAutospacing="0" w:after="40" w:afterLines="0" w:afterAutospacing="0" w:line="276" w:lineRule="auto"/>
        <w:contextualSpacing w:val="0"/>
        <w:mirrorIndents/>
      </w:pPr>
      <w:tblPr/>
      <w:trPr>
        <w:tblHeader/>
      </w:trPr>
      <w:tcPr>
        <w:tcBorders>
          <w:top w:val="nil"/>
          <w:left w:val="nil"/>
          <w:bottom w:val="nil"/>
          <w:right w:val="nil"/>
          <w:insideH w:val="nil"/>
          <w:insideV w:val="single" w:color="FFFFFF" w:themeColor="background1" w:sz="6" w:space="0"/>
          <w:tl2br w:val="nil"/>
          <w:tr2bl w:val="nil"/>
        </w:tcBorders>
        <w:shd w:val="clear" w:color="auto" w:fill="4C1F41"/>
      </w:tcPr>
    </w:tblStylePr>
    <w:tblStylePr w:type="firstCol">
      <w:tblPr/>
      <w:tcPr>
        <w:tcBorders>
          <w:top w:val="nil"/>
          <w:left w:val="nil"/>
          <w:bottom w:val="single" w:color="4C1F41" w:sz="8" w:space="0"/>
          <w:right w:val="single" w:color="FFFFFF" w:themeColor="background1" w:sz="6" w:space="0"/>
          <w:insideH w:val="single" w:color="FFFFFF" w:themeColor="background1" w:sz="4" w:space="0"/>
          <w:insideV w:val="single" w:color="FFFFFF" w:themeColor="background1" w:sz="4" w:space="0"/>
          <w:tl2br w:val="nil"/>
          <w:tr2bl w:val="nil"/>
        </w:tcBorders>
        <w:shd w:val="clear" w:color="auto" w:fill="D9D9D9" w:themeFill="background1" w:themeFillShade="D9"/>
      </w:tcPr>
    </w:tblStylePr>
  </w:style>
  <w:style w:type="paragraph" w:styleId="Appendix" w:customStyle="1">
    <w:name w:val="Appendix"/>
    <w:basedOn w:val="Heading1"/>
    <w:next w:val="Normal"/>
    <w:uiPriority w:val="4"/>
    <w:qFormat/>
    <w:rsid w:val="00924A08"/>
    <w:pPr>
      <w:pageBreakBefore/>
      <w:numPr>
        <w:ilvl w:val="0"/>
        <w:numId w:val="3"/>
      </w:numPr>
    </w:pPr>
  </w:style>
  <w:style w:type="paragraph" w:styleId="Notforcontentsheading2" w:customStyle="1">
    <w:name w:val="Not for contents heading 2"/>
    <w:basedOn w:val="Notforcontentsheading1"/>
    <w:next w:val="Normal"/>
    <w:uiPriority w:val="3"/>
    <w:qFormat/>
    <w:rsid w:val="008142A3"/>
    <w:rPr>
      <w:kern w:val="28"/>
      <w:sz w:val="36"/>
      <w:szCs w:val="56"/>
    </w:rPr>
  </w:style>
  <w:style w:type="table" w:styleId="MainTeThuhu" w:customStyle="1">
    <w:name w:val="Main Te Tāhuhu"/>
    <w:basedOn w:val="TableNormal"/>
    <w:uiPriority w:val="99"/>
    <w:rsid w:val="00A06E77"/>
    <w:pPr>
      <w:spacing w:before="40" w:after="40"/>
    </w:pPr>
    <w:rPr>
      <w:sz w:val="22"/>
    </w:rPr>
    <w:tblPr>
      <w:tblBorders>
        <w:bottom w:val="single" w:color="4C1F41" w:sz="8" w:space="0"/>
        <w:insideH w:val="single" w:color="BFBFBF" w:themeColor="background1" w:themeShade="BF" w:sz="6" w:space="0"/>
        <w:insideV w:val="single" w:color="BFBFBF" w:themeColor="background1" w:themeShade="BF" w:sz="6" w:space="0"/>
      </w:tblBorders>
    </w:tblPr>
    <w:trPr>
      <w:cantSplit/>
    </w:trPr>
    <w:tblStylePr w:type="firstRow">
      <w:pPr>
        <w:wordWrap/>
        <w:spacing w:before="100" w:beforeLines="0" w:beforeAutospacing="0" w:after="40" w:afterLines="0" w:afterAutospacing="0" w:line="276" w:lineRule="auto"/>
        <w:contextualSpacing w:val="0"/>
        <w:mirrorIndents/>
      </w:pPr>
      <w:tblPr/>
      <w:trPr>
        <w:tblHeader/>
      </w:trPr>
      <w:tcPr>
        <w:tcBorders>
          <w:top w:val="nil"/>
          <w:left w:val="nil"/>
          <w:bottom w:val="nil"/>
          <w:right w:val="nil"/>
          <w:insideH w:val="nil"/>
          <w:insideV w:val="single" w:color="FFFFFF" w:themeColor="background1" w:sz="6" w:space="0"/>
          <w:tl2br w:val="nil"/>
          <w:tr2bl w:val="nil"/>
        </w:tcBorders>
        <w:shd w:val="clear" w:color="auto" w:fill="4C1F41"/>
      </w:tcPr>
    </w:tblStylePr>
  </w:style>
  <w:style w:type="paragraph" w:styleId="ListNumber3">
    <w:name w:val="List Number 3"/>
    <w:basedOn w:val="Normal"/>
    <w:uiPriority w:val="99"/>
    <w:semiHidden/>
    <w:rsid w:val="00FD6F2B"/>
    <w:pPr>
      <w:numPr>
        <w:ilvl w:val="2"/>
        <w:numId w:val="1"/>
      </w:numPr>
    </w:pPr>
  </w:style>
  <w:style w:type="paragraph" w:styleId="ListBullet3">
    <w:name w:val="List Bullet 3"/>
    <w:basedOn w:val="ListBullet2"/>
    <w:uiPriority w:val="99"/>
    <w:semiHidden/>
    <w:rsid w:val="003A4897"/>
    <w:pPr>
      <w:numPr>
        <w:ilvl w:val="2"/>
      </w:numPr>
    </w:pPr>
  </w:style>
  <w:style w:type="character" w:styleId="Heading5Char" w:customStyle="1">
    <w:name w:val="Heading 5 Char"/>
    <w:basedOn w:val="DefaultParagraphFont"/>
    <w:link w:val="Heading5"/>
    <w:uiPriority w:val="9"/>
    <w:semiHidden/>
    <w:rsid w:val="00056E55"/>
    <w:rPr>
      <w:rFonts w:asciiTheme="majorHAnsi" w:hAnsiTheme="majorHAnsi" w:eastAsiaTheme="majorEastAsia" w:cstheme="majorBidi"/>
      <w:color w:val="13433D" w:themeColor="accent1" w:themeShade="BF"/>
    </w:rPr>
  </w:style>
  <w:style w:type="character" w:styleId="Heading6Char" w:customStyle="1">
    <w:name w:val="Heading 6 Char"/>
    <w:basedOn w:val="DefaultParagraphFont"/>
    <w:link w:val="Heading6"/>
    <w:uiPriority w:val="9"/>
    <w:semiHidden/>
    <w:rsid w:val="00056E55"/>
    <w:rPr>
      <w:rFonts w:asciiTheme="majorHAnsi" w:hAnsiTheme="majorHAnsi" w:eastAsiaTheme="majorEastAsia" w:cstheme="majorBidi"/>
      <w:color w:val="0D2D28" w:themeColor="accent1" w:themeShade="7F"/>
    </w:rPr>
  </w:style>
  <w:style w:type="character" w:styleId="Heading7Char" w:customStyle="1">
    <w:name w:val="Heading 7 Char"/>
    <w:basedOn w:val="DefaultParagraphFont"/>
    <w:link w:val="Heading7"/>
    <w:uiPriority w:val="9"/>
    <w:semiHidden/>
    <w:rsid w:val="00056E55"/>
    <w:rPr>
      <w:rFonts w:asciiTheme="majorHAnsi" w:hAnsiTheme="majorHAnsi" w:eastAsiaTheme="majorEastAsia" w:cstheme="majorBidi"/>
      <w:i/>
      <w:iCs/>
      <w:color w:val="0D2D28" w:themeColor="accent1" w:themeShade="7F"/>
    </w:rPr>
  </w:style>
  <w:style w:type="character" w:styleId="Heading8Char" w:customStyle="1">
    <w:name w:val="Heading 8 Char"/>
    <w:basedOn w:val="DefaultParagraphFont"/>
    <w:link w:val="Heading8"/>
    <w:uiPriority w:val="9"/>
    <w:semiHidden/>
    <w:rsid w:val="00056E55"/>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056E55"/>
    <w:rPr>
      <w:rFonts w:asciiTheme="majorHAnsi" w:hAnsiTheme="majorHAnsi" w:eastAsiaTheme="majorEastAsia" w:cstheme="majorBidi"/>
      <w:i/>
      <w:iCs/>
      <w:color w:val="272727" w:themeColor="text1" w:themeTint="D8"/>
      <w:sz w:val="21"/>
      <w:szCs w:val="21"/>
    </w:rPr>
  </w:style>
  <w:style w:type="character" w:styleId="Strong">
    <w:name w:val="Strong"/>
    <w:uiPriority w:val="22"/>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056E55"/>
    <w:pPr>
      <w:pBdr>
        <w:top w:val="single" w:color="1A5B53" w:themeColor="accent1" w:sz="4" w:space="10"/>
        <w:bottom w:val="single" w:color="1A5B53" w:themeColor="accent1" w:sz="4" w:space="10"/>
      </w:pBdr>
      <w:spacing w:before="360" w:after="360"/>
      <w:ind w:left="864" w:right="864"/>
      <w:jc w:val="center"/>
    </w:pPr>
    <w:rPr>
      <w:i/>
      <w:iCs/>
      <w:color w:val="1A5B53" w:themeColor="accent1"/>
    </w:rPr>
  </w:style>
  <w:style w:type="character" w:styleId="IntenseQuoteChar" w:customStyle="1">
    <w:name w:val="Intense Quote Char"/>
    <w:basedOn w:val="DefaultParagraphFont"/>
    <w:link w:val="IntenseQuote"/>
    <w:uiPriority w:val="30"/>
    <w:semiHidden/>
    <w:rsid w:val="00056E55"/>
    <w:rPr>
      <w:i/>
      <w:iCs/>
      <w:color w:val="1A5B53" w:themeColor="accent1"/>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056E55"/>
    <w:rPr>
      <w:i/>
      <w:iCs/>
      <w:color w:val="1A5B53" w:themeColor="accent1"/>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1A5B53" w:themeColor="accent1"/>
      <w:spacing w:val="5"/>
    </w:rPr>
  </w:style>
  <w:style w:type="character" w:styleId="BookTitle">
    <w:name w:val="Book Title"/>
    <w:uiPriority w:val="33"/>
    <w:semiHidden/>
    <w:qFormat/>
    <w:rsid w:val="00056E55"/>
    <w:rPr>
      <w:b/>
      <w:bCs/>
      <w:i/>
      <w:iCs/>
      <w:spacing w:val="5"/>
    </w:rPr>
  </w:style>
  <w:style w:type="paragraph" w:styleId="TOCHeading">
    <w:name w:val="TOC Heading"/>
    <w:aliases w:val="Design- TOC Heading"/>
    <w:basedOn w:val="Heading1"/>
    <w:next w:val="Normal"/>
    <w:uiPriority w:val="39"/>
    <w:unhideWhenUsed/>
    <w:qFormat/>
    <w:rsid w:val="00056E55"/>
    <w:pPr>
      <w:spacing w:before="240"/>
      <w:outlineLvl w:val="9"/>
    </w:pPr>
    <w:rPr>
      <w:rFonts w:asciiTheme="majorHAnsi" w:hAnsiTheme="majorHAnsi"/>
      <w:b w:val="0"/>
      <w:color w:val="13433D" w:themeColor="accent1" w:themeShade="BF"/>
      <w:sz w:val="32"/>
    </w:rPr>
  </w:style>
  <w:style w:type="table" w:styleId="TableGridLight">
    <w:name w:val="Grid Table Light"/>
    <w:basedOn w:val="TableNormal"/>
    <w:uiPriority w:val="40"/>
    <w:rsid w:val="003435A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Style1" w:customStyle="1">
    <w:name w:val="Style1"/>
    <w:basedOn w:val="TableNormal"/>
    <w:uiPriority w:val="99"/>
    <w:rsid w:val="003A0F19"/>
    <w:pPr>
      <w:spacing w:before="40" w:after="40"/>
    </w:pPr>
    <w:rPr>
      <w:sz w:val="22"/>
    </w:rPr>
    <w:tblPr>
      <w:tblBorders>
        <w:top w:val="single" w:color="4C1F41" w:sz="6" w:space="0"/>
        <w:bottom w:val="single" w:color="4C1F41" w:sz="6" w:space="0"/>
        <w:insideH w:val="single" w:color="BFBFBF" w:themeColor="background1" w:themeShade="BF" w:sz="6" w:space="0"/>
        <w:insideV w:val="single" w:color="BFBFBF" w:themeColor="background1" w:themeShade="BF" w:sz="6" w:space="0"/>
      </w:tblBorders>
    </w:tblPr>
    <w:tblStylePr w:type="firstCol">
      <w:tblPr/>
      <w:tcPr>
        <w:shd w:val="clear" w:color="auto" w:fill="4C1F41"/>
      </w:tcPr>
    </w:tblStylePr>
  </w:style>
  <w:style w:type="paragraph" w:styleId="FootnoteText">
    <w:name w:val="footnote text"/>
    <w:basedOn w:val="Normal"/>
    <w:link w:val="FootnoteTextChar"/>
    <w:uiPriority w:val="99"/>
    <w:semiHidden/>
    <w:rsid w:val="00517ABE"/>
    <w:pPr>
      <w:spacing w:before="0" w:after="0" w:line="240" w:lineRule="auto"/>
    </w:pPr>
    <w:rPr>
      <w:rFonts w:asciiTheme="minorHAnsi" w:hAnsiTheme="minorHAnsi" w:eastAsiaTheme="minorEastAsia"/>
      <w:sz w:val="20"/>
      <w:szCs w:val="20"/>
      <w:lang w:val="en-US"/>
    </w:rPr>
  </w:style>
  <w:style w:type="character" w:styleId="FootnoteTextChar" w:customStyle="1">
    <w:name w:val="Footnote Text Char"/>
    <w:basedOn w:val="DefaultParagraphFont"/>
    <w:link w:val="FootnoteText"/>
    <w:uiPriority w:val="99"/>
    <w:semiHidden/>
    <w:rsid w:val="001219C9"/>
    <w:rPr>
      <w:rFonts w:asciiTheme="minorHAnsi" w:hAnsiTheme="minorHAnsi" w:eastAsiaTheme="minorEastAsia"/>
      <w:sz w:val="20"/>
      <w:szCs w:val="20"/>
      <w:lang w:val="en-US"/>
    </w:rPr>
  </w:style>
  <w:style w:type="table" w:styleId="MediumShading2-Accent5">
    <w:name w:val="Medium Shading 2 Accent 5"/>
    <w:basedOn w:val="TableNormal"/>
    <w:uiPriority w:val="64"/>
    <w:rsid w:val="00517ABE"/>
    <w:pPr>
      <w:spacing w:before="0" w:after="0" w:line="240" w:lineRule="auto"/>
    </w:pPr>
    <w:rPr>
      <w:rFonts w:asciiTheme="minorHAnsi" w:hAnsiTheme="minorHAnsi" w:eastAsiaTheme="minorEastAsia" w:cstheme="minorBidi"/>
      <w:sz w:val="22"/>
      <w:szCs w:val="22"/>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43671"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43671" w:themeFill="accent5"/>
      </w:tcPr>
    </w:tblStylePr>
    <w:tblStylePr w:type="lastCol">
      <w:rPr>
        <w:b/>
        <w:bCs/>
        <w:color w:val="FFFFFF" w:themeColor="background1"/>
      </w:rPr>
      <w:tblPr/>
      <w:tcPr>
        <w:tcBorders>
          <w:left w:val="nil"/>
          <w:right w:val="nil"/>
          <w:insideH w:val="nil"/>
          <w:insideV w:val="nil"/>
        </w:tcBorders>
        <w:shd w:val="clear" w:color="auto" w:fill="84367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Numheadinglvl1" w:customStyle="1">
    <w:name w:val="Num heading lvl 1"/>
    <w:basedOn w:val="Heading1"/>
    <w:next w:val="Normal"/>
    <w:uiPriority w:val="5"/>
    <w:qFormat/>
    <w:rsid w:val="0021082E"/>
    <w:pPr>
      <w:numPr>
        <w:ilvl w:val="0"/>
        <w:numId w:val="5"/>
      </w:numPr>
    </w:pPr>
  </w:style>
  <w:style w:type="paragraph" w:styleId="Numheadinglvl2" w:customStyle="1">
    <w:name w:val="Num heading lvl 2"/>
    <w:basedOn w:val="Heading2"/>
    <w:next w:val="Normal"/>
    <w:uiPriority w:val="5"/>
    <w:qFormat/>
    <w:rsid w:val="006F5CCF"/>
    <w:pPr>
      <w:numPr>
        <w:ilvl w:val="1"/>
        <w:numId w:val="5"/>
      </w:numPr>
    </w:pPr>
  </w:style>
  <w:style w:type="paragraph" w:styleId="Numheadinglvl3" w:customStyle="1">
    <w:name w:val="Num heading lvl 3"/>
    <w:basedOn w:val="Heading3"/>
    <w:next w:val="Normal"/>
    <w:uiPriority w:val="5"/>
    <w:qFormat/>
    <w:rsid w:val="006F5CCF"/>
    <w:pPr>
      <w:numPr>
        <w:ilvl w:val="2"/>
        <w:numId w:val="5"/>
      </w:numPr>
    </w:pPr>
  </w:style>
  <w:style w:type="paragraph" w:styleId="Numheadinglvl4" w:customStyle="1">
    <w:name w:val="Num heading lvl 4"/>
    <w:basedOn w:val="Heading4"/>
    <w:next w:val="Normal"/>
    <w:uiPriority w:val="5"/>
    <w:qFormat/>
    <w:rsid w:val="006F5CCF"/>
    <w:pPr>
      <w:numPr>
        <w:ilvl w:val="3"/>
        <w:numId w:val="5"/>
      </w:numPr>
    </w:pPr>
  </w:style>
  <w:style w:type="paragraph" w:styleId="ListParagraph">
    <w:name w:val="List Paragraph"/>
    <w:basedOn w:val="Normal"/>
    <w:uiPriority w:val="34"/>
    <w:semiHidden/>
    <w:rsid w:val="00C45BD4"/>
    <w:pPr>
      <w:ind w:left="720"/>
      <w:contextualSpacing/>
    </w:pPr>
  </w:style>
  <w:style w:type="character" w:styleId="Educationlink" w:customStyle="1">
    <w:name w:val="Education link"/>
    <w:basedOn w:val="DefaultParagraphFont"/>
    <w:uiPriority w:val="1"/>
    <w:semiHidden/>
    <w:qFormat/>
    <w:rsid w:val="00BF7EA4"/>
    <w:rPr>
      <w:rFonts w:ascii="Tenorite" w:hAnsi="Tenorite"/>
      <w:b/>
      <w:i/>
      <w:color w:val="4C1F41"/>
      <w:sz w:val="26"/>
    </w:rPr>
  </w:style>
  <w:style w:type="paragraph" w:styleId="TOC4">
    <w:name w:val="toc 4"/>
    <w:basedOn w:val="Normal"/>
    <w:next w:val="Normal"/>
    <w:autoRedefine/>
    <w:uiPriority w:val="39"/>
    <w:rsid w:val="00CB13DA"/>
    <w:pPr>
      <w:spacing w:after="100"/>
      <w:ind w:left="720"/>
    </w:pPr>
  </w:style>
  <w:style w:type="paragraph" w:styleId="Tablebullet" w:customStyle="1">
    <w:name w:val="Table bullet"/>
    <w:basedOn w:val="NoSpacing"/>
    <w:uiPriority w:val="3"/>
    <w:qFormat/>
    <w:rsid w:val="00D70699"/>
    <w:pPr>
      <w:numPr>
        <w:numId w:val="6"/>
      </w:numPr>
      <w:spacing w:before="40" w:after="40" w:line="276" w:lineRule="auto"/>
    </w:pPr>
    <w:rPr>
      <w:noProof/>
      <w:sz w:val="22"/>
      <w:lang w:eastAsia="en-NZ"/>
    </w:rPr>
  </w:style>
  <w:style w:type="paragraph" w:styleId="Tablebullet2" w:customStyle="1">
    <w:name w:val="Table bullet 2"/>
    <w:basedOn w:val="Tablebullet"/>
    <w:uiPriority w:val="3"/>
    <w:qFormat/>
    <w:rsid w:val="00D70699"/>
    <w:pPr>
      <w:numPr>
        <w:ilvl w:val="1"/>
      </w:numPr>
    </w:pPr>
  </w:style>
  <w:style w:type="paragraph" w:styleId="Tablenumber" w:customStyle="1">
    <w:name w:val="Table number"/>
    <w:basedOn w:val="Tablebullet"/>
    <w:uiPriority w:val="3"/>
    <w:qFormat/>
    <w:rsid w:val="00D70699"/>
    <w:pPr>
      <w:numPr>
        <w:numId w:val="7"/>
      </w:numPr>
    </w:pPr>
  </w:style>
  <w:style w:type="paragraph" w:styleId="Tablenumber2" w:customStyle="1">
    <w:name w:val="Table number 2"/>
    <w:basedOn w:val="Tablenumber"/>
    <w:uiPriority w:val="3"/>
    <w:qFormat/>
    <w:rsid w:val="00D70699"/>
    <w:pPr>
      <w:numPr>
        <w:ilvl w:val="1"/>
      </w:numPr>
    </w:pPr>
  </w:style>
  <w:style w:type="paragraph" w:styleId="Table" w:customStyle="1">
    <w:name w:val="Table"/>
    <w:basedOn w:val="Normal"/>
    <w:uiPriority w:val="3"/>
    <w:qFormat/>
    <w:rsid w:val="00932522"/>
    <w:pPr>
      <w:spacing w:before="40" w:after="40"/>
    </w:pPr>
    <w:rPr>
      <w:sz w:val="22"/>
    </w:rPr>
  </w:style>
  <w:style w:type="paragraph" w:styleId="CaptionFigure" w:customStyle="1">
    <w:name w:val="Caption Figure"/>
    <w:basedOn w:val="Caption"/>
    <w:qFormat/>
    <w:rsid w:val="004F336F"/>
    <w:pPr>
      <w:pBdr>
        <w:bottom w:val="single" w:color="auto" w:sz="4" w:space="3"/>
      </w:pBdr>
    </w:pPr>
  </w:style>
  <w:style w:type="paragraph" w:styleId="Figurebaseline" w:customStyle="1">
    <w:name w:val="Figure baseline"/>
    <w:basedOn w:val="Normal"/>
    <w:qFormat/>
    <w:rsid w:val="004F336F"/>
    <w:pPr>
      <w:pBdr>
        <w:top w:val="single" w:color="auto" w:sz="4" w:space="1"/>
      </w:pBdr>
    </w:pPr>
  </w:style>
  <w:style w:type="paragraph" w:styleId="MoEBulletedList" w:customStyle="1">
    <w:name w:val="MoE: Bulleted List"/>
    <w:basedOn w:val="BodyText"/>
    <w:link w:val="MoEBulletedListChar"/>
    <w:qFormat/>
    <w:rsid w:val="00E305E4"/>
    <w:pPr>
      <w:numPr>
        <w:numId w:val="8"/>
      </w:numPr>
      <w:spacing w:before="0" w:after="0" w:line="240" w:lineRule="auto"/>
      <w:contextualSpacing/>
    </w:pPr>
    <w:rPr>
      <w:rFonts w:cstheme="minorBidi"/>
      <w:sz w:val="20"/>
      <w:szCs w:val="22"/>
    </w:rPr>
  </w:style>
  <w:style w:type="character" w:styleId="MoEBulletedListChar" w:customStyle="1">
    <w:name w:val="MoE: Bulleted List Char"/>
    <w:link w:val="MoEBulletedList"/>
    <w:rsid w:val="00E305E4"/>
    <w:rPr>
      <w:rFonts w:cstheme="minorBidi"/>
      <w:sz w:val="20"/>
      <w:szCs w:val="22"/>
    </w:rPr>
  </w:style>
  <w:style w:type="numbering" w:styleId="Bullets" w:customStyle="1">
    <w:name w:val="Bullets"/>
    <w:basedOn w:val="NoList"/>
    <w:uiPriority w:val="99"/>
    <w:rsid w:val="00E305E4"/>
    <w:pPr>
      <w:numPr>
        <w:numId w:val="8"/>
      </w:numPr>
    </w:pPr>
  </w:style>
  <w:style w:type="paragraph" w:styleId="BodyText">
    <w:name w:val="Body Text"/>
    <w:aliases w:val="MoE: Body Text"/>
    <w:basedOn w:val="Normal"/>
    <w:link w:val="BodyTextChar"/>
    <w:unhideWhenUsed/>
    <w:qFormat/>
    <w:rsid w:val="00E305E4"/>
  </w:style>
  <w:style w:type="character" w:styleId="BodyTextChar" w:customStyle="1">
    <w:name w:val="Body Text Char"/>
    <w:aliases w:val="MoE: Body Text Char"/>
    <w:basedOn w:val="DefaultParagraphFont"/>
    <w:link w:val="BodyText"/>
    <w:rsid w:val="00E305E4"/>
  </w:style>
  <w:style w:type="paragraph" w:styleId="ChartCellBar" w:customStyle="1">
    <w:name w:val="Chart Cell Bar"/>
    <w:basedOn w:val="Normal"/>
    <w:semiHidden/>
    <w:rsid w:val="00EA508E"/>
    <w:pPr>
      <w:pBdr>
        <w:top w:val="single" w:color="87785F" w:sz="4" w:space="1"/>
        <w:left w:val="single" w:color="87785F" w:sz="4" w:space="4"/>
        <w:bottom w:val="single" w:color="87785F" w:sz="4" w:space="1"/>
        <w:right w:val="single" w:color="87785F" w:sz="4" w:space="4"/>
      </w:pBdr>
      <w:shd w:val="clear" w:color="auto" w:fill="87785F"/>
      <w:spacing w:before="0" w:after="0" w:line="240" w:lineRule="atLeast"/>
    </w:pPr>
    <w:rPr>
      <w:rFonts w:eastAsia="Times New Roman" w:cstheme="minorBidi"/>
      <w:sz w:val="2"/>
      <w:szCs w:val="20"/>
      <w:lang w:val="en-US"/>
    </w:rPr>
  </w:style>
  <w:style w:type="character" w:styleId="UnresolvedMention">
    <w:name w:val="Unresolved Mention"/>
    <w:basedOn w:val="DefaultParagraphFont"/>
    <w:uiPriority w:val="99"/>
    <w:semiHidden/>
    <w:unhideWhenUsed/>
    <w:rsid w:val="00614F6B"/>
    <w:rPr>
      <w:color w:val="605E5C"/>
      <w:shd w:val="clear" w:color="auto" w:fill="E1DFDD"/>
    </w:rPr>
  </w:style>
  <w:style w:type="character" w:styleId="CommentReference">
    <w:name w:val="annotation reference"/>
    <w:basedOn w:val="DefaultParagraphFont"/>
    <w:uiPriority w:val="99"/>
    <w:semiHidden/>
    <w:unhideWhenUsed/>
    <w:rsid w:val="00614F6B"/>
    <w:rPr>
      <w:sz w:val="16"/>
      <w:szCs w:val="16"/>
    </w:rPr>
  </w:style>
  <w:style w:type="paragraph" w:styleId="CommentText">
    <w:name w:val="annotation text"/>
    <w:basedOn w:val="Normal"/>
    <w:link w:val="CommentTextChar"/>
    <w:uiPriority w:val="99"/>
    <w:unhideWhenUsed/>
    <w:rsid w:val="00614F6B"/>
    <w:pPr>
      <w:spacing w:line="240" w:lineRule="auto"/>
    </w:pPr>
    <w:rPr>
      <w:sz w:val="20"/>
      <w:szCs w:val="20"/>
    </w:rPr>
  </w:style>
  <w:style w:type="character" w:styleId="CommentTextChar" w:customStyle="1">
    <w:name w:val="Comment Text Char"/>
    <w:basedOn w:val="DefaultParagraphFont"/>
    <w:link w:val="CommentText"/>
    <w:uiPriority w:val="99"/>
    <w:rsid w:val="00614F6B"/>
    <w:rPr>
      <w:sz w:val="20"/>
      <w:szCs w:val="20"/>
    </w:rPr>
  </w:style>
  <w:style w:type="paragraph" w:styleId="CommentSubject">
    <w:name w:val="annotation subject"/>
    <w:basedOn w:val="CommentText"/>
    <w:next w:val="CommentText"/>
    <w:link w:val="CommentSubjectChar"/>
    <w:uiPriority w:val="99"/>
    <w:semiHidden/>
    <w:unhideWhenUsed/>
    <w:rsid w:val="00614F6B"/>
    <w:rPr>
      <w:b/>
      <w:bCs/>
    </w:rPr>
  </w:style>
  <w:style w:type="character" w:styleId="CommentSubjectChar" w:customStyle="1">
    <w:name w:val="Comment Subject Char"/>
    <w:basedOn w:val="CommentTextChar"/>
    <w:link w:val="CommentSubject"/>
    <w:uiPriority w:val="99"/>
    <w:semiHidden/>
    <w:rsid w:val="00614F6B"/>
    <w:rPr>
      <w:b/>
      <w:bCs/>
      <w:sz w:val="20"/>
      <w:szCs w:val="20"/>
    </w:rPr>
  </w:style>
  <w:style w:type="paragraph" w:styleId="TableHeader-ColumnWhite" w:customStyle="1">
    <w:name w:val="Table Header - Column (White)"/>
    <w:basedOn w:val="Normal"/>
    <w:link w:val="TableHeader-ColumnWhiteChar"/>
    <w:uiPriority w:val="7"/>
    <w:rsid w:val="00027FA3"/>
    <w:pPr>
      <w:spacing w:before="80" w:after="80" w:line="256" w:lineRule="auto"/>
      <w:jc w:val="both"/>
    </w:pPr>
    <w:rPr>
      <w:rFonts w:eastAsia="Arial" w:asciiTheme="minorHAnsi" w:hAnsiTheme="minorHAnsi"/>
      <w:b/>
      <w:bCs/>
      <w:color w:val="FFFFFF" w:themeColor="background1"/>
      <w:sz w:val="22"/>
    </w:rPr>
  </w:style>
  <w:style w:type="character" w:styleId="TableHeader-ColumnWhiteChar" w:customStyle="1">
    <w:name w:val="Table Header - Column (White) Char"/>
    <w:basedOn w:val="DefaultParagraphFont"/>
    <w:link w:val="TableHeader-ColumnWhite"/>
    <w:uiPriority w:val="7"/>
    <w:rsid w:val="00027FA3"/>
    <w:rPr>
      <w:rFonts w:eastAsia="Arial" w:asciiTheme="minorHAnsi" w:hAnsiTheme="minorHAnsi"/>
      <w:b/>
      <w:bCs/>
      <w:color w:val="FFFFFF" w:themeColor="background1"/>
      <w:sz w:val="22"/>
    </w:rPr>
  </w:style>
  <w:style w:type="table" w:styleId="ACTableOption1Default" w:customStyle="1">
    <w:name w:val="A+C Table Option 1 (Default)"/>
    <w:basedOn w:val="TableNormal"/>
    <w:uiPriority w:val="99"/>
    <w:rsid w:val="00027FA3"/>
    <w:pPr>
      <w:spacing w:before="60" w:after="60" w:line="240" w:lineRule="auto"/>
    </w:pPr>
    <w:rPr>
      <w:rFonts w:asciiTheme="minorHAnsi" w:hAnsiTheme="minorHAnsi" w:cstheme="minorBidi"/>
      <w:sz w:val="21"/>
      <w:szCs w:val="20"/>
      <w:lang w:val="en-US"/>
    </w:rPr>
    <w:tblPr>
      <w:tblStyleRowBandSize w:val="1"/>
      <w:tblStyleColBandSize w:val="1"/>
      <w:tblBorders>
        <w:top w:val="single" w:color="5BCEC0" w:themeColor="accent2" w:sz="2" w:space="0"/>
        <w:left w:val="single" w:color="5BCEC0" w:themeColor="accent2" w:sz="2" w:space="0"/>
        <w:bottom w:val="single" w:color="5BCEC0" w:themeColor="accent2" w:sz="2" w:space="0"/>
        <w:right w:val="single" w:color="5BCEC0" w:themeColor="accent2" w:sz="2" w:space="0"/>
        <w:insideH w:val="single" w:color="5BCEC0" w:themeColor="accent2" w:sz="2" w:space="0"/>
        <w:insideV w:val="single" w:color="5BCEC0" w:themeColor="accent2" w:sz="2" w:space="0"/>
      </w:tblBorders>
    </w:tblPr>
    <w:trPr>
      <w:cantSplit/>
    </w:trPr>
    <w:tcPr>
      <w:vAlign w:val="center"/>
    </w:tcPr>
    <w:tblStylePr w:type="firstRow">
      <w:pPr>
        <w:wordWrap/>
        <w:spacing w:before="120" w:beforeLines="0" w:beforeAutospacing="0" w:after="120" w:afterLines="0" w:afterAutospacing="0"/>
        <w:jc w:val="left"/>
      </w:pPr>
      <w:rPr>
        <w:rFonts w:ascii="Arial" w:hAnsi="Arial"/>
        <w:b/>
        <w:color w:val="FFFFFF" w:themeColor="background1"/>
        <w:sz w:val="21"/>
      </w:rPr>
      <w:tblPr/>
      <w:trPr>
        <w:tblHeader/>
      </w:trPr>
      <w:tcPr>
        <w:shd w:val="clear" w:color="auto" w:fill="0072DA" w:themeFill="accent3"/>
      </w:tcPr>
    </w:tblStylePr>
    <w:tblStylePr w:type="lastRow">
      <w:rPr>
        <w:rFonts w:ascii="Arial" w:hAnsi="Arial"/>
        <w:sz w:val="21"/>
      </w:rPr>
    </w:tblStylePr>
    <w:tblStylePr w:type="firstCol">
      <w:rPr>
        <w:rFonts w:ascii="Arial" w:hAnsi="Arial"/>
        <w:sz w:val="21"/>
      </w:rPr>
    </w:tblStylePr>
    <w:tblStylePr w:type="lastCol">
      <w:rPr>
        <w:rFonts w:ascii="Arial" w:hAnsi="Arial"/>
        <w:sz w:val="21"/>
      </w:rPr>
    </w:tblStylePr>
    <w:tblStylePr w:type="band1Vert">
      <w:rPr>
        <w:rFonts w:ascii="Arial" w:hAnsi="Arial"/>
        <w:sz w:val="21"/>
      </w:rPr>
    </w:tblStylePr>
    <w:tblStylePr w:type="band2Vert">
      <w:rPr>
        <w:rFonts w:ascii="Arial" w:hAnsi="Arial"/>
        <w:sz w:val="21"/>
      </w:rPr>
    </w:tblStylePr>
    <w:tblStylePr w:type="band1Horz">
      <w:rPr>
        <w:rFonts w:ascii="Arial" w:hAnsi="Arial"/>
        <w:sz w:val="21"/>
      </w:rPr>
      <w:tblPr/>
      <w:tcPr>
        <w:shd w:val="clear" w:color="auto" w:fill="FFFFFF" w:themeFill="background1"/>
      </w:tcPr>
    </w:tblStylePr>
    <w:tblStylePr w:type="band2Horz">
      <w:rPr>
        <w:rFonts w:ascii="Arial" w:hAnsi="Arial"/>
        <w:sz w:val="21"/>
      </w:rPr>
      <w:tblPr/>
      <w:tcPr>
        <w:shd w:val="clear" w:color="auto" w:fill="4C1F41" w:themeFill="text2"/>
      </w:tcPr>
    </w:tblStylePr>
  </w:style>
  <w:style w:type="paragraph" w:styleId="Bullet1" w:customStyle="1">
    <w:name w:val="Bullet 1"/>
    <w:basedOn w:val="Normal"/>
    <w:link w:val="Bullet1Char"/>
    <w:uiPriority w:val="99"/>
    <w:qFormat/>
    <w:rsid w:val="001515CA"/>
    <w:pPr>
      <w:numPr>
        <w:numId w:val="10"/>
      </w:numPr>
      <w:jc w:val="both"/>
    </w:pPr>
    <w:rPr>
      <w:rFonts w:asciiTheme="minorHAnsi" w:hAnsiTheme="minorHAnsi" w:cstheme="minorBidi"/>
      <w:sz w:val="22"/>
      <w:szCs w:val="22"/>
    </w:rPr>
  </w:style>
  <w:style w:type="paragraph" w:styleId="Bullet2" w:customStyle="1">
    <w:name w:val="Bullet 2"/>
    <w:basedOn w:val="Bullet1"/>
    <w:uiPriority w:val="3"/>
    <w:qFormat/>
    <w:rsid w:val="001515CA"/>
    <w:pPr>
      <w:numPr>
        <w:ilvl w:val="1"/>
      </w:numPr>
      <w:tabs>
        <w:tab w:val="num" w:pos="360"/>
        <w:tab w:val="num" w:pos="926"/>
      </w:tabs>
      <w:ind w:left="851" w:hanging="360"/>
    </w:pPr>
  </w:style>
  <w:style w:type="paragraph" w:styleId="Bullet4" w:customStyle="1">
    <w:name w:val="Bullet 4"/>
    <w:basedOn w:val="Bullet1"/>
    <w:uiPriority w:val="3"/>
    <w:rsid w:val="001515CA"/>
    <w:pPr>
      <w:numPr>
        <w:ilvl w:val="3"/>
      </w:numPr>
      <w:tabs>
        <w:tab w:val="num" w:pos="360"/>
        <w:tab w:val="num" w:pos="926"/>
      </w:tabs>
      <w:ind w:left="851" w:hanging="360"/>
    </w:pPr>
  </w:style>
  <w:style w:type="character" w:styleId="Bullet1Char" w:customStyle="1">
    <w:name w:val="Bullet 1 Char"/>
    <w:basedOn w:val="DefaultParagraphFont"/>
    <w:link w:val="Bullet1"/>
    <w:uiPriority w:val="99"/>
    <w:rsid w:val="001515CA"/>
    <w:rPr>
      <w:rFonts w:asciiTheme="minorHAnsi" w:hAnsiTheme="minorHAnsi" w:cstheme="minorBidi"/>
      <w:sz w:val="22"/>
      <w:szCs w:val="22"/>
    </w:rPr>
  </w:style>
  <w:style w:type="paragraph" w:styleId="Bullet3" w:customStyle="1">
    <w:name w:val="Bullet 3"/>
    <w:basedOn w:val="Bullet1"/>
    <w:uiPriority w:val="3"/>
    <w:rsid w:val="001515CA"/>
    <w:pPr>
      <w:numPr>
        <w:ilvl w:val="2"/>
      </w:numPr>
      <w:tabs>
        <w:tab w:val="num" w:pos="360"/>
        <w:tab w:val="num" w:pos="926"/>
      </w:tabs>
      <w:ind w:left="926" w:hanging="360"/>
    </w:pPr>
  </w:style>
  <w:style w:type="numbering" w:styleId="BullettedList" w:customStyle="1">
    <w:name w:val="BullettedList"/>
    <w:uiPriority w:val="99"/>
    <w:rsid w:val="001515CA"/>
    <w:pPr>
      <w:numPr>
        <w:numId w:val="9"/>
      </w:numPr>
    </w:pPr>
  </w:style>
  <w:style w:type="paragraph" w:styleId="PlainText">
    <w:name w:val="Plain Text"/>
    <w:basedOn w:val="Normal"/>
    <w:link w:val="PlainTextChar"/>
    <w:uiPriority w:val="99"/>
    <w:unhideWhenUsed/>
    <w:rsid w:val="00CD6CD1"/>
    <w:pPr>
      <w:spacing w:before="0" w:after="0" w:line="240" w:lineRule="auto"/>
    </w:pPr>
    <w:rPr>
      <w:rFonts w:ascii="Consolas" w:hAnsi="Consolas"/>
      <w:sz w:val="21"/>
      <w:szCs w:val="21"/>
    </w:rPr>
  </w:style>
  <w:style w:type="character" w:styleId="PlainTextChar" w:customStyle="1">
    <w:name w:val="Plain Text Char"/>
    <w:basedOn w:val="DefaultParagraphFont"/>
    <w:link w:val="PlainText"/>
    <w:uiPriority w:val="99"/>
    <w:rsid w:val="00CD6CD1"/>
    <w:rPr>
      <w:rFonts w:ascii="Consolas" w:hAnsi="Consolas"/>
      <w:sz w:val="21"/>
      <w:szCs w:val="21"/>
    </w:rPr>
  </w:style>
  <w:style w:type="paragraph" w:styleId="Heading3NotNumbered" w:customStyle="1">
    <w:name w:val="Heading 3 (Not Numbered)"/>
    <w:basedOn w:val="Heading3"/>
    <w:next w:val="Normal"/>
    <w:uiPriority w:val="4"/>
    <w:qFormat/>
    <w:rsid w:val="00291506"/>
    <w:pPr>
      <w:keepLines w:val="0"/>
      <w:numPr>
        <w:ilvl w:val="0"/>
        <w:numId w:val="0"/>
      </w:numPr>
      <w:spacing w:before="0" w:after="240" w:line="240" w:lineRule="auto"/>
    </w:pPr>
    <w:rPr>
      <w:rFonts w:asciiTheme="minorHAnsi" w:hAnsiTheme="minorHAnsi" w:eastAsiaTheme="minorHAnsi" w:cstheme="minorBidi"/>
      <w:i w:val="0"/>
      <w:color w:val="0072DA" w:themeColor="accent3"/>
      <w:kern w:val="28"/>
      <w:sz w:val="32"/>
      <w:szCs w:val="28"/>
    </w:rPr>
  </w:style>
  <w:style w:type="paragraph" w:styleId="Salutation">
    <w:name w:val="Salutation"/>
    <w:basedOn w:val="Normal"/>
    <w:next w:val="Normal"/>
    <w:link w:val="SalutationChar"/>
    <w:uiPriority w:val="99"/>
    <w:unhideWhenUsed/>
    <w:rsid w:val="00291506"/>
  </w:style>
  <w:style w:type="character" w:styleId="SalutationChar" w:customStyle="1">
    <w:name w:val="Salutation Char"/>
    <w:basedOn w:val="DefaultParagraphFont"/>
    <w:link w:val="Salutation"/>
    <w:uiPriority w:val="99"/>
    <w:rsid w:val="00291506"/>
  </w:style>
  <w:style w:type="paragraph" w:styleId="TOC5">
    <w:name w:val="toc 5"/>
    <w:basedOn w:val="Normal"/>
    <w:next w:val="Normal"/>
    <w:autoRedefine/>
    <w:uiPriority w:val="39"/>
    <w:unhideWhenUsed/>
    <w:rsid w:val="006933C1"/>
    <w:pPr>
      <w:spacing w:before="0" w:after="100" w:line="278" w:lineRule="auto"/>
      <w:ind w:left="960"/>
    </w:pPr>
    <w:rPr>
      <w:rFonts w:asciiTheme="minorHAnsi" w:hAnsiTheme="minorHAnsi" w:eastAsiaTheme="minorEastAsia" w:cstheme="minorBidi"/>
      <w:kern w:val="2"/>
      <w:lang w:eastAsia="en-NZ"/>
      <w14:ligatures w14:val="standardContextual"/>
    </w:rPr>
  </w:style>
  <w:style w:type="paragraph" w:styleId="TOC6">
    <w:name w:val="toc 6"/>
    <w:basedOn w:val="Normal"/>
    <w:next w:val="Normal"/>
    <w:autoRedefine/>
    <w:uiPriority w:val="39"/>
    <w:unhideWhenUsed/>
    <w:rsid w:val="006933C1"/>
    <w:pPr>
      <w:spacing w:before="0" w:after="100" w:line="278" w:lineRule="auto"/>
      <w:ind w:left="1200"/>
    </w:pPr>
    <w:rPr>
      <w:rFonts w:asciiTheme="minorHAnsi" w:hAnsiTheme="minorHAnsi" w:eastAsiaTheme="minorEastAsia" w:cstheme="minorBidi"/>
      <w:kern w:val="2"/>
      <w:lang w:eastAsia="en-NZ"/>
      <w14:ligatures w14:val="standardContextual"/>
    </w:rPr>
  </w:style>
  <w:style w:type="paragraph" w:styleId="TOC7">
    <w:name w:val="toc 7"/>
    <w:basedOn w:val="Normal"/>
    <w:next w:val="Normal"/>
    <w:autoRedefine/>
    <w:uiPriority w:val="39"/>
    <w:unhideWhenUsed/>
    <w:rsid w:val="006933C1"/>
    <w:pPr>
      <w:spacing w:before="0" w:after="100" w:line="278" w:lineRule="auto"/>
      <w:ind w:left="1440"/>
    </w:pPr>
    <w:rPr>
      <w:rFonts w:asciiTheme="minorHAnsi" w:hAnsiTheme="minorHAnsi" w:eastAsiaTheme="minorEastAsia" w:cstheme="minorBidi"/>
      <w:kern w:val="2"/>
      <w:lang w:eastAsia="en-NZ"/>
      <w14:ligatures w14:val="standardContextual"/>
    </w:rPr>
  </w:style>
  <w:style w:type="paragraph" w:styleId="TOC8">
    <w:name w:val="toc 8"/>
    <w:basedOn w:val="Normal"/>
    <w:next w:val="Normal"/>
    <w:autoRedefine/>
    <w:uiPriority w:val="39"/>
    <w:unhideWhenUsed/>
    <w:rsid w:val="006933C1"/>
    <w:pPr>
      <w:spacing w:before="0" w:after="100" w:line="278" w:lineRule="auto"/>
      <w:ind w:left="1680"/>
    </w:pPr>
    <w:rPr>
      <w:rFonts w:asciiTheme="minorHAnsi" w:hAnsiTheme="minorHAnsi" w:eastAsiaTheme="minorEastAsia" w:cstheme="minorBidi"/>
      <w:kern w:val="2"/>
      <w:lang w:eastAsia="en-NZ"/>
      <w14:ligatures w14:val="standardContextual"/>
    </w:rPr>
  </w:style>
  <w:style w:type="paragraph" w:styleId="TOC9">
    <w:name w:val="toc 9"/>
    <w:basedOn w:val="Normal"/>
    <w:next w:val="Normal"/>
    <w:autoRedefine/>
    <w:uiPriority w:val="39"/>
    <w:unhideWhenUsed/>
    <w:rsid w:val="006933C1"/>
    <w:pPr>
      <w:spacing w:before="0" w:after="100" w:line="278" w:lineRule="auto"/>
      <w:ind w:left="1920"/>
    </w:pPr>
    <w:rPr>
      <w:rFonts w:asciiTheme="minorHAnsi" w:hAnsiTheme="minorHAnsi" w:eastAsiaTheme="minorEastAsia" w:cstheme="minorBidi"/>
      <w:kern w:val="2"/>
      <w:lang w:eastAsia="en-NZ"/>
      <w14:ligatures w14:val="standardContextual"/>
    </w:rPr>
  </w:style>
  <w:style w:type="paragraph" w:styleId="List">
    <w:name w:val="List"/>
    <w:basedOn w:val="Normal"/>
    <w:uiPriority w:val="99"/>
    <w:unhideWhenUsed/>
    <w:rsid w:val="00861397"/>
    <w:pPr>
      <w:ind w:left="283" w:hanging="283"/>
      <w:contextualSpacing/>
    </w:pPr>
  </w:style>
  <w:style w:type="paragraph" w:styleId="Revision">
    <w:name w:val="Revision"/>
    <w:hidden/>
    <w:uiPriority w:val="99"/>
    <w:semiHidden/>
    <w:rsid w:val="002F61D5"/>
    <w:pPr>
      <w:spacing w:before="0" w:after="0" w:line="240" w:lineRule="auto"/>
    </w:pPr>
  </w:style>
  <w:style w:type="paragraph" w:styleId="NoteHeading">
    <w:name w:val="Note Heading"/>
    <w:basedOn w:val="Normal"/>
    <w:next w:val="Normal"/>
    <w:link w:val="NoteHeadingChar"/>
    <w:uiPriority w:val="99"/>
    <w:unhideWhenUsed/>
    <w:rsid w:val="00FB7663"/>
    <w:pPr>
      <w:spacing w:before="0" w:after="0" w:line="240" w:lineRule="auto"/>
    </w:pPr>
  </w:style>
  <w:style w:type="character" w:styleId="NoteHeadingChar" w:customStyle="1">
    <w:name w:val="Note Heading Char"/>
    <w:basedOn w:val="DefaultParagraphFont"/>
    <w:link w:val="NoteHeading"/>
    <w:uiPriority w:val="99"/>
    <w:rsid w:val="00FB7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340592263">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2058815679">
          <w:marLeft w:val="0"/>
          <w:marRight w:val="0"/>
          <w:marTop w:val="83"/>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13" /><Relationship Type="http://schemas.openxmlformats.org/officeDocument/2006/relationships/chart" Target="charts/chart1.xml" Id="rId18" /><Relationship Type="http://schemas.openxmlformats.org/officeDocument/2006/relationships/chart" Target="charts/chart9.xml" Id="rId26" /><Relationship Type="http://schemas.openxmlformats.org/officeDocument/2006/relationships/chart" Target="charts/chart4.xml" Id="rId21" /><Relationship Type="http://schemas.openxmlformats.org/officeDocument/2006/relationships/image" Target="media/image4.png" Id="rId34"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mailto:tertiary.strategy@education.govt.nz" TargetMode="External" Id="rId17" /><Relationship Type="http://schemas.openxmlformats.org/officeDocument/2006/relationships/chart" Target="charts/chart8.xml" Id="rId25" /><Relationship Type="http://schemas.openxmlformats.org/officeDocument/2006/relationships/footer" Target="footer3.xm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chart" Target="charts/chart3.xml"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hart" Target="charts/chart7.xml" Id="rId24" /><Relationship Type="http://schemas.openxmlformats.org/officeDocument/2006/relationships/header" Target="header3.xml" Id="rId32" /><Relationship Type="http://schemas.openxmlformats.org/officeDocument/2006/relationships/fontTable" Target="fontTable.xml" Id="rId37" /><Relationship Type="http://schemas.openxmlformats.org/officeDocument/2006/relationships/customXml" Target="../customXml/item5.xml" Id="rId5" /><Relationship Type="http://schemas.openxmlformats.org/officeDocument/2006/relationships/hyperlink" Target="http://www.education.govt.nz/" TargetMode="External" Id="rId15" /><Relationship Type="http://schemas.openxmlformats.org/officeDocument/2006/relationships/chart" Target="charts/chart6.xml" Id="rId23" /><Relationship Type="http://schemas.openxmlformats.org/officeDocument/2006/relationships/header" Target="header1.xml" Id="rId28" /><Relationship Type="http://schemas.openxmlformats.org/officeDocument/2006/relationships/footer" Target="footer4.xml" Id="rId36" /><Relationship Type="http://schemas.openxmlformats.org/officeDocument/2006/relationships/webSettings" Target="webSettings.xml" Id="rId10" /><Relationship Type="http://schemas.openxmlformats.org/officeDocument/2006/relationships/chart" Target="charts/chart2.xm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2.svg" Id="rId14" /><Relationship Type="http://schemas.openxmlformats.org/officeDocument/2006/relationships/chart" Target="charts/chart5.xml" Id="rId22" /><Relationship Type="http://schemas.openxmlformats.org/officeDocument/2006/relationships/chart" Target="charts/chart10.xml" Id="rId27" /><Relationship Type="http://schemas.openxmlformats.org/officeDocument/2006/relationships/footer" Target="footer1.xml" Id="rId30" /><Relationship Type="http://schemas.openxmlformats.org/officeDocument/2006/relationships/header" Target="header4.xml" Id="rId35" /><Relationship Type="http://schemas.openxmlformats.org/officeDocument/2006/relationships/styles" Target="styles.xml" Id="rId8" /><Relationship Type="http://schemas.openxmlformats.org/officeDocument/2006/relationships/customXml" Target="../customXml/item3.xml" Id="rId3" /></Relationships>
</file>

<file path=word/_rels/footer2.xml.rels><?xml version="1.0" encoding="UTF-8" standalone="yes"?>
<Relationships xmlns="http://schemas.openxmlformats.org/package/2006/relationships"><Relationship Id="rId1" Type="http://schemas.openxmlformats.org/officeDocument/2006/relationships/hyperlink" Target="https://www.education.govt.nz/"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ggland\AppData\Local\Microsoft\Windows\INetCache\Content.Outlook\W5PDLT1K\Te%20Ta&#772;huhu%20report%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allenandclarke.sharepoint.com/sites/NZ/Work/Ministry%20of%20Education/2025%20Tertiary%20programme%20+%20TES%20support/04%20Deliverables/TES/Summary%20of%20submissions/Graph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Sheet2!$B$2</c:f>
              <c:strCache>
                <c:ptCount val="1"/>
                <c:pt idx="0">
                  <c:v>Number invited (139)</c:v>
                </c:pt>
              </c:strCache>
            </c:strRef>
          </c:tx>
          <c:spPr>
            <a:solidFill>
              <a:schemeClr val="accent1"/>
            </a:solidFill>
            <a:ln>
              <a:noFill/>
            </a:ln>
            <a:effectLst/>
          </c:spPr>
          <c:invertIfNegative val="0"/>
          <c:cat>
            <c:strRef>
              <c:f>Sheet2!$A$3:$A$12</c:f>
              <c:strCache>
                <c:ptCount val="10"/>
                <c:pt idx="0">
                  <c:v>University</c:v>
                </c:pt>
                <c:pt idx="1">
                  <c:v>Te Pūkenga divisions</c:v>
                </c:pt>
                <c:pt idx="2">
                  <c:v>PTEs</c:v>
                </c:pt>
                <c:pt idx="3">
                  <c:v>Wānanga</c:v>
                </c:pt>
                <c:pt idx="4">
                  <c:v>Tertiary sector entity</c:v>
                </c:pt>
                <c:pt idx="5">
                  <c:v>Student associations</c:v>
                </c:pt>
                <c:pt idx="6">
                  <c:v>Educator groups</c:v>
                </c:pt>
                <c:pt idx="7">
                  <c:v>Others</c:v>
                </c:pt>
                <c:pt idx="8">
                  <c:v>Industry</c:v>
                </c:pt>
                <c:pt idx="9">
                  <c:v>Research</c:v>
                </c:pt>
              </c:strCache>
            </c:strRef>
          </c:cat>
          <c:val>
            <c:numRef>
              <c:f>Sheet2!$B$3:$B$12</c:f>
              <c:numCache>
                <c:formatCode>General</c:formatCode>
                <c:ptCount val="10"/>
                <c:pt idx="0">
                  <c:v>14</c:v>
                </c:pt>
                <c:pt idx="1">
                  <c:v>24</c:v>
                </c:pt>
                <c:pt idx="2">
                  <c:v>6</c:v>
                </c:pt>
                <c:pt idx="3">
                  <c:v>3</c:v>
                </c:pt>
                <c:pt idx="4">
                  <c:v>12</c:v>
                </c:pt>
                <c:pt idx="5">
                  <c:v>13</c:v>
                </c:pt>
                <c:pt idx="6">
                  <c:v>8</c:v>
                </c:pt>
                <c:pt idx="7">
                  <c:v>2</c:v>
                </c:pt>
                <c:pt idx="8">
                  <c:v>40</c:v>
                </c:pt>
                <c:pt idx="9">
                  <c:v>17</c:v>
                </c:pt>
              </c:numCache>
            </c:numRef>
          </c:val>
          <c:extLst>
            <c:ext xmlns:c16="http://schemas.microsoft.com/office/drawing/2014/chart" uri="{C3380CC4-5D6E-409C-BE32-E72D297353CC}">
              <c16:uniqueId val="{00000000-AF80-4D89-B469-8DFCF9606110}"/>
            </c:ext>
          </c:extLst>
        </c:ser>
        <c:ser>
          <c:idx val="1"/>
          <c:order val="1"/>
          <c:tx>
            <c:strRef>
              <c:f>Sheet2!$C$2</c:f>
              <c:strCache>
                <c:ptCount val="1"/>
                <c:pt idx="0">
                  <c:v>Responses received (68)</c:v>
                </c:pt>
              </c:strCache>
            </c:strRef>
          </c:tx>
          <c:spPr>
            <a:solidFill>
              <a:schemeClr val="accent2"/>
            </a:solidFill>
            <a:ln>
              <a:noFill/>
            </a:ln>
            <a:effectLst/>
          </c:spPr>
          <c:invertIfNegative val="0"/>
          <c:cat>
            <c:strRef>
              <c:f>Sheet2!$A$3:$A$12</c:f>
              <c:strCache>
                <c:ptCount val="10"/>
                <c:pt idx="0">
                  <c:v>University</c:v>
                </c:pt>
                <c:pt idx="1">
                  <c:v>Te Pūkenga divisions</c:v>
                </c:pt>
                <c:pt idx="2">
                  <c:v>PTEs</c:v>
                </c:pt>
                <c:pt idx="3">
                  <c:v>Wānanga</c:v>
                </c:pt>
                <c:pt idx="4">
                  <c:v>Tertiary sector entity</c:v>
                </c:pt>
                <c:pt idx="5">
                  <c:v>Student associations</c:v>
                </c:pt>
                <c:pt idx="6">
                  <c:v>Educator groups</c:v>
                </c:pt>
                <c:pt idx="7">
                  <c:v>Others</c:v>
                </c:pt>
                <c:pt idx="8">
                  <c:v>Industry</c:v>
                </c:pt>
                <c:pt idx="9">
                  <c:v>Research</c:v>
                </c:pt>
              </c:strCache>
            </c:strRef>
          </c:cat>
          <c:val>
            <c:numRef>
              <c:f>Sheet2!$C$3:$C$12</c:f>
              <c:numCache>
                <c:formatCode>General</c:formatCode>
                <c:ptCount val="10"/>
                <c:pt idx="0">
                  <c:v>8</c:v>
                </c:pt>
                <c:pt idx="1">
                  <c:v>10</c:v>
                </c:pt>
                <c:pt idx="2">
                  <c:v>8</c:v>
                </c:pt>
                <c:pt idx="3">
                  <c:v>1</c:v>
                </c:pt>
                <c:pt idx="4">
                  <c:v>6</c:v>
                </c:pt>
                <c:pt idx="5">
                  <c:v>5</c:v>
                </c:pt>
                <c:pt idx="6">
                  <c:v>2</c:v>
                </c:pt>
                <c:pt idx="7">
                  <c:v>2</c:v>
                </c:pt>
                <c:pt idx="8">
                  <c:v>20</c:v>
                </c:pt>
                <c:pt idx="9">
                  <c:v>6</c:v>
                </c:pt>
              </c:numCache>
            </c:numRef>
          </c:val>
          <c:extLst>
            <c:ext xmlns:c16="http://schemas.microsoft.com/office/drawing/2014/chart" uri="{C3380CC4-5D6E-409C-BE32-E72D297353CC}">
              <c16:uniqueId val="{00000001-AF80-4D89-B469-8DFCF9606110}"/>
            </c:ext>
          </c:extLst>
        </c:ser>
        <c:dLbls>
          <c:showLegendKey val="0"/>
          <c:showVal val="0"/>
          <c:showCatName val="0"/>
          <c:showSerName val="0"/>
          <c:showPercent val="0"/>
          <c:showBubbleSize val="0"/>
        </c:dLbls>
        <c:gapWidth val="182"/>
        <c:axId val="203278528"/>
        <c:axId val="203285728"/>
      </c:barChart>
      <c:catAx>
        <c:axId val="203278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85728"/>
        <c:crosses val="autoZero"/>
        <c:auto val="1"/>
        <c:lblAlgn val="ctr"/>
        <c:lblOffset val="100"/>
        <c:noMultiLvlLbl val="0"/>
      </c:catAx>
      <c:valAx>
        <c:axId val="203285728"/>
        <c:scaling>
          <c:orientation val="minMax"/>
          <c:max val="4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Likert!$AH$1</c:f>
              <c:strCache>
                <c:ptCount val="1"/>
                <c:pt idx="0">
                  <c:v>Strongly 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Likert!$AG$3:$AG$6</c:f>
              <c:strCache>
                <c:ptCount val="4"/>
                <c:pt idx="0">
                  <c:v>TEOs</c:v>
                </c:pt>
                <c:pt idx="1">
                  <c:v>Educators/Students</c:v>
                </c:pt>
                <c:pt idx="2">
                  <c:v>Industry Group</c:v>
                </c:pt>
                <c:pt idx="3">
                  <c:v>Research</c:v>
                </c:pt>
              </c:strCache>
              <c:extLst/>
            </c:strRef>
          </c:cat>
          <c:val>
            <c:numRef>
              <c:f>Likert!$AH$3:$AH$6</c:f>
              <c:numCache>
                <c:formatCode>General</c:formatCode>
                <c:ptCount val="4"/>
                <c:pt idx="0">
                  <c:v>10</c:v>
                </c:pt>
                <c:pt idx="1">
                  <c:v>1</c:v>
                </c:pt>
                <c:pt idx="2">
                  <c:v>5</c:v>
                </c:pt>
              </c:numCache>
              <c:extLst/>
            </c:numRef>
          </c:val>
          <c:extLst>
            <c:ext xmlns:c16="http://schemas.microsoft.com/office/drawing/2014/chart" uri="{C3380CC4-5D6E-409C-BE32-E72D297353CC}">
              <c16:uniqueId val="{00000000-F986-49A1-A0CC-2AAAA94C0EED}"/>
            </c:ext>
          </c:extLst>
        </c:ser>
        <c:ser>
          <c:idx val="1"/>
          <c:order val="1"/>
          <c:tx>
            <c:strRef>
              <c:f>Likert!$AI$1</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Likert!$AG$3:$AG$6</c:f>
              <c:strCache>
                <c:ptCount val="4"/>
                <c:pt idx="0">
                  <c:v>TEOs</c:v>
                </c:pt>
                <c:pt idx="1">
                  <c:v>Educators/Students</c:v>
                </c:pt>
                <c:pt idx="2">
                  <c:v>Industry Group</c:v>
                </c:pt>
                <c:pt idx="3">
                  <c:v>Research</c:v>
                </c:pt>
              </c:strCache>
              <c:extLst/>
            </c:strRef>
          </c:cat>
          <c:val>
            <c:numRef>
              <c:f>Likert!$AI$3:$AI$6</c:f>
              <c:numCache>
                <c:formatCode>General</c:formatCode>
                <c:ptCount val="4"/>
                <c:pt idx="0">
                  <c:v>6</c:v>
                </c:pt>
                <c:pt idx="2">
                  <c:v>4</c:v>
                </c:pt>
                <c:pt idx="3">
                  <c:v>1</c:v>
                </c:pt>
              </c:numCache>
              <c:extLst/>
            </c:numRef>
          </c:val>
          <c:extLst>
            <c:ext xmlns:c16="http://schemas.microsoft.com/office/drawing/2014/chart" uri="{C3380CC4-5D6E-409C-BE32-E72D297353CC}">
              <c16:uniqueId val="{00000001-F986-49A1-A0CC-2AAAA94C0EED}"/>
            </c:ext>
          </c:extLst>
        </c:ser>
        <c:ser>
          <c:idx val="2"/>
          <c:order val="2"/>
          <c:tx>
            <c:strRef>
              <c:f>Likert!$AJ$1</c:f>
              <c:strCache>
                <c:ptCount val="1"/>
                <c:pt idx="0">
                  <c:v>Neutral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Likert!$AG$3:$AG$6</c:f>
              <c:strCache>
                <c:ptCount val="4"/>
                <c:pt idx="0">
                  <c:v>TEOs</c:v>
                </c:pt>
                <c:pt idx="1">
                  <c:v>Educators/Students</c:v>
                </c:pt>
                <c:pt idx="2">
                  <c:v>Industry Group</c:v>
                </c:pt>
                <c:pt idx="3">
                  <c:v>Research</c:v>
                </c:pt>
              </c:strCache>
              <c:extLst/>
            </c:strRef>
          </c:cat>
          <c:val>
            <c:numRef>
              <c:f>Likert!$AJ$3:$AJ$6</c:f>
              <c:numCache>
                <c:formatCode>General</c:formatCode>
                <c:ptCount val="4"/>
                <c:pt idx="0">
                  <c:v>3</c:v>
                </c:pt>
                <c:pt idx="1">
                  <c:v>3</c:v>
                </c:pt>
                <c:pt idx="2">
                  <c:v>5</c:v>
                </c:pt>
              </c:numCache>
              <c:extLst/>
            </c:numRef>
          </c:val>
          <c:extLst>
            <c:ext xmlns:c16="http://schemas.microsoft.com/office/drawing/2014/chart" uri="{C3380CC4-5D6E-409C-BE32-E72D297353CC}">
              <c16:uniqueId val="{00000002-F986-49A1-A0CC-2AAAA94C0EED}"/>
            </c:ext>
          </c:extLst>
        </c:ser>
        <c:ser>
          <c:idx val="3"/>
          <c:order val="3"/>
          <c:tx>
            <c:strRef>
              <c:f>Likert!$AK$1</c:f>
              <c:strCache>
                <c:ptCount val="1"/>
                <c:pt idx="0">
                  <c:v>Disagree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Likert!$AG$3:$AG$6</c:f>
              <c:strCache>
                <c:ptCount val="4"/>
                <c:pt idx="0">
                  <c:v>TEOs</c:v>
                </c:pt>
                <c:pt idx="1">
                  <c:v>Educators/Students</c:v>
                </c:pt>
                <c:pt idx="2">
                  <c:v>Industry Group</c:v>
                </c:pt>
                <c:pt idx="3">
                  <c:v>Research</c:v>
                </c:pt>
              </c:strCache>
              <c:extLst/>
            </c:strRef>
          </c:cat>
          <c:val>
            <c:numRef>
              <c:f>Likert!$AK$3:$AK$6</c:f>
              <c:numCache>
                <c:formatCode>General</c:formatCode>
                <c:ptCount val="4"/>
                <c:pt idx="3">
                  <c:v>1</c:v>
                </c:pt>
              </c:numCache>
              <c:extLst/>
            </c:numRef>
          </c:val>
          <c:extLst>
            <c:ext xmlns:c16="http://schemas.microsoft.com/office/drawing/2014/chart" uri="{C3380CC4-5D6E-409C-BE32-E72D297353CC}">
              <c16:uniqueId val="{00000003-F986-49A1-A0CC-2AAAA94C0EED}"/>
            </c:ext>
          </c:extLst>
        </c:ser>
        <c:ser>
          <c:idx val="4"/>
          <c:order val="4"/>
          <c:tx>
            <c:strRef>
              <c:f>Likert!$AL$1</c:f>
              <c:strCache>
                <c:ptCount val="1"/>
                <c:pt idx="0">
                  <c:v>Strongly disagree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Likert!$AG$3:$AG$6</c:f>
              <c:strCache>
                <c:ptCount val="4"/>
                <c:pt idx="0">
                  <c:v>TEOs</c:v>
                </c:pt>
                <c:pt idx="1">
                  <c:v>Educators/Students</c:v>
                </c:pt>
                <c:pt idx="2">
                  <c:v>Industry Group</c:v>
                </c:pt>
                <c:pt idx="3">
                  <c:v>Research</c:v>
                </c:pt>
              </c:strCache>
              <c:extLst/>
            </c:strRef>
          </c:cat>
          <c:val>
            <c:numRef>
              <c:f>Likert!$AL$3:$AL$6</c:f>
              <c:numCache>
                <c:formatCode>General</c:formatCode>
                <c:ptCount val="4"/>
                <c:pt idx="0">
                  <c:v>1</c:v>
                </c:pt>
              </c:numCache>
              <c:extLst/>
            </c:numRef>
          </c:val>
          <c:extLst>
            <c:ext xmlns:c16="http://schemas.microsoft.com/office/drawing/2014/chart" uri="{C3380CC4-5D6E-409C-BE32-E72D297353CC}">
              <c16:uniqueId val="{00000004-F986-49A1-A0CC-2AAAA94C0EED}"/>
            </c:ext>
          </c:extLst>
        </c:ser>
        <c:dLbls>
          <c:dLblPos val="ctr"/>
          <c:showLegendKey val="0"/>
          <c:showVal val="1"/>
          <c:showCatName val="0"/>
          <c:showSerName val="0"/>
          <c:showPercent val="0"/>
          <c:showBubbleSize val="0"/>
        </c:dLbls>
        <c:gapWidth val="150"/>
        <c:overlap val="100"/>
        <c:axId val="362250640"/>
        <c:axId val="362247280"/>
      </c:barChart>
      <c:catAx>
        <c:axId val="36225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247280"/>
        <c:crosses val="autoZero"/>
        <c:auto val="1"/>
        <c:lblAlgn val="ctr"/>
        <c:lblOffset val="100"/>
        <c:noMultiLvlLbl val="0"/>
      </c:catAx>
      <c:valAx>
        <c:axId val="362247280"/>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250640"/>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Likert!$B$1</c:f>
              <c:strCache>
                <c:ptCount val="1"/>
                <c:pt idx="0">
                  <c:v>Strongly 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Likert!$A$2:$A$5</c:f>
              <c:strCache>
                <c:ptCount val="4"/>
                <c:pt idx="0">
                  <c:v>TEOs</c:v>
                </c:pt>
                <c:pt idx="1">
                  <c:v>Educators/Students</c:v>
                </c:pt>
                <c:pt idx="2">
                  <c:v>Industry</c:v>
                </c:pt>
                <c:pt idx="3">
                  <c:v>Research</c:v>
                </c:pt>
              </c:strCache>
              <c:extLst/>
            </c:strRef>
          </c:cat>
          <c:val>
            <c:numRef>
              <c:f>Likert!$B$2:$B$5</c:f>
              <c:numCache>
                <c:formatCode>General</c:formatCode>
                <c:ptCount val="4"/>
                <c:pt idx="0">
                  <c:v>32</c:v>
                </c:pt>
                <c:pt idx="1">
                  <c:v>2</c:v>
                </c:pt>
                <c:pt idx="2">
                  <c:v>3</c:v>
                </c:pt>
                <c:pt idx="3">
                  <c:v>2</c:v>
                </c:pt>
              </c:numCache>
              <c:extLst/>
            </c:numRef>
          </c:val>
          <c:extLst>
            <c:ext xmlns:c16="http://schemas.microsoft.com/office/drawing/2014/chart" uri="{C3380CC4-5D6E-409C-BE32-E72D297353CC}">
              <c16:uniqueId val="{00000000-6E24-4464-8BAB-F74229D4E22E}"/>
            </c:ext>
          </c:extLst>
        </c:ser>
        <c:ser>
          <c:idx val="1"/>
          <c:order val="1"/>
          <c:tx>
            <c:strRef>
              <c:f>Likert!$C$1</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Likert!$A$2:$A$5</c:f>
              <c:strCache>
                <c:ptCount val="4"/>
                <c:pt idx="0">
                  <c:v>TEOs</c:v>
                </c:pt>
                <c:pt idx="1">
                  <c:v>Educators/Students</c:v>
                </c:pt>
                <c:pt idx="2">
                  <c:v>Industry</c:v>
                </c:pt>
                <c:pt idx="3">
                  <c:v>Research</c:v>
                </c:pt>
              </c:strCache>
              <c:extLst/>
            </c:strRef>
          </c:cat>
          <c:val>
            <c:numRef>
              <c:f>Likert!$C$2:$C$5</c:f>
              <c:numCache>
                <c:formatCode>General</c:formatCode>
                <c:ptCount val="4"/>
                <c:pt idx="0">
                  <c:v>3</c:v>
                </c:pt>
                <c:pt idx="1">
                  <c:v>4</c:v>
                </c:pt>
                <c:pt idx="2">
                  <c:v>13</c:v>
                </c:pt>
                <c:pt idx="3">
                  <c:v>1</c:v>
                </c:pt>
              </c:numCache>
              <c:extLst/>
            </c:numRef>
          </c:val>
          <c:extLst>
            <c:ext xmlns:c16="http://schemas.microsoft.com/office/drawing/2014/chart" uri="{C3380CC4-5D6E-409C-BE32-E72D297353CC}">
              <c16:uniqueId val="{00000001-6E24-4464-8BAB-F74229D4E22E}"/>
            </c:ext>
          </c:extLst>
        </c:ser>
        <c:ser>
          <c:idx val="2"/>
          <c:order val="2"/>
          <c:tx>
            <c:strRef>
              <c:f>Likert!$D$1</c:f>
              <c:strCache>
                <c:ptCount val="1"/>
                <c:pt idx="0">
                  <c:v>Neutral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Likert!$A$2:$A$5</c:f>
              <c:strCache>
                <c:ptCount val="4"/>
                <c:pt idx="0">
                  <c:v>TEOs</c:v>
                </c:pt>
                <c:pt idx="1">
                  <c:v>Educators/Students</c:v>
                </c:pt>
                <c:pt idx="2">
                  <c:v>Industry</c:v>
                </c:pt>
                <c:pt idx="3">
                  <c:v>Research</c:v>
                </c:pt>
              </c:strCache>
              <c:extLst/>
            </c:strRef>
          </c:cat>
          <c:val>
            <c:numRef>
              <c:f>Likert!$D$2:$D$5</c:f>
              <c:numCache>
                <c:formatCode>General</c:formatCode>
                <c:ptCount val="4"/>
              </c:numCache>
              <c:extLst/>
            </c:numRef>
          </c:val>
          <c:extLst>
            <c:ext xmlns:c16="http://schemas.microsoft.com/office/drawing/2014/chart" uri="{C3380CC4-5D6E-409C-BE32-E72D297353CC}">
              <c16:uniqueId val="{00000002-6E24-4464-8BAB-F74229D4E22E}"/>
            </c:ext>
          </c:extLst>
        </c:ser>
        <c:ser>
          <c:idx val="3"/>
          <c:order val="3"/>
          <c:tx>
            <c:strRef>
              <c:f>Likert!$E$1</c:f>
              <c:strCache>
                <c:ptCount val="1"/>
                <c:pt idx="0">
                  <c:v>Disagree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Likert!$A$2:$A$5</c:f>
              <c:strCache>
                <c:ptCount val="4"/>
                <c:pt idx="0">
                  <c:v>TEOs</c:v>
                </c:pt>
                <c:pt idx="1">
                  <c:v>Educators/Students</c:v>
                </c:pt>
                <c:pt idx="2">
                  <c:v>Industry</c:v>
                </c:pt>
                <c:pt idx="3">
                  <c:v>Research</c:v>
                </c:pt>
              </c:strCache>
              <c:extLst/>
            </c:strRef>
          </c:cat>
          <c:val>
            <c:numRef>
              <c:f>Likert!$E$2:$E$5</c:f>
              <c:numCache>
                <c:formatCode>General</c:formatCode>
                <c:ptCount val="4"/>
              </c:numCache>
              <c:extLst/>
            </c:numRef>
          </c:val>
          <c:extLst>
            <c:ext xmlns:c16="http://schemas.microsoft.com/office/drawing/2014/chart" uri="{C3380CC4-5D6E-409C-BE32-E72D297353CC}">
              <c16:uniqueId val="{00000003-6E24-4464-8BAB-F74229D4E22E}"/>
            </c:ext>
          </c:extLst>
        </c:ser>
        <c:ser>
          <c:idx val="4"/>
          <c:order val="4"/>
          <c:tx>
            <c:strRef>
              <c:f>Likert!$F$1</c:f>
              <c:strCache>
                <c:ptCount val="1"/>
                <c:pt idx="0">
                  <c:v>Strongly disagree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Likert!$A$2:$A$5</c:f>
              <c:strCache>
                <c:ptCount val="4"/>
                <c:pt idx="0">
                  <c:v>TEOs</c:v>
                </c:pt>
                <c:pt idx="1">
                  <c:v>Educators/Students</c:v>
                </c:pt>
                <c:pt idx="2">
                  <c:v>Industry</c:v>
                </c:pt>
                <c:pt idx="3">
                  <c:v>Research</c:v>
                </c:pt>
              </c:strCache>
              <c:extLst/>
            </c:strRef>
          </c:cat>
          <c:val>
            <c:numRef>
              <c:f>Likert!$F$2:$F$5</c:f>
              <c:numCache>
                <c:formatCode>General</c:formatCode>
                <c:ptCount val="4"/>
              </c:numCache>
              <c:extLst/>
            </c:numRef>
          </c:val>
          <c:extLst>
            <c:ext xmlns:c16="http://schemas.microsoft.com/office/drawing/2014/chart" uri="{C3380CC4-5D6E-409C-BE32-E72D297353CC}">
              <c16:uniqueId val="{00000004-6E24-4464-8BAB-F74229D4E22E}"/>
            </c:ext>
          </c:extLst>
        </c:ser>
        <c:dLbls>
          <c:dLblPos val="ctr"/>
          <c:showLegendKey val="0"/>
          <c:showVal val="1"/>
          <c:showCatName val="0"/>
          <c:showSerName val="0"/>
          <c:showPercent val="0"/>
          <c:showBubbleSize val="0"/>
        </c:dLbls>
        <c:gapWidth val="150"/>
        <c:overlap val="100"/>
        <c:axId val="352194960"/>
        <c:axId val="352196880"/>
      </c:barChart>
      <c:catAx>
        <c:axId val="35219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52196880"/>
        <c:crosses val="autoZero"/>
        <c:auto val="1"/>
        <c:lblAlgn val="ctr"/>
        <c:lblOffset val="100"/>
        <c:noMultiLvlLbl val="0"/>
      </c:catAx>
      <c:valAx>
        <c:axId val="352196880"/>
        <c:scaling>
          <c:orientation val="minMax"/>
          <c:max val="3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219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Likert!$B$10</c:f>
              <c:strCache>
                <c:ptCount val="1"/>
                <c:pt idx="0">
                  <c:v>Strongly 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Likert!$B$11</c:f>
              <c:numCache>
                <c:formatCode>General</c:formatCode>
                <c:ptCount val="1"/>
                <c:pt idx="0">
                  <c:v>3</c:v>
                </c:pt>
              </c:numCache>
            </c:numRef>
          </c:val>
          <c:extLst>
            <c:ext xmlns:c16="http://schemas.microsoft.com/office/drawing/2014/chart" uri="{C3380CC4-5D6E-409C-BE32-E72D297353CC}">
              <c16:uniqueId val="{00000000-458C-47DA-983B-914B0AB49F0B}"/>
            </c:ext>
          </c:extLst>
        </c:ser>
        <c:ser>
          <c:idx val="1"/>
          <c:order val="1"/>
          <c:tx>
            <c:strRef>
              <c:f>Likert!$C$10</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Likert!$C$11</c:f>
              <c:numCache>
                <c:formatCode>General</c:formatCode>
                <c:ptCount val="1"/>
                <c:pt idx="0">
                  <c:v>16</c:v>
                </c:pt>
              </c:numCache>
            </c:numRef>
          </c:val>
          <c:extLst>
            <c:ext xmlns:c16="http://schemas.microsoft.com/office/drawing/2014/chart" uri="{C3380CC4-5D6E-409C-BE32-E72D297353CC}">
              <c16:uniqueId val="{00000001-458C-47DA-983B-914B0AB49F0B}"/>
            </c:ext>
          </c:extLst>
        </c:ser>
        <c:ser>
          <c:idx val="2"/>
          <c:order val="2"/>
          <c:tx>
            <c:strRef>
              <c:f>Likert!$D$10</c:f>
              <c:strCache>
                <c:ptCount val="1"/>
                <c:pt idx="0">
                  <c:v>Neutral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Likert!$D$11</c:f>
              <c:numCache>
                <c:formatCode>General</c:formatCode>
                <c:ptCount val="1"/>
                <c:pt idx="0">
                  <c:v>11</c:v>
                </c:pt>
              </c:numCache>
            </c:numRef>
          </c:val>
          <c:extLst>
            <c:ext xmlns:c16="http://schemas.microsoft.com/office/drawing/2014/chart" uri="{C3380CC4-5D6E-409C-BE32-E72D297353CC}">
              <c16:uniqueId val="{00000002-458C-47DA-983B-914B0AB49F0B}"/>
            </c:ext>
          </c:extLst>
        </c:ser>
        <c:ser>
          <c:idx val="3"/>
          <c:order val="3"/>
          <c:tx>
            <c:strRef>
              <c:f>Likert!$E$10</c:f>
              <c:strCache>
                <c:ptCount val="1"/>
                <c:pt idx="0">
                  <c:v>Disagree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Likert!$E$11</c:f>
              <c:numCache>
                <c:formatCode>General</c:formatCode>
                <c:ptCount val="1"/>
                <c:pt idx="0">
                  <c:v>2</c:v>
                </c:pt>
              </c:numCache>
            </c:numRef>
          </c:val>
          <c:extLst>
            <c:ext xmlns:c16="http://schemas.microsoft.com/office/drawing/2014/chart" uri="{C3380CC4-5D6E-409C-BE32-E72D297353CC}">
              <c16:uniqueId val="{00000003-458C-47DA-983B-914B0AB49F0B}"/>
            </c:ext>
          </c:extLst>
        </c:ser>
        <c:ser>
          <c:idx val="4"/>
          <c:order val="4"/>
          <c:tx>
            <c:strRef>
              <c:f>Likert!$F$10</c:f>
              <c:strCache>
                <c:ptCount val="1"/>
                <c:pt idx="0">
                  <c:v>Strongly disagree</c:v>
                </c:pt>
              </c:strCache>
            </c:strRef>
          </c:tx>
          <c:spPr>
            <a:solidFill>
              <a:schemeClr val="accent5"/>
            </a:solidFill>
            <a:ln>
              <a:noFill/>
            </a:ln>
            <a:effectLst/>
          </c:spPr>
          <c:invertIfNegative val="0"/>
          <c:dLbls>
            <c:delete val="1"/>
          </c:dLbls>
          <c:val>
            <c:numRef>
              <c:f>Likert!$F$11</c:f>
              <c:numCache>
                <c:formatCode>General</c:formatCode>
                <c:ptCount val="1"/>
                <c:pt idx="0">
                  <c:v>0</c:v>
                </c:pt>
              </c:numCache>
            </c:numRef>
          </c:val>
          <c:extLst>
            <c:ext xmlns:c16="http://schemas.microsoft.com/office/drawing/2014/chart" uri="{C3380CC4-5D6E-409C-BE32-E72D297353CC}">
              <c16:uniqueId val="{00000004-458C-47DA-983B-914B0AB49F0B}"/>
            </c:ext>
          </c:extLst>
        </c:ser>
        <c:dLbls>
          <c:dLblPos val="ctr"/>
          <c:showLegendKey val="0"/>
          <c:showVal val="1"/>
          <c:showCatName val="0"/>
          <c:showSerName val="0"/>
          <c:showPercent val="0"/>
          <c:showBubbleSize val="0"/>
        </c:dLbls>
        <c:gapWidth val="150"/>
        <c:overlap val="100"/>
        <c:axId val="353023712"/>
        <c:axId val="353021312"/>
      </c:barChart>
      <c:catAx>
        <c:axId val="353023712"/>
        <c:scaling>
          <c:orientation val="minMax"/>
        </c:scaling>
        <c:delete val="1"/>
        <c:axPos val="l"/>
        <c:numFmt formatCode="General" sourceLinked="1"/>
        <c:majorTickMark val="none"/>
        <c:minorTickMark val="none"/>
        <c:tickLblPos val="nextTo"/>
        <c:crossAx val="353021312"/>
        <c:crosses val="autoZero"/>
        <c:auto val="1"/>
        <c:lblAlgn val="ctr"/>
        <c:lblOffset val="100"/>
        <c:noMultiLvlLbl val="0"/>
      </c:catAx>
      <c:valAx>
        <c:axId val="3530213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302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Likert!$J$1</c:f>
              <c:strCache>
                <c:ptCount val="1"/>
                <c:pt idx="0">
                  <c:v>Strongly 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Likert!$I$3:$I$6</c:f>
              <c:strCache>
                <c:ptCount val="4"/>
                <c:pt idx="0">
                  <c:v>TEOs</c:v>
                </c:pt>
                <c:pt idx="1">
                  <c:v>Educators/Students</c:v>
                </c:pt>
                <c:pt idx="2">
                  <c:v>Industry Group</c:v>
                </c:pt>
                <c:pt idx="3">
                  <c:v>Research</c:v>
                </c:pt>
              </c:strCache>
              <c:extLst/>
            </c:strRef>
          </c:cat>
          <c:val>
            <c:numRef>
              <c:f>Likert!$J$3:$J$6</c:f>
              <c:numCache>
                <c:formatCode>General</c:formatCode>
                <c:ptCount val="4"/>
                <c:pt idx="0">
                  <c:v>10</c:v>
                </c:pt>
                <c:pt idx="1">
                  <c:v>1</c:v>
                </c:pt>
                <c:pt idx="2">
                  <c:v>8</c:v>
                </c:pt>
                <c:pt idx="3">
                  <c:v>2</c:v>
                </c:pt>
              </c:numCache>
              <c:extLst/>
            </c:numRef>
          </c:val>
          <c:extLst>
            <c:ext xmlns:c16="http://schemas.microsoft.com/office/drawing/2014/chart" uri="{C3380CC4-5D6E-409C-BE32-E72D297353CC}">
              <c16:uniqueId val="{00000000-BC2A-471C-AF1F-5C25AB28B15C}"/>
            </c:ext>
          </c:extLst>
        </c:ser>
        <c:ser>
          <c:idx val="1"/>
          <c:order val="1"/>
          <c:tx>
            <c:strRef>
              <c:f>Likert!$K$1</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Likert!$I$3:$I$6</c:f>
              <c:strCache>
                <c:ptCount val="4"/>
                <c:pt idx="0">
                  <c:v>TEOs</c:v>
                </c:pt>
                <c:pt idx="1">
                  <c:v>Educators/Students</c:v>
                </c:pt>
                <c:pt idx="2">
                  <c:v>Industry Group</c:v>
                </c:pt>
                <c:pt idx="3">
                  <c:v>Research</c:v>
                </c:pt>
              </c:strCache>
              <c:extLst/>
            </c:strRef>
          </c:cat>
          <c:val>
            <c:numRef>
              <c:f>Likert!$K$3:$K$6</c:f>
              <c:numCache>
                <c:formatCode>General</c:formatCode>
                <c:ptCount val="4"/>
                <c:pt idx="0">
                  <c:v>6</c:v>
                </c:pt>
                <c:pt idx="1">
                  <c:v>4</c:v>
                </c:pt>
                <c:pt idx="2">
                  <c:v>7</c:v>
                </c:pt>
                <c:pt idx="3">
                  <c:v>1</c:v>
                </c:pt>
              </c:numCache>
              <c:extLst/>
            </c:numRef>
          </c:val>
          <c:extLst>
            <c:ext xmlns:c16="http://schemas.microsoft.com/office/drawing/2014/chart" uri="{C3380CC4-5D6E-409C-BE32-E72D297353CC}">
              <c16:uniqueId val="{00000001-BC2A-471C-AF1F-5C25AB28B15C}"/>
            </c:ext>
          </c:extLst>
        </c:ser>
        <c:ser>
          <c:idx val="2"/>
          <c:order val="2"/>
          <c:tx>
            <c:strRef>
              <c:f>Likert!$L$1</c:f>
              <c:strCache>
                <c:ptCount val="1"/>
                <c:pt idx="0">
                  <c:v>Neutral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Likert!$I$3:$I$6</c:f>
              <c:strCache>
                <c:ptCount val="4"/>
                <c:pt idx="0">
                  <c:v>TEOs</c:v>
                </c:pt>
                <c:pt idx="1">
                  <c:v>Educators/Students</c:v>
                </c:pt>
                <c:pt idx="2">
                  <c:v>Industry Group</c:v>
                </c:pt>
                <c:pt idx="3">
                  <c:v>Research</c:v>
                </c:pt>
              </c:strCache>
              <c:extLst/>
            </c:strRef>
          </c:cat>
          <c:val>
            <c:numRef>
              <c:f>Likert!$L$3:$L$6</c:f>
              <c:numCache>
                <c:formatCode>General</c:formatCode>
                <c:ptCount val="4"/>
                <c:pt idx="0">
                  <c:v>1</c:v>
                </c:pt>
                <c:pt idx="2">
                  <c:v>1</c:v>
                </c:pt>
              </c:numCache>
              <c:extLst/>
            </c:numRef>
          </c:val>
          <c:extLst>
            <c:ext xmlns:c16="http://schemas.microsoft.com/office/drawing/2014/chart" uri="{C3380CC4-5D6E-409C-BE32-E72D297353CC}">
              <c16:uniqueId val="{00000002-BC2A-471C-AF1F-5C25AB28B15C}"/>
            </c:ext>
          </c:extLst>
        </c:ser>
        <c:ser>
          <c:idx val="3"/>
          <c:order val="3"/>
          <c:tx>
            <c:strRef>
              <c:f>Likert!$M$1</c:f>
              <c:strCache>
                <c:ptCount val="1"/>
                <c:pt idx="0">
                  <c:v>Disagree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Likert!$I$3:$I$6</c:f>
              <c:strCache>
                <c:ptCount val="4"/>
                <c:pt idx="0">
                  <c:v>TEOs</c:v>
                </c:pt>
                <c:pt idx="1">
                  <c:v>Educators/Students</c:v>
                </c:pt>
                <c:pt idx="2">
                  <c:v>Industry Group</c:v>
                </c:pt>
                <c:pt idx="3">
                  <c:v>Research</c:v>
                </c:pt>
              </c:strCache>
              <c:extLst/>
            </c:strRef>
          </c:cat>
          <c:val>
            <c:numRef>
              <c:f>Likert!$M$3:$M$6</c:f>
              <c:numCache>
                <c:formatCode>General</c:formatCode>
                <c:ptCount val="4"/>
              </c:numCache>
              <c:extLst/>
            </c:numRef>
          </c:val>
          <c:extLst>
            <c:ext xmlns:c16="http://schemas.microsoft.com/office/drawing/2014/chart" uri="{C3380CC4-5D6E-409C-BE32-E72D297353CC}">
              <c16:uniqueId val="{00000003-BC2A-471C-AF1F-5C25AB28B15C}"/>
            </c:ext>
          </c:extLst>
        </c:ser>
        <c:ser>
          <c:idx val="4"/>
          <c:order val="4"/>
          <c:tx>
            <c:strRef>
              <c:f>Likert!$N$1</c:f>
              <c:strCache>
                <c:ptCount val="1"/>
                <c:pt idx="0">
                  <c:v>Strongly disagree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Likert!$I$3:$I$6</c:f>
              <c:strCache>
                <c:ptCount val="4"/>
                <c:pt idx="0">
                  <c:v>TEOs</c:v>
                </c:pt>
                <c:pt idx="1">
                  <c:v>Educators/Students</c:v>
                </c:pt>
                <c:pt idx="2">
                  <c:v>Industry Group</c:v>
                </c:pt>
                <c:pt idx="3">
                  <c:v>Research</c:v>
                </c:pt>
              </c:strCache>
              <c:extLst/>
            </c:strRef>
          </c:cat>
          <c:val>
            <c:numRef>
              <c:f>Likert!$N$3:$N$6</c:f>
              <c:numCache>
                <c:formatCode>General</c:formatCode>
                <c:ptCount val="4"/>
                <c:pt idx="1">
                  <c:v>1</c:v>
                </c:pt>
              </c:numCache>
              <c:extLst/>
            </c:numRef>
          </c:val>
          <c:extLst>
            <c:ext xmlns:c16="http://schemas.microsoft.com/office/drawing/2014/chart" uri="{C3380CC4-5D6E-409C-BE32-E72D297353CC}">
              <c16:uniqueId val="{00000004-BC2A-471C-AF1F-5C25AB28B15C}"/>
            </c:ext>
          </c:extLst>
        </c:ser>
        <c:dLbls>
          <c:dLblPos val="ctr"/>
          <c:showLegendKey val="0"/>
          <c:showVal val="1"/>
          <c:showCatName val="0"/>
          <c:showSerName val="0"/>
          <c:showPercent val="0"/>
          <c:showBubbleSize val="0"/>
        </c:dLbls>
        <c:gapWidth val="150"/>
        <c:overlap val="100"/>
        <c:axId val="103207216"/>
        <c:axId val="103204336"/>
      </c:barChart>
      <c:catAx>
        <c:axId val="10320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204336"/>
        <c:crosses val="autoZero"/>
        <c:auto val="1"/>
        <c:lblAlgn val="ctr"/>
        <c:lblOffset val="100"/>
        <c:noMultiLvlLbl val="0"/>
      </c:catAx>
      <c:valAx>
        <c:axId val="103204336"/>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207216"/>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Likert!$I$10</c:f>
              <c:strCache>
                <c:ptCount val="1"/>
                <c:pt idx="0">
                  <c:v>Strongly 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Likert!$I$11</c:f>
              <c:numCache>
                <c:formatCode>General</c:formatCode>
                <c:ptCount val="1"/>
                <c:pt idx="0">
                  <c:v>6</c:v>
                </c:pt>
              </c:numCache>
            </c:numRef>
          </c:val>
          <c:extLst>
            <c:ext xmlns:c16="http://schemas.microsoft.com/office/drawing/2014/chart" uri="{C3380CC4-5D6E-409C-BE32-E72D297353CC}">
              <c16:uniqueId val="{00000000-73D1-4726-84FB-764F62B94F54}"/>
            </c:ext>
          </c:extLst>
        </c:ser>
        <c:ser>
          <c:idx val="1"/>
          <c:order val="1"/>
          <c:tx>
            <c:strRef>
              <c:f>Likert!$J$10</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Likert!$J$11</c:f>
              <c:numCache>
                <c:formatCode>General</c:formatCode>
                <c:ptCount val="1"/>
                <c:pt idx="0">
                  <c:v>10</c:v>
                </c:pt>
              </c:numCache>
            </c:numRef>
          </c:val>
          <c:extLst>
            <c:ext xmlns:c16="http://schemas.microsoft.com/office/drawing/2014/chart" uri="{C3380CC4-5D6E-409C-BE32-E72D297353CC}">
              <c16:uniqueId val="{00000001-73D1-4726-84FB-764F62B94F54}"/>
            </c:ext>
          </c:extLst>
        </c:ser>
        <c:ser>
          <c:idx val="2"/>
          <c:order val="2"/>
          <c:tx>
            <c:strRef>
              <c:f>Likert!$K$10</c:f>
              <c:strCache>
                <c:ptCount val="1"/>
                <c:pt idx="0">
                  <c:v>Neutral</c:v>
                </c:pt>
              </c:strCache>
            </c:strRef>
          </c:tx>
          <c:spPr>
            <a:solidFill>
              <a:schemeClr val="accent3"/>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5-73D1-4726-84FB-764F62B94F5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Likert!$K$11</c:f>
              <c:numCache>
                <c:formatCode>General</c:formatCode>
                <c:ptCount val="1"/>
                <c:pt idx="0">
                  <c:v>12</c:v>
                </c:pt>
              </c:numCache>
            </c:numRef>
          </c:val>
          <c:extLst>
            <c:ext xmlns:c16="http://schemas.microsoft.com/office/drawing/2014/chart" uri="{C3380CC4-5D6E-409C-BE32-E72D297353CC}">
              <c16:uniqueId val="{00000002-73D1-4726-84FB-764F62B94F54}"/>
            </c:ext>
          </c:extLst>
        </c:ser>
        <c:ser>
          <c:idx val="3"/>
          <c:order val="3"/>
          <c:tx>
            <c:strRef>
              <c:f>Likert!$L$10</c:f>
              <c:strCache>
                <c:ptCount val="1"/>
                <c:pt idx="0">
                  <c:v>Disagree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Likert!$L$11</c:f>
              <c:numCache>
                <c:formatCode>General</c:formatCode>
                <c:ptCount val="1"/>
                <c:pt idx="0">
                  <c:v>3</c:v>
                </c:pt>
              </c:numCache>
            </c:numRef>
          </c:val>
          <c:extLst>
            <c:ext xmlns:c16="http://schemas.microsoft.com/office/drawing/2014/chart" uri="{C3380CC4-5D6E-409C-BE32-E72D297353CC}">
              <c16:uniqueId val="{00000003-73D1-4726-84FB-764F62B94F54}"/>
            </c:ext>
          </c:extLst>
        </c:ser>
        <c:ser>
          <c:idx val="4"/>
          <c:order val="4"/>
          <c:tx>
            <c:strRef>
              <c:f>Likert!$M$10</c:f>
              <c:strCache>
                <c:ptCount val="1"/>
                <c:pt idx="0">
                  <c:v>Strongly disagree</c:v>
                </c:pt>
              </c:strCache>
            </c:strRef>
          </c:tx>
          <c:spPr>
            <a:solidFill>
              <a:schemeClr val="accent5"/>
            </a:solidFill>
            <a:ln>
              <a:noFill/>
            </a:ln>
            <a:effectLst/>
          </c:spPr>
          <c:invertIfNegative val="0"/>
          <c:dLbls>
            <c:delete val="1"/>
          </c:dLbls>
          <c:val>
            <c:numRef>
              <c:f>Likert!$M$11</c:f>
              <c:numCache>
                <c:formatCode>General</c:formatCode>
                <c:ptCount val="1"/>
                <c:pt idx="0">
                  <c:v>0</c:v>
                </c:pt>
              </c:numCache>
            </c:numRef>
          </c:val>
          <c:extLst>
            <c:ext xmlns:c16="http://schemas.microsoft.com/office/drawing/2014/chart" uri="{C3380CC4-5D6E-409C-BE32-E72D297353CC}">
              <c16:uniqueId val="{00000004-73D1-4726-84FB-764F62B94F54}"/>
            </c:ext>
          </c:extLst>
        </c:ser>
        <c:dLbls>
          <c:dLblPos val="ctr"/>
          <c:showLegendKey val="0"/>
          <c:showVal val="1"/>
          <c:showCatName val="0"/>
          <c:showSerName val="0"/>
          <c:showPercent val="0"/>
          <c:showBubbleSize val="0"/>
        </c:dLbls>
        <c:gapWidth val="150"/>
        <c:overlap val="100"/>
        <c:axId val="1733240080"/>
        <c:axId val="1733242000"/>
      </c:barChart>
      <c:catAx>
        <c:axId val="1733240080"/>
        <c:scaling>
          <c:orientation val="minMax"/>
        </c:scaling>
        <c:delete val="1"/>
        <c:axPos val="l"/>
        <c:numFmt formatCode="General" sourceLinked="1"/>
        <c:majorTickMark val="none"/>
        <c:minorTickMark val="none"/>
        <c:tickLblPos val="nextTo"/>
        <c:crossAx val="1733242000"/>
        <c:crosses val="autoZero"/>
        <c:auto val="1"/>
        <c:lblAlgn val="ctr"/>
        <c:lblOffset val="100"/>
        <c:noMultiLvlLbl val="0"/>
      </c:catAx>
      <c:valAx>
        <c:axId val="17332420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324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Likert!$R$1</c:f>
              <c:strCache>
                <c:ptCount val="1"/>
                <c:pt idx="0">
                  <c:v>Strongly 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Likert!$Q$3:$Q$6</c:f>
              <c:strCache>
                <c:ptCount val="4"/>
                <c:pt idx="0">
                  <c:v>TEOs</c:v>
                </c:pt>
                <c:pt idx="1">
                  <c:v>Educators/Students</c:v>
                </c:pt>
                <c:pt idx="2">
                  <c:v>Industry Group</c:v>
                </c:pt>
                <c:pt idx="3">
                  <c:v>Research</c:v>
                </c:pt>
              </c:strCache>
              <c:extLst/>
            </c:strRef>
          </c:cat>
          <c:val>
            <c:numRef>
              <c:f>Likert!$R$3:$R$6</c:f>
              <c:numCache>
                <c:formatCode>General</c:formatCode>
                <c:ptCount val="4"/>
                <c:pt idx="0">
                  <c:v>16</c:v>
                </c:pt>
                <c:pt idx="1">
                  <c:v>6</c:v>
                </c:pt>
                <c:pt idx="2">
                  <c:v>9</c:v>
                </c:pt>
                <c:pt idx="3">
                  <c:v>2</c:v>
                </c:pt>
              </c:numCache>
              <c:extLst/>
            </c:numRef>
          </c:val>
          <c:extLst>
            <c:ext xmlns:c16="http://schemas.microsoft.com/office/drawing/2014/chart" uri="{C3380CC4-5D6E-409C-BE32-E72D297353CC}">
              <c16:uniqueId val="{00000000-3D9C-4C79-ADCE-155DBE40F831}"/>
            </c:ext>
          </c:extLst>
        </c:ser>
        <c:ser>
          <c:idx val="1"/>
          <c:order val="1"/>
          <c:tx>
            <c:strRef>
              <c:f>Likert!$S$1</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Likert!$Q$3:$Q$6</c:f>
              <c:strCache>
                <c:ptCount val="4"/>
                <c:pt idx="0">
                  <c:v>TEOs</c:v>
                </c:pt>
                <c:pt idx="1">
                  <c:v>Educators/Students</c:v>
                </c:pt>
                <c:pt idx="2">
                  <c:v>Industry Group</c:v>
                </c:pt>
                <c:pt idx="3">
                  <c:v>Research</c:v>
                </c:pt>
              </c:strCache>
              <c:extLst/>
            </c:strRef>
          </c:cat>
          <c:val>
            <c:numRef>
              <c:f>Likert!$S$3:$S$6</c:f>
              <c:numCache>
                <c:formatCode>General</c:formatCode>
                <c:ptCount val="4"/>
                <c:pt idx="0">
                  <c:v>3</c:v>
                </c:pt>
                <c:pt idx="1">
                  <c:v>1</c:v>
                </c:pt>
                <c:pt idx="2">
                  <c:v>5</c:v>
                </c:pt>
              </c:numCache>
              <c:extLst/>
            </c:numRef>
          </c:val>
          <c:extLst>
            <c:ext xmlns:c16="http://schemas.microsoft.com/office/drawing/2014/chart" uri="{C3380CC4-5D6E-409C-BE32-E72D297353CC}">
              <c16:uniqueId val="{00000001-3D9C-4C79-ADCE-155DBE40F831}"/>
            </c:ext>
          </c:extLst>
        </c:ser>
        <c:ser>
          <c:idx val="2"/>
          <c:order val="2"/>
          <c:tx>
            <c:strRef>
              <c:f>Likert!$T$1</c:f>
              <c:strCache>
                <c:ptCount val="1"/>
                <c:pt idx="0">
                  <c:v>Neutral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Likert!$Q$3:$Q$6</c:f>
              <c:strCache>
                <c:ptCount val="4"/>
                <c:pt idx="0">
                  <c:v>TEOs</c:v>
                </c:pt>
                <c:pt idx="1">
                  <c:v>Educators/Students</c:v>
                </c:pt>
                <c:pt idx="2">
                  <c:v>Industry Group</c:v>
                </c:pt>
                <c:pt idx="3">
                  <c:v>Research</c:v>
                </c:pt>
              </c:strCache>
              <c:extLst/>
            </c:strRef>
          </c:cat>
          <c:val>
            <c:numRef>
              <c:f>Likert!$T$3:$T$6</c:f>
              <c:numCache>
                <c:formatCode>General</c:formatCode>
                <c:ptCount val="4"/>
              </c:numCache>
              <c:extLst/>
            </c:numRef>
          </c:val>
          <c:extLst>
            <c:ext xmlns:c16="http://schemas.microsoft.com/office/drawing/2014/chart" uri="{C3380CC4-5D6E-409C-BE32-E72D297353CC}">
              <c16:uniqueId val="{00000002-3D9C-4C79-ADCE-155DBE40F831}"/>
            </c:ext>
          </c:extLst>
        </c:ser>
        <c:ser>
          <c:idx val="3"/>
          <c:order val="3"/>
          <c:tx>
            <c:strRef>
              <c:f>Likert!$U$1</c:f>
              <c:strCache>
                <c:ptCount val="1"/>
                <c:pt idx="0">
                  <c:v>Disagree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Likert!$Q$3:$Q$6</c:f>
              <c:strCache>
                <c:ptCount val="4"/>
                <c:pt idx="0">
                  <c:v>TEOs</c:v>
                </c:pt>
                <c:pt idx="1">
                  <c:v>Educators/Students</c:v>
                </c:pt>
                <c:pt idx="2">
                  <c:v>Industry Group</c:v>
                </c:pt>
                <c:pt idx="3">
                  <c:v>Research</c:v>
                </c:pt>
              </c:strCache>
              <c:extLst/>
            </c:strRef>
          </c:cat>
          <c:val>
            <c:numRef>
              <c:f>Likert!$U$3:$U$6</c:f>
              <c:numCache>
                <c:formatCode>General</c:formatCode>
                <c:ptCount val="4"/>
              </c:numCache>
              <c:extLst/>
            </c:numRef>
          </c:val>
          <c:extLst>
            <c:ext xmlns:c16="http://schemas.microsoft.com/office/drawing/2014/chart" uri="{C3380CC4-5D6E-409C-BE32-E72D297353CC}">
              <c16:uniqueId val="{00000003-3D9C-4C79-ADCE-155DBE40F831}"/>
            </c:ext>
          </c:extLst>
        </c:ser>
        <c:ser>
          <c:idx val="4"/>
          <c:order val="4"/>
          <c:tx>
            <c:strRef>
              <c:f>Likert!$V$1</c:f>
              <c:strCache>
                <c:ptCount val="1"/>
                <c:pt idx="0">
                  <c:v>Strongly disagree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Likert!$Q$3:$Q$6</c:f>
              <c:strCache>
                <c:ptCount val="4"/>
                <c:pt idx="0">
                  <c:v>TEOs</c:v>
                </c:pt>
                <c:pt idx="1">
                  <c:v>Educators/Students</c:v>
                </c:pt>
                <c:pt idx="2">
                  <c:v>Industry Group</c:v>
                </c:pt>
                <c:pt idx="3">
                  <c:v>Research</c:v>
                </c:pt>
              </c:strCache>
              <c:extLst/>
            </c:strRef>
          </c:cat>
          <c:val>
            <c:numRef>
              <c:f>Likert!$V$3:$V$6</c:f>
              <c:numCache>
                <c:formatCode>General</c:formatCode>
                <c:ptCount val="4"/>
              </c:numCache>
              <c:extLst/>
            </c:numRef>
          </c:val>
          <c:extLst>
            <c:ext xmlns:c16="http://schemas.microsoft.com/office/drawing/2014/chart" uri="{C3380CC4-5D6E-409C-BE32-E72D297353CC}">
              <c16:uniqueId val="{00000004-3D9C-4C79-ADCE-155DBE40F831}"/>
            </c:ext>
          </c:extLst>
        </c:ser>
        <c:dLbls>
          <c:dLblPos val="ctr"/>
          <c:showLegendKey val="0"/>
          <c:showVal val="1"/>
          <c:showCatName val="0"/>
          <c:showSerName val="0"/>
          <c:showPercent val="0"/>
          <c:showBubbleSize val="0"/>
        </c:dLbls>
        <c:gapWidth val="150"/>
        <c:overlap val="100"/>
        <c:axId val="102539760"/>
        <c:axId val="102540720"/>
      </c:barChart>
      <c:catAx>
        <c:axId val="10253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40720"/>
        <c:crosses val="autoZero"/>
        <c:auto val="1"/>
        <c:lblAlgn val="ctr"/>
        <c:lblOffset val="100"/>
        <c:noMultiLvlLbl val="0"/>
      </c:catAx>
      <c:valAx>
        <c:axId val="10254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39760"/>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Likert!$Q$10</c:f>
              <c:strCache>
                <c:ptCount val="1"/>
                <c:pt idx="0">
                  <c:v>Strongly agree</c:v>
                </c:pt>
              </c:strCache>
            </c:strRef>
          </c:tx>
          <c:spPr>
            <a:solidFill>
              <a:schemeClr val="accent1"/>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0-CE2B-4EFE-8FEB-D84D3EB36AA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Likert!$Q$11</c:f>
              <c:numCache>
                <c:formatCode>General</c:formatCode>
                <c:ptCount val="1"/>
                <c:pt idx="0">
                  <c:v>7</c:v>
                </c:pt>
              </c:numCache>
            </c:numRef>
          </c:val>
          <c:extLst>
            <c:ext xmlns:c16="http://schemas.microsoft.com/office/drawing/2014/chart" uri="{C3380CC4-5D6E-409C-BE32-E72D297353CC}">
              <c16:uniqueId val="{00000001-CE2B-4EFE-8FEB-D84D3EB36AAB}"/>
            </c:ext>
          </c:extLst>
        </c:ser>
        <c:ser>
          <c:idx val="1"/>
          <c:order val="1"/>
          <c:tx>
            <c:strRef>
              <c:f>Likert!$R$10</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Likert!$R$11</c:f>
              <c:numCache>
                <c:formatCode>General</c:formatCode>
                <c:ptCount val="1"/>
                <c:pt idx="0">
                  <c:v>13</c:v>
                </c:pt>
              </c:numCache>
            </c:numRef>
          </c:val>
          <c:extLst>
            <c:ext xmlns:c16="http://schemas.microsoft.com/office/drawing/2014/chart" uri="{C3380CC4-5D6E-409C-BE32-E72D297353CC}">
              <c16:uniqueId val="{00000002-CE2B-4EFE-8FEB-D84D3EB36AAB}"/>
            </c:ext>
          </c:extLst>
        </c:ser>
        <c:ser>
          <c:idx val="2"/>
          <c:order val="2"/>
          <c:tx>
            <c:strRef>
              <c:f>Likert!$S$10</c:f>
              <c:strCache>
                <c:ptCount val="1"/>
                <c:pt idx="0">
                  <c:v>Neutral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Likert!$S$11</c:f>
              <c:numCache>
                <c:formatCode>General</c:formatCode>
                <c:ptCount val="1"/>
                <c:pt idx="0">
                  <c:v>5</c:v>
                </c:pt>
              </c:numCache>
            </c:numRef>
          </c:val>
          <c:extLst>
            <c:ext xmlns:c16="http://schemas.microsoft.com/office/drawing/2014/chart" uri="{C3380CC4-5D6E-409C-BE32-E72D297353CC}">
              <c16:uniqueId val="{00000003-CE2B-4EFE-8FEB-D84D3EB36AAB}"/>
            </c:ext>
          </c:extLst>
        </c:ser>
        <c:ser>
          <c:idx val="3"/>
          <c:order val="3"/>
          <c:tx>
            <c:strRef>
              <c:f>Likert!$T$10</c:f>
              <c:strCache>
                <c:ptCount val="1"/>
                <c:pt idx="0">
                  <c:v>Disagree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Likert!$T$11</c:f>
              <c:numCache>
                <c:formatCode>General</c:formatCode>
                <c:ptCount val="1"/>
                <c:pt idx="0">
                  <c:v>3</c:v>
                </c:pt>
              </c:numCache>
            </c:numRef>
          </c:val>
          <c:extLst>
            <c:ext xmlns:c16="http://schemas.microsoft.com/office/drawing/2014/chart" uri="{C3380CC4-5D6E-409C-BE32-E72D297353CC}">
              <c16:uniqueId val="{00000004-CE2B-4EFE-8FEB-D84D3EB36AAB}"/>
            </c:ext>
          </c:extLst>
        </c:ser>
        <c:ser>
          <c:idx val="4"/>
          <c:order val="4"/>
          <c:tx>
            <c:strRef>
              <c:f>Likert!$U$10</c:f>
              <c:strCache>
                <c:ptCount val="1"/>
                <c:pt idx="0">
                  <c:v>Strongly disagree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Likert!$U$11</c:f>
              <c:numCache>
                <c:formatCode>General</c:formatCode>
                <c:ptCount val="1"/>
                <c:pt idx="0">
                  <c:v>1</c:v>
                </c:pt>
              </c:numCache>
            </c:numRef>
          </c:val>
          <c:extLst>
            <c:ext xmlns:c16="http://schemas.microsoft.com/office/drawing/2014/chart" uri="{C3380CC4-5D6E-409C-BE32-E72D297353CC}">
              <c16:uniqueId val="{00000005-CE2B-4EFE-8FEB-D84D3EB36AAB}"/>
            </c:ext>
          </c:extLst>
        </c:ser>
        <c:dLbls>
          <c:dLblPos val="ctr"/>
          <c:showLegendKey val="0"/>
          <c:showVal val="1"/>
          <c:showCatName val="0"/>
          <c:showSerName val="0"/>
          <c:showPercent val="0"/>
          <c:showBubbleSize val="0"/>
        </c:dLbls>
        <c:gapWidth val="150"/>
        <c:overlap val="100"/>
        <c:axId val="102540240"/>
        <c:axId val="102534480"/>
      </c:barChart>
      <c:catAx>
        <c:axId val="102540240"/>
        <c:scaling>
          <c:orientation val="minMax"/>
        </c:scaling>
        <c:delete val="1"/>
        <c:axPos val="l"/>
        <c:numFmt formatCode="General" sourceLinked="1"/>
        <c:majorTickMark val="none"/>
        <c:minorTickMark val="none"/>
        <c:tickLblPos val="nextTo"/>
        <c:crossAx val="102534480"/>
        <c:crosses val="autoZero"/>
        <c:auto val="1"/>
        <c:lblAlgn val="ctr"/>
        <c:lblOffset val="100"/>
        <c:noMultiLvlLbl val="0"/>
      </c:catAx>
      <c:valAx>
        <c:axId val="1025344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4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Likert!$Z$1</c:f>
              <c:strCache>
                <c:ptCount val="1"/>
                <c:pt idx="0">
                  <c:v>Strongly 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Likert!$Y$3:$Y$6</c:f>
              <c:strCache>
                <c:ptCount val="4"/>
                <c:pt idx="0">
                  <c:v>TEOs</c:v>
                </c:pt>
                <c:pt idx="1">
                  <c:v>Educators/Students</c:v>
                </c:pt>
                <c:pt idx="2">
                  <c:v>Industry Group</c:v>
                </c:pt>
                <c:pt idx="3">
                  <c:v>Research</c:v>
                </c:pt>
              </c:strCache>
              <c:extLst/>
            </c:strRef>
          </c:cat>
          <c:val>
            <c:numRef>
              <c:f>Likert!$Z$3:$Z$6</c:f>
              <c:numCache>
                <c:formatCode>General</c:formatCode>
                <c:ptCount val="4"/>
                <c:pt idx="0">
                  <c:v>7</c:v>
                </c:pt>
                <c:pt idx="1">
                  <c:v>2</c:v>
                </c:pt>
                <c:pt idx="2">
                  <c:v>8</c:v>
                </c:pt>
                <c:pt idx="3">
                  <c:v>2</c:v>
                </c:pt>
              </c:numCache>
              <c:extLst/>
            </c:numRef>
          </c:val>
          <c:extLst>
            <c:ext xmlns:c16="http://schemas.microsoft.com/office/drawing/2014/chart" uri="{C3380CC4-5D6E-409C-BE32-E72D297353CC}">
              <c16:uniqueId val="{00000000-84A6-41FD-9927-4126D93C2434}"/>
            </c:ext>
          </c:extLst>
        </c:ser>
        <c:ser>
          <c:idx val="1"/>
          <c:order val="1"/>
          <c:tx>
            <c:strRef>
              <c:f>Likert!$AA$1</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Likert!$Y$3:$Y$6</c:f>
              <c:strCache>
                <c:ptCount val="4"/>
                <c:pt idx="0">
                  <c:v>TEOs</c:v>
                </c:pt>
                <c:pt idx="1">
                  <c:v>Educators/Students</c:v>
                </c:pt>
                <c:pt idx="2">
                  <c:v>Industry Group</c:v>
                </c:pt>
                <c:pt idx="3">
                  <c:v>Research</c:v>
                </c:pt>
              </c:strCache>
              <c:extLst/>
            </c:strRef>
          </c:cat>
          <c:val>
            <c:numRef>
              <c:f>Likert!$AA$3:$AA$6</c:f>
              <c:numCache>
                <c:formatCode>General</c:formatCode>
                <c:ptCount val="4"/>
                <c:pt idx="0">
                  <c:v>10</c:v>
                </c:pt>
                <c:pt idx="1">
                  <c:v>4</c:v>
                </c:pt>
                <c:pt idx="2">
                  <c:v>6</c:v>
                </c:pt>
                <c:pt idx="3">
                  <c:v>1</c:v>
                </c:pt>
              </c:numCache>
              <c:extLst/>
            </c:numRef>
          </c:val>
          <c:extLst>
            <c:ext xmlns:c16="http://schemas.microsoft.com/office/drawing/2014/chart" uri="{C3380CC4-5D6E-409C-BE32-E72D297353CC}">
              <c16:uniqueId val="{00000001-84A6-41FD-9927-4126D93C2434}"/>
            </c:ext>
          </c:extLst>
        </c:ser>
        <c:ser>
          <c:idx val="2"/>
          <c:order val="2"/>
          <c:tx>
            <c:strRef>
              <c:f>Likert!$AB$1</c:f>
              <c:strCache>
                <c:ptCount val="1"/>
                <c:pt idx="0">
                  <c:v>Neutral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Likert!$Y$3:$Y$6</c:f>
              <c:strCache>
                <c:ptCount val="4"/>
                <c:pt idx="0">
                  <c:v>TEOs</c:v>
                </c:pt>
                <c:pt idx="1">
                  <c:v>Educators/Students</c:v>
                </c:pt>
                <c:pt idx="2">
                  <c:v>Industry Group</c:v>
                </c:pt>
                <c:pt idx="3">
                  <c:v>Research</c:v>
                </c:pt>
              </c:strCache>
              <c:extLst/>
            </c:strRef>
          </c:cat>
          <c:val>
            <c:numRef>
              <c:f>Likert!$AB$3:$AB$6</c:f>
              <c:numCache>
                <c:formatCode>General</c:formatCode>
                <c:ptCount val="4"/>
                <c:pt idx="1">
                  <c:v>1</c:v>
                </c:pt>
                <c:pt idx="2">
                  <c:v>1</c:v>
                </c:pt>
              </c:numCache>
              <c:extLst/>
            </c:numRef>
          </c:val>
          <c:extLst>
            <c:ext xmlns:c16="http://schemas.microsoft.com/office/drawing/2014/chart" uri="{C3380CC4-5D6E-409C-BE32-E72D297353CC}">
              <c16:uniqueId val="{00000002-84A6-41FD-9927-4126D93C2434}"/>
            </c:ext>
          </c:extLst>
        </c:ser>
        <c:ser>
          <c:idx val="3"/>
          <c:order val="3"/>
          <c:tx>
            <c:strRef>
              <c:f>Likert!$AC$1</c:f>
              <c:strCache>
                <c:ptCount val="1"/>
                <c:pt idx="0">
                  <c:v>Disagree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Likert!$Y$3:$Y$6</c:f>
              <c:strCache>
                <c:ptCount val="4"/>
                <c:pt idx="0">
                  <c:v>TEOs</c:v>
                </c:pt>
                <c:pt idx="1">
                  <c:v>Educators/Students</c:v>
                </c:pt>
                <c:pt idx="2">
                  <c:v>Industry Group</c:v>
                </c:pt>
                <c:pt idx="3">
                  <c:v>Research</c:v>
                </c:pt>
              </c:strCache>
              <c:extLst/>
            </c:strRef>
          </c:cat>
          <c:val>
            <c:numRef>
              <c:f>Likert!$AC$3:$AC$6</c:f>
              <c:numCache>
                <c:formatCode>General</c:formatCode>
                <c:ptCount val="4"/>
              </c:numCache>
              <c:extLst/>
            </c:numRef>
          </c:val>
          <c:extLst>
            <c:ext xmlns:c16="http://schemas.microsoft.com/office/drawing/2014/chart" uri="{C3380CC4-5D6E-409C-BE32-E72D297353CC}">
              <c16:uniqueId val="{00000003-84A6-41FD-9927-4126D93C2434}"/>
            </c:ext>
          </c:extLst>
        </c:ser>
        <c:ser>
          <c:idx val="4"/>
          <c:order val="4"/>
          <c:tx>
            <c:strRef>
              <c:f>Likert!$AD$1</c:f>
              <c:strCache>
                <c:ptCount val="1"/>
                <c:pt idx="0">
                  <c:v>Strongly disagree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Likert!$Y$3:$Y$6</c:f>
              <c:strCache>
                <c:ptCount val="4"/>
                <c:pt idx="0">
                  <c:v>TEOs</c:v>
                </c:pt>
                <c:pt idx="1">
                  <c:v>Educators/Students</c:v>
                </c:pt>
                <c:pt idx="2">
                  <c:v>Industry Group</c:v>
                </c:pt>
                <c:pt idx="3">
                  <c:v>Research</c:v>
                </c:pt>
              </c:strCache>
              <c:extLst/>
            </c:strRef>
          </c:cat>
          <c:val>
            <c:numRef>
              <c:f>Likert!$AD$3:$AD$6</c:f>
              <c:numCache>
                <c:formatCode>General</c:formatCode>
                <c:ptCount val="4"/>
              </c:numCache>
              <c:extLst/>
            </c:numRef>
          </c:val>
          <c:extLst>
            <c:ext xmlns:c16="http://schemas.microsoft.com/office/drawing/2014/chart" uri="{C3380CC4-5D6E-409C-BE32-E72D297353CC}">
              <c16:uniqueId val="{00000004-84A6-41FD-9927-4126D93C2434}"/>
            </c:ext>
          </c:extLst>
        </c:ser>
        <c:dLbls>
          <c:dLblPos val="ctr"/>
          <c:showLegendKey val="0"/>
          <c:showVal val="1"/>
          <c:showCatName val="0"/>
          <c:showSerName val="0"/>
          <c:showPercent val="0"/>
          <c:showBubbleSize val="0"/>
        </c:dLbls>
        <c:gapWidth val="150"/>
        <c:overlap val="100"/>
        <c:axId val="353022752"/>
        <c:axId val="353032352"/>
      </c:barChart>
      <c:catAx>
        <c:axId val="3530227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3032352"/>
        <c:crosses val="autoZero"/>
        <c:auto val="1"/>
        <c:lblAlgn val="ctr"/>
        <c:lblOffset val="100"/>
        <c:noMultiLvlLbl val="0"/>
      </c:catAx>
      <c:valAx>
        <c:axId val="353032352"/>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3022752"/>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Likert!$X$10</c:f>
              <c:strCache>
                <c:ptCount val="1"/>
                <c:pt idx="0">
                  <c:v>Strongly 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Likert!$X$11</c:f>
              <c:numCache>
                <c:formatCode>General</c:formatCode>
                <c:ptCount val="1"/>
                <c:pt idx="0">
                  <c:v>5</c:v>
                </c:pt>
              </c:numCache>
            </c:numRef>
          </c:val>
          <c:extLst>
            <c:ext xmlns:c16="http://schemas.microsoft.com/office/drawing/2014/chart" uri="{C3380CC4-5D6E-409C-BE32-E72D297353CC}">
              <c16:uniqueId val="{00000000-8602-4464-B224-1E902B8FF424}"/>
            </c:ext>
          </c:extLst>
        </c:ser>
        <c:ser>
          <c:idx val="1"/>
          <c:order val="1"/>
          <c:tx>
            <c:strRef>
              <c:f>Likert!$Y$10</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Likert!$Y$11</c:f>
              <c:numCache>
                <c:formatCode>General</c:formatCode>
                <c:ptCount val="1"/>
                <c:pt idx="0">
                  <c:v>16</c:v>
                </c:pt>
              </c:numCache>
            </c:numRef>
          </c:val>
          <c:extLst>
            <c:ext xmlns:c16="http://schemas.microsoft.com/office/drawing/2014/chart" uri="{C3380CC4-5D6E-409C-BE32-E72D297353CC}">
              <c16:uniqueId val="{00000001-8602-4464-B224-1E902B8FF424}"/>
            </c:ext>
          </c:extLst>
        </c:ser>
        <c:ser>
          <c:idx val="2"/>
          <c:order val="2"/>
          <c:tx>
            <c:strRef>
              <c:f>Likert!$Z$10</c:f>
              <c:strCache>
                <c:ptCount val="1"/>
                <c:pt idx="0">
                  <c:v>Neutral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Likert!$Z$11</c:f>
              <c:numCache>
                <c:formatCode>General</c:formatCode>
                <c:ptCount val="1"/>
                <c:pt idx="0">
                  <c:v>5</c:v>
                </c:pt>
              </c:numCache>
            </c:numRef>
          </c:val>
          <c:extLst>
            <c:ext xmlns:c16="http://schemas.microsoft.com/office/drawing/2014/chart" uri="{C3380CC4-5D6E-409C-BE32-E72D297353CC}">
              <c16:uniqueId val="{00000002-8602-4464-B224-1E902B8FF424}"/>
            </c:ext>
          </c:extLst>
        </c:ser>
        <c:ser>
          <c:idx val="3"/>
          <c:order val="3"/>
          <c:tx>
            <c:strRef>
              <c:f>Likert!$AA$10</c:f>
              <c:strCache>
                <c:ptCount val="1"/>
                <c:pt idx="0">
                  <c:v>Disagree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Likert!$AA$11</c:f>
              <c:numCache>
                <c:formatCode>General</c:formatCode>
                <c:ptCount val="1"/>
                <c:pt idx="0">
                  <c:v>4</c:v>
                </c:pt>
              </c:numCache>
            </c:numRef>
          </c:val>
          <c:extLst>
            <c:ext xmlns:c16="http://schemas.microsoft.com/office/drawing/2014/chart" uri="{C3380CC4-5D6E-409C-BE32-E72D297353CC}">
              <c16:uniqueId val="{00000003-8602-4464-B224-1E902B8FF424}"/>
            </c:ext>
          </c:extLst>
        </c:ser>
        <c:ser>
          <c:idx val="4"/>
          <c:order val="4"/>
          <c:tx>
            <c:strRef>
              <c:f>Likert!$AB$10</c:f>
              <c:strCache>
                <c:ptCount val="1"/>
                <c:pt idx="0">
                  <c:v>Strongly disagree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Likert!$AB$11</c:f>
              <c:numCache>
                <c:formatCode>General</c:formatCode>
                <c:ptCount val="1"/>
              </c:numCache>
            </c:numRef>
          </c:val>
          <c:extLst>
            <c:ext xmlns:c16="http://schemas.microsoft.com/office/drawing/2014/chart" uri="{C3380CC4-5D6E-409C-BE32-E72D297353CC}">
              <c16:uniqueId val="{00000004-8602-4464-B224-1E902B8FF424}"/>
            </c:ext>
          </c:extLst>
        </c:ser>
        <c:dLbls>
          <c:dLblPos val="ctr"/>
          <c:showLegendKey val="0"/>
          <c:showVal val="1"/>
          <c:showCatName val="0"/>
          <c:showSerName val="0"/>
          <c:showPercent val="0"/>
          <c:showBubbleSize val="0"/>
        </c:dLbls>
        <c:gapWidth val="150"/>
        <c:overlap val="100"/>
        <c:axId val="102544560"/>
        <c:axId val="102538800"/>
      </c:barChart>
      <c:catAx>
        <c:axId val="102544560"/>
        <c:scaling>
          <c:orientation val="minMax"/>
        </c:scaling>
        <c:delete val="1"/>
        <c:axPos val="l"/>
        <c:numFmt formatCode="General" sourceLinked="1"/>
        <c:majorTickMark val="out"/>
        <c:minorTickMark val="none"/>
        <c:tickLblPos val="nextTo"/>
        <c:crossAx val="102538800"/>
        <c:crosses val="autoZero"/>
        <c:auto val="1"/>
        <c:lblAlgn val="ctr"/>
        <c:lblOffset val="100"/>
        <c:noMultiLvlLbl val="0"/>
      </c:catAx>
      <c:valAx>
        <c:axId val="1025388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4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 Tahuhu ALL">
  <a:themeElements>
    <a:clrScheme name="Custom 5">
      <a:dk1>
        <a:sysClr val="windowText" lastClr="000000"/>
      </a:dk1>
      <a:lt1>
        <a:sysClr val="window" lastClr="FFFFFF"/>
      </a:lt1>
      <a:dk2>
        <a:srgbClr val="4C1F41"/>
      </a:dk2>
      <a:lt2>
        <a:srgbClr val="F5F5F5"/>
      </a:lt2>
      <a:accent1>
        <a:srgbClr val="1A5B53"/>
      </a:accent1>
      <a:accent2>
        <a:srgbClr val="5BCEC0"/>
      </a:accent2>
      <a:accent3>
        <a:srgbClr val="0072DA"/>
      </a:accent3>
      <a:accent4>
        <a:srgbClr val="C675B2"/>
      </a:accent4>
      <a:accent5>
        <a:srgbClr val="843671"/>
      </a:accent5>
      <a:accent6>
        <a:srgbClr val="FF3647"/>
      </a:accent6>
      <a:hlink>
        <a:srgbClr val="0072DA"/>
      </a:hlink>
      <a:folHlink>
        <a:srgbClr val="36B37E"/>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E Document" ma:contentTypeID="0x01010053526B971DAC78418EC6A9ED490C61AF005F665C77AD46F544B04FB3D86D999EE3" ma:contentTypeVersion="5" ma:contentTypeDescription="Default document class for adding items via wizard or drag and drop." ma:contentTypeScope="" ma:versionID="07a1fbc5521166c5215fa8c1c2eec61a">
  <xsd:schema xmlns:xsd="http://www.w3.org/2001/XMLSchema" xmlns:xs="http://www.w3.org/2001/XMLSchema" xmlns:p="http://schemas.microsoft.com/office/2006/metadata/properties" xmlns:ns2="d267a1a7-8edd-4111-a118-4a206d87cecc" xmlns:ns3="5b85956e-3091-45a5-9832-27c53c695643" targetNamespace="http://schemas.microsoft.com/office/2006/metadata/properties" ma:root="true" ma:fieldsID="6c478a8fb8471b9fb0287f7938dd695a" ns2:_="" ns3:_="">
    <xsd:import namespace="d267a1a7-8edd-4111-a118-4a206d87cecc"/>
    <xsd:import namespace="5b85956e-3091-45a5-9832-27c53c695643"/>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dba8bca-ec27-4e87-a884-59d758d56f8f}" ma:internalName="TaxCatchAll" ma:showField="CatchAllData" ma:web="5b85956e-3091-45a5-9832-27c53c69564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6dba8bca-ec27-4e87-a884-59d758d56f8f}" ma:internalName="TaxCatchAllLabel" ma:readOnly="true" ma:showField="CatchAllDataLabel" ma:web="5b85956e-3091-45a5-9832-27c53c695643">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85956e-3091-45a5-9832-27c53c695643"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d267a1a7-8edd-4111-a118-4a206d87cecc" xsi:nil="true"/>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5b85956e-3091-45a5-9832-27c53c695643">MoEd-1895607968-126001</_dlc_DocId>
    <_dlc_DocIdUrl xmlns="5b85956e-3091-45a5-9832-27c53c695643">
      <Url>https://educationgovtnz.sharepoint.com/sites/GRPMoETPKTertiaryPolicyRecords/_layouts/15/DocIdRedir.aspx?ID=MoEd-1895607968-126001</Url>
      <Description>MoEd-1895607968-126001</Description>
    </_dlc_DocIdUrl>
  </documentManagement>
</p:properties>
</file>

<file path=customXml/itemProps1.xml><?xml version="1.0" encoding="utf-8"?>
<ds:datastoreItem xmlns:ds="http://schemas.openxmlformats.org/officeDocument/2006/customXml" ds:itemID="{0AC2F3FC-054C-4FB0-8DF9-E6590E2C2AD5}"/>
</file>

<file path=customXml/itemProps2.xml><?xml version="1.0" encoding="utf-8"?>
<ds:datastoreItem xmlns:ds="http://schemas.openxmlformats.org/officeDocument/2006/customXml" ds:itemID="{8DA5AC20-5DA1-4F72-9972-723B9CB45F40}">
  <ds:schemaRefs>
    <ds:schemaRef ds:uri="Microsoft.SharePoint.Taxonomy.ContentTypeSync"/>
  </ds:schemaRefs>
</ds:datastoreItem>
</file>

<file path=customXml/itemProps3.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4.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5.xml><?xml version="1.0" encoding="utf-8"?>
<ds:datastoreItem xmlns:ds="http://schemas.openxmlformats.org/officeDocument/2006/customXml" ds:itemID="{B4C084A0-DAEF-41D9-84DD-FEEFE85E8F1F}">
  <ds:schemaRefs>
    <ds:schemaRef ds:uri="http://schemas.microsoft.com/sharepoint/events"/>
  </ds:schemaRefs>
</ds:datastoreItem>
</file>

<file path=customXml/itemProps6.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d267a1a7-8edd-4111-a118-4a206d87cecc"/>
    <ds:schemaRef ds:uri="5b85956e-3091-45a5-9832-27c53c695643"/>
  </ds:schemaRefs>
</ds:datastoreItem>
</file>

<file path=docMetadata/LabelInfo.xml><?xml version="1.0" encoding="utf-8"?>
<clbl:labelList xmlns:clbl="http://schemas.microsoft.com/office/2020/mipLabelMetadata">
  <clbl:label id="{f4d2c746-782d-4a39-9317-b5845e0e19fe}" enabled="0" method="" siteId="{f4d2c746-782d-4a39-9317-b5845e0e19f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 Tāhuhu report 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Haggland</dc:creator>
  <cp:keywords/>
  <dc:description/>
  <cp:lastModifiedBy>Rosie Watson</cp:lastModifiedBy>
  <cp:revision>77</cp:revision>
  <cp:lastPrinted>2025-10-15T21:01:00Z</cp:lastPrinted>
  <dcterms:created xsi:type="dcterms:W3CDTF">2025-10-14T00:24:00Z</dcterms:created>
  <dcterms:modified xsi:type="dcterms:W3CDTF">2025-10-19T22:17:15Z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310117fb-076e-4c50-a385-f9ab4ff4f2ea</vt:lpwstr>
  </property>
  <property fmtid="{D5CDD505-2E9C-101B-9397-08002B2CF9AE}" pid="4" name="j560beb70aea488fb091e84adbb32566">
    <vt:lpwstr/>
  </property>
  <property fmtid="{D5CDD505-2E9C-101B-9397-08002B2CF9AE}" pid="5" name="Ministerial_x0020_Type">
    <vt:lpwstr/>
  </property>
  <property fmtid="{D5CDD505-2E9C-101B-9397-08002B2CF9AE}" pid="6" name="Property_x0020_Management_x0020_Activity">
    <vt:lpwstr/>
  </property>
  <property fmtid="{D5CDD505-2E9C-101B-9397-08002B2CF9AE}" pid="7" name="hf7c71fd10d346fe8adb3bb49d5c0fc0">
    <vt:lpwstr/>
  </property>
  <property fmtid="{D5CDD505-2E9C-101B-9397-08002B2CF9AE}" pid="8" name="ce139978aae645acb1db0a0e0d3df2f5">
    <vt:lpwstr/>
  </property>
  <property fmtid="{D5CDD505-2E9C-101B-9397-08002B2CF9AE}" pid="9" name="CalendarYear">
    <vt:lpwstr/>
  </property>
  <property fmtid="{D5CDD505-2E9C-101B-9397-08002B2CF9AE}" pid="10" name="FinancialYear">
    <vt:lpwstr/>
  </property>
  <property fmtid="{D5CDD505-2E9C-101B-9397-08002B2CF9AE}" pid="11" name="m06bc18559e9431bb4d590962e6b7f83">
    <vt:lpwstr/>
  </property>
  <property fmtid="{D5CDD505-2E9C-101B-9397-08002B2CF9AE}" pid="12" name="Property Management Activity">
    <vt:lpwstr/>
  </property>
  <property fmtid="{D5CDD505-2E9C-101B-9397-08002B2CF9AE}" pid="13" name="Ministerial Type">
    <vt:lpwstr/>
  </property>
  <property fmtid="{D5CDD505-2E9C-101B-9397-08002B2CF9AE}" pid="14" name="c65b51bc6a0e4ac9b0840b09a1858551">
    <vt:lpwstr/>
  </property>
  <property fmtid="{D5CDD505-2E9C-101B-9397-08002B2CF9AE}" pid="15" name="Record Activity">
    <vt:lpwstr/>
  </property>
  <property fmtid="{D5CDD505-2E9C-101B-9397-08002B2CF9AE}" pid="16" name="ContentTypeId">
    <vt:lpwstr>0x01010053526B971DAC78418EC6A9ED490C61AF005F665C77AD46F544B04FB3D86D999EE3</vt:lpwstr>
  </property>
  <property fmtid="{D5CDD505-2E9C-101B-9397-08002B2CF9AE}" pid="17" name="Record_x0020_Activity">
    <vt:lpwstr/>
  </property>
  <property fmtid="{D5CDD505-2E9C-101B-9397-08002B2CF9AE}" pid="18" name="lcf76f155ced4ddcb4097134ff3c332f">
    <vt:lpwstr/>
  </property>
  <property fmtid="{D5CDD505-2E9C-101B-9397-08002B2CF9AE}" pid="19" name="ClassificationContentMarkingHeaderShapeIds">
    <vt:lpwstr>1d5afda7,7b13ebea,327f91ec,55891a1d</vt:lpwstr>
  </property>
  <property fmtid="{D5CDD505-2E9C-101B-9397-08002B2CF9AE}" pid="20" name="ClassificationContentMarkingHeaderFontProps">
    <vt:lpwstr>#000000,10,Aptos</vt:lpwstr>
  </property>
  <property fmtid="{D5CDD505-2E9C-101B-9397-08002B2CF9AE}" pid="21" name="ClassificationContentMarkingHeaderText">
    <vt:lpwstr>[IN-CONFIDENCE - RELEASE EXTERNAL]</vt:lpwstr>
  </property>
  <property fmtid="{D5CDD505-2E9C-101B-9397-08002B2CF9AE}" pid="22" name="ClassificationContentMarkingFooterShapeIds">
    <vt:lpwstr>399b96f4,7438c3e4,59226556,291746f6</vt:lpwstr>
  </property>
  <property fmtid="{D5CDD505-2E9C-101B-9397-08002B2CF9AE}" pid="23" name="ClassificationContentMarkingFooterFontProps">
    <vt:lpwstr>#000000,10,Aptos</vt:lpwstr>
  </property>
  <property fmtid="{D5CDD505-2E9C-101B-9397-08002B2CF9AE}" pid="24" name="ClassificationContentMarkingFooterText">
    <vt:lpwstr>[IN-CONFIDENCE - RELEASE EXTERNAL]</vt:lpwstr>
  </property>
  <property fmtid="{D5CDD505-2E9C-101B-9397-08002B2CF9AE}" pid="25" name="MSIP_Label_1b4b38d8-92e6-456a-b12b-352d777e74dd_Enabled">
    <vt:lpwstr>true</vt:lpwstr>
  </property>
  <property fmtid="{D5CDD505-2E9C-101B-9397-08002B2CF9AE}" pid="26" name="MSIP_Label_1b4b38d8-92e6-456a-b12b-352d777e74dd_SetDate">
    <vt:lpwstr>2025-10-13T01:19:48Z</vt:lpwstr>
  </property>
  <property fmtid="{D5CDD505-2E9C-101B-9397-08002B2CF9AE}" pid="27" name="MSIP_Label_1b4b38d8-92e6-456a-b12b-352d777e74dd_Method">
    <vt:lpwstr>Privileged</vt:lpwstr>
  </property>
  <property fmtid="{D5CDD505-2E9C-101B-9397-08002B2CF9AE}" pid="28" name="MSIP_Label_1b4b38d8-92e6-456a-b12b-352d777e74dd_Name">
    <vt:lpwstr>IN CONFIDENCE - RELEASE EXTERNAL</vt:lpwstr>
  </property>
  <property fmtid="{D5CDD505-2E9C-101B-9397-08002B2CF9AE}" pid="29" name="MSIP_Label_1b4b38d8-92e6-456a-b12b-352d777e74dd_SiteId">
    <vt:lpwstr>e6d2d4cc-b762-486e-8894-4f5f440d5f31</vt:lpwstr>
  </property>
  <property fmtid="{D5CDD505-2E9C-101B-9397-08002B2CF9AE}" pid="30" name="MSIP_Label_1b4b38d8-92e6-456a-b12b-352d777e74dd_ActionId">
    <vt:lpwstr>290ea6be-73ed-4246-98fb-4fddeaf23a2e</vt:lpwstr>
  </property>
  <property fmtid="{D5CDD505-2E9C-101B-9397-08002B2CF9AE}" pid="31" name="MSIP_Label_1b4b38d8-92e6-456a-b12b-352d777e74dd_ContentBits">
    <vt:lpwstr>3</vt:lpwstr>
  </property>
  <property fmtid="{D5CDD505-2E9C-101B-9397-08002B2CF9AE}" pid="32" name="MSIP_Label_1b4b38d8-92e6-456a-b12b-352d777e74dd_Tag">
    <vt:lpwstr>10, 0, 1, 2</vt:lpwstr>
  </property>
</Properties>
</file>