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rsidR="0022403B" w:rsidP="0022403B" w:rsidRDefault="0022403B" w14:paraId="272C9959" w14:textId="1FEC7D27">
      <w:pPr>
        <w:tabs>
          <w:tab w:val="left" w:pos="2700"/>
        </w:tabs>
        <w:rPr>
          <w:rFonts w:ascii="Arial" w:hAnsi="Arial" w:cs="Arial"/>
          <w:b/>
          <w:bCs/>
          <w:sz w:val="28"/>
          <w:szCs w:val="28"/>
        </w:rPr>
      </w:pPr>
    </w:p>
    <w:p w:rsidRPr="004E5912" w:rsidR="000A1F33" w:rsidP="003B5869" w:rsidRDefault="00DF7778" w14:paraId="69CC4712" w14:textId="52A8110C">
      <w:pPr>
        <w:tabs>
          <w:tab w:val="left" w:pos="2700"/>
        </w:tabs>
        <w:jc w:val="center"/>
      </w:pPr>
      <w:r w:rsidRPr="004E5912">
        <w:rPr>
          <w:rFonts w:ascii="Arial" w:hAnsi="Arial" w:cs="Arial"/>
          <w:b/>
          <w:bCs/>
          <w:sz w:val="28"/>
          <w:szCs w:val="28"/>
        </w:rPr>
        <w:t>HAMILTON WEST</w:t>
      </w:r>
      <w:r w:rsidRPr="004E5912" w:rsidR="005C25D5">
        <w:rPr>
          <w:rFonts w:ascii="Arial" w:hAnsi="Arial" w:cs="Arial"/>
          <w:b/>
          <w:bCs/>
          <w:sz w:val="28"/>
          <w:szCs w:val="28"/>
        </w:rPr>
        <w:t xml:space="preserve"> SCHOOL</w:t>
      </w:r>
      <w:r w:rsidRPr="004E5912" w:rsidR="003D2B71">
        <w:rPr>
          <w:rFonts w:ascii="Arial" w:hAnsi="Arial" w:cs="Arial"/>
          <w:b/>
          <w:bCs/>
          <w:sz w:val="28"/>
          <w:szCs w:val="28"/>
        </w:rPr>
        <w:t xml:space="preserve"> </w:t>
      </w:r>
      <w:r w:rsidRPr="004E5912" w:rsidR="0069102B">
        <w:rPr>
          <w:rFonts w:ascii="Arial" w:hAnsi="Arial" w:cs="Arial"/>
          <w:b/>
          <w:bCs/>
          <w:sz w:val="28"/>
          <w:szCs w:val="28"/>
        </w:rPr>
        <w:t>(</w:t>
      </w:r>
      <w:r w:rsidRPr="004E5912" w:rsidR="005C25D5">
        <w:rPr>
          <w:rFonts w:ascii="Arial" w:hAnsi="Arial" w:cs="Arial"/>
          <w:b/>
          <w:bCs/>
          <w:sz w:val="28"/>
          <w:szCs w:val="28"/>
        </w:rPr>
        <w:t>#</w:t>
      </w:r>
      <w:r w:rsidRPr="004E5912" w:rsidR="00FD4010">
        <w:rPr>
          <w:rFonts w:ascii="Arial" w:hAnsi="Arial" w:cs="Arial"/>
          <w:b/>
          <w:bCs/>
          <w:sz w:val="28"/>
          <w:szCs w:val="28"/>
        </w:rPr>
        <w:t>1</w:t>
      </w:r>
      <w:r w:rsidRPr="004E5912">
        <w:rPr>
          <w:rFonts w:ascii="Arial" w:hAnsi="Arial" w:cs="Arial"/>
          <w:b/>
          <w:bCs/>
          <w:sz w:val="28"/>
          <w:szCs w:val="28"/>
        </w:rPr>
        <w:t>733</w:t>
      </w:r>
      <w:r w:rsidRPr="004E5912" w:rsidR="0069102B">
        <w:rPr>
          <w:rFonts w:ascii="Arial" w:hAnsi="Arial" w:cs="Arial"/>
          <w:b/>
          <w:bCs/>
          <w:sz w:val="28"/>
          <w:szCs w:val="28"/>
        </w:rPr>
        <w:t>)</w:t>
      </w:r>
    </w:p>
    <w:p w:rsidRPr="004E5912" w:rsidR="000A1F33" w:rsidP="003B5869" w:rsidRDefault="0069102B" w14:paraId="5CCF61DE" w14:textId="77777777">
      <w:pPr>
        <w:jc w:val="center"/>
        <w:rPr>
          <w:rFonts w:ascii="Arial" w:hAnsi="Arial" w:cs="Arial"/>
          <w:b/>
          <w:bCs/>
          <w:sz w:val="28"/>
          <w:szCs w:val="28"/>
        </w:rPr>
      </w:pPr>
      <w:r w:rsidRPr="004E5912">
        <w:rPr>
          <w:rFonts w:ascii="Arial" w:hAnsi="Arial" w:cs="Arial"/>
          <w:b/>
          <w:bCs/>
          <w:sz w:val="28"/>
          <w:szCs w:val="28"/>
        </w:rPr>
        <w:t>Enrolment Scheme</w:t>
      </w:r>
    </w:p>
    <w:p w:rsidRPr="004E5912" w:rsidR="000A1F33" w:rsidP="003B5869" w:rsidRDefault="000A1F33" w14:paraId="1AEA63CF" w14:textId="77777777">
      <w:pPr>
        <w:jc w:val="center"/>
      </w:pPr>
    </w:p>
    <w:p w:rsidRPr="004E5912" w:rsidR="00EA02CD" w:rsidP="003B5869" w:rsidRDefault="00413C83" w14:paraId="2D03ADBA" w14:textId="10589FC4">
      <w:pPr>
        <w:jc w:val="center"/>
        <w:rPr>
          <w:rFonts w:ascii="Arial" w:hAnsi="Arial" w:cs="Arial"/>
          <w:sz w:val="22"/>
          <w:szCs w:val="22"/>
          <w:lang w:val="en-GB"/>
        </w:rPr>
      </w:pPr>
      <w:r w:rsidRPr="004E5912">
        <w:rPr>
          <w:rFonts w:ascii="Arial" w:hAnsi="Arial" w:cs="Arial"/>
          <w:sz w:val="22"/>
          <w:szCs w:val="22"/>
          <w:lang w:val="en-GB"/>
        </w:rPr>
        <w:t>Effective from</w:t>
      </w:r>
      <w:r w:rsidRPr="004E5912" w:rsidR="00C771C1">
        <w:rPr>
          <w:rFonts w:ascii="Arial" w:hAnsi="Arial" w:cs="Arial"/>
          <w:sz w:val="22"/>
          <w:szCs w:val="22"/>
          <w:lang w:val="en-GB"/>
        </w:rPr>
        <w:t xml:space="preserve"> </w:t>
      </w:r>
      <w:r w:rsidRPr="004E5912" w:rsidR="007251EA">
        <w:rPr>
          <w:rFonts w:ascii="Arial" w:hAnsi="Arial" w:cs="Arial"/>
          <w:sz w:val="22"/>
          <w:szCs w:val="22"/>
          <w:lang w:val="en-GB"/>
        </w:rPr>
        <w:t>12 October</w:t>
      </w:r>
      <w:r w:rsidRPr="004E5912" w:rsidR="00DE1334">
        <w:rPr>
          <w:rFonts w:ascii="Arial" w:hAnsi="Arial" w:cs="Arial"/>
          <w:sz w:val="22"/>
          <w:szCs w:val="22"/>
          <w:lang w:val="en-GB"/>
        </w:rPr>
        <w:t xml:space="preserve"> 20</w:t>
      </w:r>
      <w:r w:rsidRPr="004E5912" w:rsidR="007251EA">
        <w:rPr>
          <w:rFonts w:ascii="Arial" w:hAnsi="Arial" w:cs="Arial"/>
          <w:sz w:val="22"/>
          <w:szCs w:val="22"/>
          <w:lang w:val="en-GB"/>
        </w:rPr>
        <w:t>07</w:t>
      </w:r>
    </w:p>
    <w:p w:rsidRPr="004E5912" w:rsidR="00F355E0" w:rsidP="003B5869" w:rsidRDefault="00F355E0" w14:paraId="6EFCA107" w14:textId="22092394">
      <w:pPr>
        <w:jc w:val="center"/>
      </w:pPr>
      <w:r w:rsidRPr="004E5912">
        <w:rPr>
          <w:rFonts w:ascii="Arial" w:hAnsi="Arial" w:cs="Arial"/>
          <w:sz w:val="22"/>
          <w:szCs w:val="22"/>
          <w:lang w:val="en-GB"/>
        </w:rPr>
        <w:t xml:space="preserve">Amended on </w:t>
      </w:r>
      <w:r w:rsidRPr="004E5912" w:rsidR="00365881">
        <w:rPr>
          <w:rFonts w:ascii="Arial" w:hAnsi="Arial" w:cs="Arial"/>
          <w:sz w:val="22"/>
          <w:szCs w:val="22"/>
          <w:lang w:val="en-GB"/>
        </w:rPr>
        <w:t xml:space="preserve">TBC </w:t>
      </w:r>
      <w:r w:rsidRPr="004E5912">
        <w:rPr>
          <w:rFonts w:ascii="Arial" w:hAnsi="Arial" w:cs="Arial"/>
          <w:sz w:val="22"/>
          <w:szCs w:val="22"/>
          <w:lang w:val="en-GB"/>
        </w:rPr>
        <w:t>2026</w:t>
      </w:r>
    </w:p>
    <w:p w:rsidRPr="004E5912" w:rsidR="00EA02CD" w:rsidP="003B5869" w:rsidRDefault="00EA02CD" w14:paraId="012C94E3" w14:textId="77777777">
      <w:pPr>
        <w:rPr>
          <w:rFonts w:ascii="Arial" w:hAnsi="Arial" w:cs="Arial"/>
          <w:sz w:val="22"/>
          <w:szCs w:val="22"/>
          <w:lang w:val="en-AU"/>
        </w:rPr>
      </w:pPr>
    </w:p>
    <w:p w:rsidRPr="004E5912" w:rsidR="00923D00" w:rsidP="003B5869" w:rsidRDefault="00923D00" w14:paraId="0F1A97BF" w14:textId="77777777">
      <w:pPr>
        <w:jc w:val="both"/>
        <w:rPr>
          <w:rFonts w:ascii="Arial" w:hAnsi="Arial" w:cs="Arial"/>
          <w:color w:val="000000" w:themeColor="text1"/>
          <w:sz w:val="22"/>
          <w:szCs w:val="22"/>
        </w:rPr>
      </w:pPr>
      <w:r w:rsidRPr="004E5912">
        <w:rPr>
          <w:rFonts w:ascii="Arial" w:hAnsi="Arial" w:cs="Arial"/>
          <w:color w:val="000000" w:themeColor="text1"/>
          <w:sz w:val="22"/>
          <w:szCs w:val="22"/>
        </w:rPr>
        <w:t xml:space="preserve">The development and operation of enrolment schemes is undertaken under authority granted under Schedule 20 of the Education and Training Act 2020, which describes the basis on which the Secretary’s powers in relation to enrolment schemes will be exercised. </w:t>
      </w:r>
    </w:p>
    <w:p w:rsidRPr="004E5912" w:rsidR="003B5869" w:rsidP="003B5869" w:rsidRDefault="007251EA" w14:paraId="19114A3A" w14:textId="749B911A">
      <w:pPr>
        <w:jc w:val="both"/>
        <w:rPr>
          <w:rFonts w:ascii="Arial" w:hAnsi="Arial" w:cs="Arial"/>
          <w:b/>
          <w:bCs/>
          <w:u w:val="single"/>
          <w:lang w:val="en-GB"/>
        </w:rPr>
      </w:pPr>
      <w:r w:rsidRPr="004E5912">
        <w:rPr>
          <w:rFonts w:ascii="Arial" w:hAnsi="Arial" w:cs="Arial"/>
          <w:color w:val="000000" w:themeColor="text1"/>
          <w:sz w:val="22"/>
          <w:szCs w:val="22"/>
        </w:rPr>
        <w:t xml:space="preserve"> </w:t>
      </w:r>
    </w:p>
    <w:p w:rsidRPr="004E5912" w:rsidR="000A1F33" w:rsidP="003B5869" w:rsidRDefault="0069102B" w14:paraId="2A55ACB6" w14:textId="49DC074F">
      <w:pPr>
        <w:jc w:val="both"/>
      </w:pPr>
      <w:r w:rsidRPr="004E5912">
        <w:rPr>
          <w:rFonts w:ascii="Arial" w:hAnsi="Arial" w:cs="Arial"/>
          <w:b/>
          <w:bCs/>
          <w:u w:val="single"/>
          <w:lang w:val="en-GB"/>
        </w:rPr>
        <w:t>Home Zone</w:t>
      </w:r>
    </w:p>
    <w:p w:rsidRPr="004E5912" w:rsidR="00DE65A2" w:rsidP="003B5869" w:rsidRDefault="00DE65A2" w14:paraId="56BBC9EB" w14:textId="77777777">
      <w:pPr>
        <w:spacing w:before="120"/>
        <w:ind w:right="828"/>
        <w:jc w:val="both"/>
        <w:rPr>
          <w:rFonts w:ascii="Arial" w:hAnsi="Arial" w:cs="Arial"/>
          <w:b/>
          <w:bCs/>
          <w:sz w:val="22"/>
          <w:szCs w:val="22"/>
          <w:lang w:val="en-GB"/>
        </w:rPr>
      </w:pPr>
    </w:p>
    <w:p w:rsidRPr="004E5912" w:rsidR="00413C83" w:rsidP="003B5869" w:rsidRDefault="00DE65A2" w14:paraId="33CF81D8" w14:textId="10C44271">
      <w:pPr>
        <w:spacing w:before="120"/>
        <w:ind w:right="828"/>
        <w:jc w:val="both"/>
        <w:rPr>
          <w:rFonts w:ascii="Arial" w:hAnsi="Arial" w:cs="Arial"/>
          <w:b/>
          <w:bCs/>
          <w:sz w:val="22"/>
          <w:szCs w:val="22"/>
          <w:lang w:val="en-GB"/>
        </w:rPr>
      </w:pPr>
      <w:r w:rsidRPr="004E5912">
        <w:rPr>
          <w:rFonts w:ascii="Arial" w:hAnsi="Arial" w:cs="Arial"/>
          <w:b/>
          <w:bCs/>
          <w:sz w:val="22"/>
          <w:szCs w:val="22"/>
        </w:rPr>
        <w:t>All students who live within the home zone described below (and/or shown on the attached map) shall be entitled to enrol at the school.</w:t>
      </w:r>
    </w:p>
    <w:p w:rsidRPr="004E5912" w:rsidR="003B5869" w:rsidP="003B5869" w:rsidRDefault="003B5869" w14:paraId="46FCE377" w14:textId="77777777">
      <w:pPr>
        <w:ind w:left="993" w:right="1110"/>
        <w:jc w:val="both"/>
        <w:rPr>
          <w:rFonts w:ascii="Arial" w:hAnsi="Arial" w:cs="Arial"/>
          <w:i/>
          <w:iCs/>
          <w:sz w:val="22"/>
          <w:szCs w:val="22"/>
        </w:rPr>
      </w:pPr>
    </w:p>
    <w:p w:rsidRPr="004E5912" w:rsidR="00785D9A" w:rsidP="00296160" w:rsidRDefault="00A67C16" w14:paraId="06F85267" w14:textId="4FBFA671">
      <w:pPr>
        <w:ind w:left="993" w:right="1110"/>
        <w:jc w:val="both"/>
        <w:rPr>
          <w:rFonts w:ascii="Arial" w:hAnsi="Arial" w:cs="Arial"/>
          <w:i/>
          <w:iCs/>
          <w:sz w:val="22"/>
          <w:szCs w:val="22"/>
        </w:rPr>
      </w:pPr>
      <w:r w:rsidRPr="004E5912">
        <w:rPr>
          <w:rFonts w:ascii="Arial" w:hAnsi="Arial" w:cs="Arial"/>
          <w:i/>
          <w:iCs/>
          <w:sz w:val="22"/>
          <w:szCs w:val="22"/>
        </w:rPr>
        <w:t xml:space="preserve">The home zone boundary begins in the </w:t>
      </w:r>
      <w:r w:rsidRPr="004E5912" w:rsidR="00B70C17">
        <w:rPr>
          <w:rFonts w:ascii="Arial" w:hAnsi="Arial" w:cs="Arial"/>
          <w:i/>
          <w:iCs/>
          <w:sz w:val="22"/>
          <w:szCs w:val="22"/>
        </w:rPr>
        <w:t>northeast</w:t>
      </w:r>
      <w:r w:rsidRPr="004E5912" w:rsidR="000F0023">
        <w:rPr>
          <w:rFonts w:ascii="Arial" w:hAnsi="Arial" w:cs="Arial"/>
          <w:i/>
          <w:iCs/>
          <w:sz w:val="22"/>
          <w:szCs w:val="22"/>
        </w:rPr>
        <w:t xml:space="preserve">, where Claudelands Road meets the west of the </w:t>
      </w:r>
      <w:r w:rsidRPr="004E5912" w:rsidR="00AB52A8">
        <w:rPr>
          <w:rFonts w:ascii="Arial" w:hAnsi="Arial" w:cs="Arial"/>
          <w:i/>
          <w:iCs/>
          <w:sz w:val="22"/>
          <w:szCs w:val="22"/>
        </w:rPr>
        <w:t>Waikato River</w:t>
      </w:r>
      <w:r w:rsidRPr="004E5912" w:rsidR="00C45868">
        <w:rPr>
          <w:rFonts w:ascii="Arial" w:hAnsi="Arial" w:cs="Arial"/>
          <w:i/>
          <w:iCs/>
          <w:sz w:val="22"/>
          <w:szCs w:val="22"/>
        </w:rPr>
        <w:t>.</w:t>
      </w:r>
      <w:r w:rsidRPr="004E5912" w:rsidR="00296160">
        <w:rPr>
          <w:rFonts w:ascii="Arial" w:hAnsi="Arial" w:cs="Arial"/>
          <w:i/>
          <w:iCs/>
          <w:sz w:val="22"/>
          <w:szCs w:val="22"/>
        </w:rPr>
        <w:t xml:space="preserve"> The zone travels west and </w:t>
      </w:r>
      <w:r w:rsidRPr="004E5912" w:rsidR="00842EB6">
        <w:rPr>
          <w:rFonts w:ascii="Arial" w:hAnsi="Arial" w:cs="Arial"/>
          <w:i/>
          <w:iCs/>
          <w:sz w:val="22"/>
          <w:szCs w:val="22"/>
        </w:rPr>
        <w:t>follows the railway line to the Hamilton Railway Station (includ</w:t>
      </w:r>
      <w:r w:rsidRPr="004E5912" w:rsidR="00220CDD">
        <w:rPr>
          <w:rFonts w:ascii="Arial" w:hAnsi="Arial" w:cs="Arial"/>
          <w:i/>
          <w:iCs/>
          <w:sz w:val="22"/>
          <w:szCs w:val="22"/>
        </w:rPr>
        <w:t>ing addresses</w:t>
      </w:r>
      <w:r w:rsidRPr="004E5912" w:rsidR="00842EB6">
        <w:rPr>
          <w:rFonts w:ascii="Arial" w:hAnsi="Arial" w:cs="Arial"/>
          <w:i/>
          <w:iCs/>
          <w:sz w:val="22"/>
          <w:szCs w:val="22"/>
        </w:rPr>
        <w:t xml:space="preserve"> south side of the line only). </w:t>
      </w:r>
    </w:p>
    <w:p w:rsidRPr="004E5912" w:rsidR="00785D9A" w:rsidP="00296160" w:rsidRDefault="00785D9A" w14:paraId="1E742DAA" w14:textId="77777777">
      <w:pPr>
        <w:ind w:left="993" w:right="1110"/>
        <w:jc w:val="both"/>
        <w:rPr>
          <w:rFonts w:ascii="Arial" w:hAnsi="Arial" w:cs="Arial"/>
          <w:i/>
          <w:iCs/>
          <w:sz w:val="22"/>
          <w:szCs w:val="22"/>
        </w:rPr>
      </w:pPr>
    </w:p>
    <w:p w:rsidRPr="004E5912" w:rsidR="00842EB6" w:rsidP="44A9F1C3" w:rsidRDefault="00842EB6" w14:paraId="57F497C5" w14:textId="7DBA4DE9">
      <w:pPr>
        <w:ind w:left="993" w:right="1110"/>
        <w:jc w:val="both"/>
        <w:rPr>
          <w:rFonts w:ascii="Arial" w:hAnsi="Arial" w:cs="Arial"/>
          <w:i w:val="1"/>
          <w:iCs w:val="1"/>
          <w:sz w:val="22"/>
          <w:szCs w:val="22"/>
        </w:rPr>
      </w:pPr>
      <w:r w:rsidRPr="44A9F1C3" w:rsidR="00842EB6">
        <w:rPr>
          <w:rFonts w:ascii="Arial" w:hAnsi="Arial" w:cs="Arial"/>
          <w:i w:val="1"/>
          <w:iCs w:val="1"/>
          <w:sz w:val="22"/>
          <w:szCs w:val="22"/>
        </w:rPr>
        <w:t>The</w:t>
      </w:r>
      <w:r w:rsidRPr="44A9F1C3" w:rsidR="00622AEB">
        <w:rPr>
          <w:rFonts w:ascii="Arial" w:hAnsi="Arial" w:cs="Arial"/>
          <w:i w:val="1"/>
          <w:iCs w:val="1"/>
          <w:sz w:val="22"/>
          <w:szCs w:val="22"/>
        </w:rPr>
        <w:t xml:space="preserve"> north</w:t>
      </w:r>
      <w:r w:rsidRPr="44A9F1C3" w:rsidR="00842EB6">
        <w:rPr>
          <w:rFonts w:ascii="Arial" w:hAnsi="Arial" w:cs="Arial"/>
          <w:i w:val="1"/>
          <w:iCs w:val="1"/>
          <w:sz w:val="22"/>
          <w:szCs w:val="22"/>
        </w:rPr>
        <w:t xml:space="preserve">western boundary </w:t>
      </w:r>
      <w:r w:rsidRPr="44A9F1C3" w:rsidR="00622AEB">
        <w:rPr>
          <w:rFonts w:ascii="Arial" w:hAnsi="Arial" w:cs="Arial"/>
          <w:i w:val="1"/>
          <w:iCs w:val="1"/>
          <w:sz w:val="22"/>
          <w:szCs w:val="22"/>
        </w:rPr>
        <w:t xml:space="preserve">(between </w:t>
      </w:r>
      <w:r w:rsidRPr="44A9F1C3" w:rsidR="004C7FF1">
        <w:rPr>
          <w:rFonts w:ascii="Arial" w:hAnsi="Arial" w:cs="Arial"/>
          <w:i w:val="1"/>
          <w:iCs w:val="1"/>
          <w:sz w:val="22"/>
          <w:szCs w:val="22"/>
        </w:rPr>
        <w:t xml:space="preserve">Waterloo Street and High Street, Frankton) travels south </w:t>
      </w:r>
      <w:r w:rsidRPr="44A9F1C3" w:rsidR="00842EB6">
        <w:rPr>
          <w:rFonts w:ascii="Arial" w:hAnsi="Arial" w:cs="Arial"/>
          <w:i w:val="1"/>
          <w:iCs w:val="1"/>
          <w:sz w:val="22"/>
          <w:szCs w:val="22"/>
        </w:rPr>
        <w:t>follow</w:t>
      </w:r>
      <w:r w:rsidRPr="44A9F1C3" w:rsidR="00AB52A8">
        <w:rPr>
          <w:rFonts w:ascii="Arial" w:hAnsi="Arial" w:cs="Arial"/>
          <w:i w:val="1"/>
          <w:iCs w:val="1"/>
          <w:sz w:val="22"/>
          <w:szCs w:val="22"/>
        </w:rPr>
        <w:t>ing</w:t>
      </w:r>
      <w:r w:rsidRPr="44A9F1C3" w:rsidR="00842EB6">
        <w:rPr>
          <w:rFonts w:ascii="Arial" w:hAnsi="Arial" w:cs="Arial"/>
          <w:i w:val="1"/>
          <w:iCs w:val="1"/>
          <w:sz w:val="22"/>
          <w:szCs w:val="22"/>
        </w:rPr>
        <w:t xml:space="preserve"> the North Island Main Trunk Railway from Hamilton Railway Station, south to where it intersects with </w:t>
      </w:r>
      <w:r w:rsidRPr="44A9F1C3" w:rsidR="00842EB6">
        <w:rPr>
          <w:rFonts w:ascii="Arial" w:hAnsi="Arial" w:cs="Arial"/>
          <w:i w:val="1"/>
          <w:iCs w:val="1"/>
          <w:sz w:val="22"/>
          <w:szCs w:val="22"/>
        </w:rPr>
        <w:t>Kahikatea Drive (</w:t>
      </w:r>
      <w:r w:rsidRPr="44A9F1C3" w:rsidR="00EC01DB">
        <w:rPr>
          <w:rFonts w:ascii="Arial" w:hAnsi="Arial" w:cs="Arial"/>
          <w:i w:val="1"/>
          <w:iCs w:val="1"/>
          <w:sz w:val="22"/>
          <w:szCs w:val="22"/>
        </w:rPr>
        <w:t xml:space="preserve">addresses numbered </w:t>
      </w:r>
      <w:r w:rsidRPr="44A9F1C3" w:rsidR="00FB4F56">
        <w:rPr>
          <w:rFonts w:ascii="Arial" w:hAnsi="Arial" w:cs="Arial"/>
          <w:i w:val="1"/>
          <w:iCs w:val="1"/>
          <w:sz w:val="22"/>
          <w:szCs w:val="22"/>
        </w:rPr>
        <w:t>227 and below are in-zone</w:t>
      </w:r>
      <w:r w:rsidRPr="44A9F1C3" w:rsidR="008131EE">
        <w:rPr>
          <w:rFonts w:ascii="Arial" w:hAnsi="Arial" w:cs="Arial"/>
          <w:i w:val="1"/>
          <w:iCs w:val="1"/>
          <w:sz w:val="22"/>
          <w:szCs w:val="22"/>
        </w:rPr>
        <w:t xml:space="preserve">, </w:t>
      </w:r>
      <w:r w:rsidRPr="44A9F1C3" w:rsidR="00C31DF7">
        <w:rPr>
          <w:rFonts w:ascii="Arial" w:hAnsi="Arial" w:cs="Arial"/>
          <w:i w:val="1"/>
          <w:iCs w:val="1"/>
          <w:sz w:val="22"/>
          <w:szCs w:val="22"/>
        </w:rPr>
        <w:t>addresses 231 and above are not included in-zone</w:t>
      </w:r>
      <w:r w:rsidRPr="44A9F1C3" w:rsidR="00842EB6">
        <w:rPr>
          <w:rFonts w:ascii="Arial" w:hAnsi="Arial" w:cs="Arial"/>
          <w:i w:val="1"/>
          <w:iCs w:val="1"/>
          <w:sz w:val="22"/>
          <w:szCs w:val="22"/>
        </w:rPr>
        <w:t>).</w:t>
      </w:r>
      <w:r w:rsidRPr="44A9F1C3" w:rsidR="008E2597">
        <w:rPr>
          <w:rFonts w:ascii="Arial" w:hAnsi="Arial" w:cs="Arial"/>
          <w:i w:val="1"/>
          <w:iCs w:val="1"/>
          <w:sz w:val="22"/>
          <w:szCs w:val="22"/>
        </w:rPr>
        <w:t xml:space="preserve"> </w:t>
      </w:r>
      <w:r w:rsidRPr="44A9F1C3" w:rsidR="00842EB6">
        <w:rPr>
          <w:rFonts w:ascii="Arial" w:hAnsi="Arial" w:cs="Arial"/>
          <w:i w:val="1"/>
          <w:iCs w:val="1"/>
          <w:sz w:val="22"/>
          <w:szCs w:val="22"/>
        </w:rPr>
        <w:t>The boundary then runs in a</w:t>
      </w:r>
      <w:r w:rsidRPr="44A9F1C3" w:rsidR="00EB4584">
        <w:rPr>
          <w:rFonts w:ascii="Arial" w:hAnsi="Arial" w:cs="Arial"/>
          <w:i w:val="1"/>
          <w:iCs w:val="1"/>
          <w:sz w:val="22"/>
          <w:szCs w:val="22"/>
        </w:rPr>
        <w:t>n eastward</w:t>
      </w:r>
      <w:r w:rsidRPr="44A9F1C3" w:rsidR="00E04E33">
        <w:rPr>
          <w:rFonts w:ascii="Arial" w:hAnsi="Arial" w:cs="Arial"/>
          <w:i w:val="1"/>
          <w:iCs w:val="1"/>
          <w:sz w:val="22"/>
          <w:szCs w:val="22"/>
        </w:rPr>
        <w:t xml:space="preserve"> </w:t>
      </w:r>
      <w:r w:rsidRPr="44A9F1C3" w:rsidR="00842EB6">
        <w:rPr>
          <w:rFonts w:ascii="Arial" w:hAnsi="Arial" w:cs="Arial"/>
          <w:i w:val="1"/>
          <w:iCs w:val="1"/>
          <w:sz w:val="22"/>
          <w:szCs w:val="22"/>
        </w:rPr>
        <w:t>direction as follows:</w:t>
      </w:r>
    </w:p>
    <w:p w:rsidRPr="004E5912" w:rsidR="00274003" w:rsidP="00296160" w:rsidRDefault="00274003" w14:paraId="7D961A5A" w14:textId="77777777">
      <w:pPr>
        <w:ind w:left="993" w:right="1110"/>
        <w:jc w:val="both"/>
        <w:rPr>
          <w:rFonts w:ascii="Arial" w:hAnsi="Arial" w:cs="Arial"/>
          <w:i/>
          <w:iCs/>
          <w:sz w:val="22"/>
          <w:szCs w:val="22"/>
        </w:rPr>
      </w:pPr>
    </w:p>
    <w:p w:rsidRPr="004E5912" w:rsidR="00274003" w:rsidP="00296160" w:rsidRDefault="00274003" w14:paraId="31B35CCA" w14:textId="17B0C742">
      <w:pPr>
        <w:ind w:left="993" w:right="1110"/>
        <w:jc w:val="both"/>
        <w:rPr>
          <w:rFonts w:ascii="Arial" w:hAnsi="Arial" w:cs="Arial"/>
          <w:i/>
          <w:iCs/>
          <w:sz w:val="22"/>
          <w:szCs w:val="22"/>
        </w:rPr>
      </w:pPr>
      <w:r w:rsidRPr="004E5912">
        <w:rPr>
          <w:rFonts w:ascii="Arial" w:hAnsi="Arial" w:cs="Arial"/>
          <w:i/>
          <w:iCs/>
          <w:sz w:val="22"/>
          <w:szCs w:val="22"/>
        </w:rPr>
        <w:t xml:space="preserve">Travel toward </w:t>
      </w:r>
      <w:r w:rsidRPr="004E5912" w:rsidR="00077747">
        <w:rPr>
          <w:rFonts w:ascii="Arial" w:hAnsi="Arial" w:cs="Arial"/>
          <w:i/>
          <w:iCs/>
          <w:sz w:val="22"/>
          <w:szCs w:val="22"/>
        </w:rPr>
        <w:t>Silkwood Lane</w:t>
      </w:r>
      <w:r w:rsidRPr="004E5912" w:rsidR="00514CD3">
        <w:rPr>
          <w:rFonts w:ascii="Arial" w:hAnsi="Arial" w:cs="Arial"/>
          <w:i/>
          <w:iCs/>
          <w:sz w:val="22"/>
          <w:szCs w:val="22"/>
        </w:rPr>
        <w:t xml:space="preserve">, </w:t>
      </w:r>
      <w:r w:rsidRPr="004E5912" w:rsidR="00B862E3">
        <w:rPr>
          <w:rFonts w:ascii="Arial" w:hAnsi="Arial" w:cs="Arial"/>
          <w:i/>
          <w:iCs/>
          <w:sz w:val="22"/>
          <w:szCs w:val="22"/>
        </w:rPr>
        <w:t>then south towards the end of Lancewood Avenue</w:t>
      </w:r>
      <w:r w:rsidRPr="004E5912" w:rsidR="00514CD3">
        <w:rPr>
          <w:rFonts w:ascii="Arial" w:hAnsi="Arial" w:cs="Arial"/>
          <w:i/>
          <w:iCs/>
          <w:sz w:val="22"/>
          <w:szCs w:val="22"/>
        </w:rPr>
        <w:t xml:space="preserve"> before turning east again</w:t>
      </w:r>
      <w:r w:rsidRPr="004E5912" w:rsidR="000D440A">
        <w:rPr>
          <w:rFonts w:ascii="Arial" w:hAnsi="Arial" w:cs="Arial"/>
          <w:i/>
          <w:iCs/>
          <w:sz w:val="22"/>
          <w:szCs w:val="22"/>
        </w:rPr>
        <w:t xml:space="preserve"> until reaching the intersection of </w:t>
      </w:r>
      <w:r w:rsidRPr="004E5912" w:rsidR="001860B0">
        <w:rPr>
          <w:rFonts w:ascii="Arial" w:hAnsi="Arial" w:cs="Arial"/>
          <w:i/>
          <w:iCs/>
          <w:sz w:val="22"/>
          <w:szCs w:val="22"/>
        </w:rPr>
        <w:t xml:space="preserve">Kahikatea Drive, </w:t>
      </w:r>
      <w:proofErr w:type="spellStart"/>
      <w:r w:rsidRPr="004E5912" w:rsidR="001860B0">
        <w:rPr>
          <w:rFonts w:ascii="Arial" w:hAnsi="Arial" w:cs="Arial"/>
          <w:i/>
          <w:iCs/>
          <w:sz w:val="22"/>
          <w:szCs w:val="22"/>
        </w:rPr>
        <w:t>Ohaupo</w:t>
      </w:r>
      <w:proofErr w:type="spellEnd"/>
      <w:r w:rsidRPr="004E5912" w:rsidR="001860B0">
        <w:rPr>
          <w:rFonts w:ascii="Arial" w:hAnsi="Arial" w:cs="Arial"/>
          <w:i/>
          <w:iCs/>
          <w:sz w:val="22"/>
          <w:szCs w:val="22"/>
        </w:rPr>
        <w:t xml:space="preserve"> Roa</w:t>
      </w:r>
      <w:r w:rsidRPr="004E5912" w:rsidR="005E3D8B">
        <w:rPr>
          <w:rFonts w:ascii="Arial" w:hAnsi="Arial" w:cs="Arial"/>
          <w:i/>
          <w:iCs/>
          <w:sz w:val="22"/>
          <w:szCs w:val="22"/>
        </w:rPr>
        <w:t>d</w:t>
      </w:r>
      <w:r w:rsidRPr="004E5912" w:rsidR="001860B0">
        <w:rPr>
          <w:rFonts w:ascii="Arial" w:hAnsi="Arial" w:cs="Arial"/>
          <w:i/>
          <w:iCs/>
          <w:sz w:val="22"/>
          <w:szCs w:val="22"/>
        </w:rPr>
        <w:t xml:space="preserve"> </w:t>
      </w:r>
      <w:r w:rsidRPr="004E5912" w:rsidR="005E3D8B">
        <w:rPr>
          <w:rFonts w:ascii="Arial" w:hAnsi="Arial" w:cs="Arial"/>
          <w:i/>
          <w:iCs/>
          <w:sz w:val="22"/>
          <w:szCs w:val="22"/>
        </w:rPr>
        <w:t xml:space="preserve">and </w:t>
      </w:r>
      <w:r w:rsidRPr="004E5912" w:rsidR="001860B0">
        <w:rPr>
          <w:rFonts w:ascii="Arial" w:hAnsi="Arial" w:cs="Arial"/>
          <w:i/>
          <w:iCs/>
          <w:sz w:val="22"/>
          <w:szCs w:val="22"/>
        </w:rPr>
        <w:t xml:space="preserve">Lorne </w:t>
      </w:r>
      <w:r w:rsidRPr="004E5912" w:rsidR="005E3D8B">
        <w:rPr>
          <w:rFonts w:ascii="Arial" w:hAnsi="Arial" w:cs="Arial"/>
          <w:i/>
          <w:iCs/>
          <w:sz w:val="22"/>
          <w:szCs w:val="22"/>
        </w:rPr>
        <w:t>Street</w:t>
      </w:r>
      <w:r w:rsidRPr="004E5912" w:rsidR="00514CD3">
        <w:rPr>
          <w:rFonts w:ascii="Arial" w:hAnsi="Arial" w:cs="Arial"/>
          <w:i/>
          <w:iCs/>
          <w:sz w:val="22"/>
          <w:szCs w:val="22"/>
        </w:rPr>
        <w:t>.</w:t>
      </w:r>
      <w:r w:rsidR="00E00CA9">
        <w:rPr>
          <w:rFonts w:ascii="Arial" w:hAnsi="Arial" w:cs="Arial"/>
          <w:i/>
          <w:iCs/>
          <w:sz w:val="22"/>
          <w:szCs w:val="22"/>
        </w:rPr>
        <w:t xml:space="preserve"> </w:t>
      </w:r>
      <w:r w:rsidRPr="004E5912" w:rsidR="00B477CD">
        <w:rPr>
          <w:rFonts w:ascii="Arial" w:hAnsi="Arial" w:cs="Arial"/>
          <w:i/>
          <w:iCs/>
          <w:sz w:val="22"/>
          <w:szCs w:val="22"/>
        </w:rPr>
        <w:t>Tawa an</w:t>
      </w:r>
      <w:r w:rsidRPr="004E5912" w:rsidR="00394EF7">
        <w:rPr>
          <w:rFonts w:ascii="Arial" w:hAnsi="Arial" w:cs="Arial"/>
          <w:i/>
          <w:iCs/>
          <w:sz w:val="22"/>
          <w:szCs w:val="22"/>
        </w:rPr>
        <w:t xml:space="preserve">d Corrin Street </w:t>
      </w:r>
      <w:r w:rsidRPr="004E5912" w:rsidR="00F051D5">
        <w:rPr>
          <w:rFonts w:ascii="Arial" w:hAnsi="Arial" w:cs="Arial"/>
          <w:i/>
          <w:iCs/>
          <w:sz w:val="22"/>
          <w:szCs w:val="22"/>
        </w:rPr>
        <w:t xml:space="preserve">addresses </w:t>
      </w:r>
      <w:r w:rsidRPr="004E5912" w:rsidR="00394EF7">
        <w:rPr>
          <w:rFonts w:ascii="Arial" w:hAnsi="Arial" w:cs="Arial"/>
          <w:i/>
          <w:iCs/>
          <w:sz w:val="22"/>
          <w:szCs w:val="22"/>
        </w:rPr>
        <w:t>are included in-zone</w:t>
      </w:r>
      <w:r w:rsidR="00804592">
        <w:rPr>
          <w:rFonts w:ascii="Arial" w:hAnsi="Arial" w:cs="Arial"/>
          <w:i/>
          <w:iCs/>
          <w:sz w:val="22"/>
          <w:szCs w:val="22"/>
        </w:rPr>
        <w:t>. Filmer Place</w:t>
      </w:r>
      <w:r w:rsidR="001C75C3">
        <w:rPr>
          <w:rFonts w:ascii="Arial" w:hAnsi="Arial" w:cs="Arial"/>
          <w:i/>
          <w:iCs/>
          <w:sz w:val="22"/>
          <w:szCs w:val="22"/>
        </w:rPr>
        <w:t xml:space="preserve">, </w:t>
      </w:r>
      <w:r w:rsidR="00804592">
        <w:rPr>
          <w:rFonts w:ascii="Arial" w:hAnsi="Arial" w:cs="Arial"/>
          <w:i/>
          <w:iCs/>
          <w:sz w:val="22"/>
          <w:szCs w:val="22"/>
        </w:rPr>
        <w:t>Lancewood Ave</w:t>
      </w:r>
      <w:r w:rsidR="00F24D32">
        <w:rPr>
          <w:rFonts w:ascii="Arial" w:hAnsi="Arial" w:cs="Arial"/>
          <w:i/>
          <w:iCs/>
          <w:sz w:val="22"/>
          <w:szCs w:val="22"/>
        </w:rPr>
        <w:t xml:space="preserve">nue and Mahoe Street addresses are not included in-zone. </w:t>
      </w:r>
    </w:p>
    <w:p w:rsidRPr="004E5912" w:rsidR="00BE6494" w:rsidP="00296160" w:rsidRDefault="00BE6494" w14:paraId="14634E44" w14:textId="77777777">
      <w:pPr>
        <w:ind w:left="993" w:right="1110"/>
        <w:jc w:val="both"/>
        <w:rPr>
          <w:rFonts w:ascii="Arial" w:hAnsi="Arial" w:cs="Arial"/>
          <w:i/>
          <w:iCs/>
          <w:sz w:val="22"/>
          <w:szCs w:val="22"/>
        </w:rPr>
      </w:pPr>
    </w:p>
    <w:p w:rsidRPr="004E5912" w:rsidR="00BE6494" w:rsidP="44A9F1C3" w:rsidRDefault="00BE6494" w14:paraId="5CE4A738" w14:textId="18D23EC9">
      <w:pPr>
        <w:ind w:left="993" w:right="1110"/>
        <w:jc w:val="both"/>
        <w:rPr>
          <w:rFonts w:ascii="Arial" w:hAnsi="Arial" w:cs="Arial"/>
          <w:i w:val="1"/>
          <w:iCs w:val="1"/>
          <w:sz w:val="22"/>
          <w:szCs w:val="22"/>
        </w:rPr>
      </w:pPr>
      <w:r w:rsidRPr="44A9F1C3" w:rsidR="00BE6494">
        <w:rPr>
          <w:rFonts w:ascii="Arial" w:hAnsi="Arial" w:cs="Arial"/>
          <w:i w:val="1"/>
          <w:iCs w:val="1"/>
          <w:sz w:val="22"/>
          <w:szCs w:val="22"/>
        </w:rPr>
        <w:t xml:space="preserve">From the intersection, </w:t>
      </w:r>
      <w:r w:rsidRPr="44A9F1C3" w:rsidR="00885B61">
        <w:rPr>
          <w:rFonts w:ascii="Arial" w:hAnsi="Arial" w:cs="Arial"/>
          <w:i w:val="1"/>
          <w:iCs w:val="1"/>
          <w:sz w:val="22"/>
          <w:szCs w:val="22"/>
        </w:rPr>
        <w:t xml:space="preserve">the zone continues up </w:t>
      </w:r>
      <w:r w:rsidRPr="44A9F1C3" w:rsidR="00885B61">
        <w:rPr>
          <w:rFonts w:ascii="Arial" w:hAnsi="Arial" w:cs="Arial"/>
          <w:i w:val="1"/>
          <w:iCs w:val="1"/>
          <w:sz w:val="22"/>
          <w:szCs w:val="22"/>
        </w:rPr>
        <w:t>Ohaupo</w:t>
      </w:r>
      <w:r w:rsidRPr="44A9F1C3" w:rsidR="00885B61">
        <w:rPr>
          <w:rFonts w:ascii="Arial" w:hAnsi="Arial" w:cs="Arial"/>
          <w:i w:val="1"/>
          <w:iCs w:val="1"/>
          <w:sz w:val="22"/>
          <w:szCs w:val="22"/>
        </w:rPr>
        <w:t xml:space="preserve"> Road </w:t>
      </w:r>
      <w:r w:rsidRPr="44A9F1C3" w:rsidR="000210A8">
        <w:rPr>
          <w:rFonts w:ascii="Arial" w:hAnsi="Arial" w:cs="Arial"/>
          <w:i w:val="1"/>
          <w:iCs w:val="1"/>
          <w:sz w:val="22"/>
          <w:szCs w:val="22"/>
        </w:rPr>
        <w:t xml:space="preserve">then travels east across Hague Road </w:t>
      </w:r>
      <w:r w:rsidRPr="44A9F1C3" w:rsidR="000F3EF4">
        <w:rPr>
          <w:rFonts w:ascii="Arial" w:hAnsi="Arial" w:cs="Arial"/>
          <w:i w:val="1"/>
          <w:iCs w:val="1"/>
          <w:sz w:val="22"/>
          <w:szCs w:val="22"/>
        </w:rPr>
        <w:t xml:space="preserve">towards Cobham Drive and reaching the western bank of the Waikato River. </w:t>
      </w:r>
      <w:r w:rsidRPr="44A9F1C3" w:rsidR="001C75C3">
        <w:rPr>
          <w:rFonts w:ascii="Arial" w:hAnsi="Arial" w:cs="Arial"/>
          <w:i w:val="1"/>
          <w:iCs w:val="1"/>
          <w:sz w:val="22"/>
          <w:szCs w:val="22"/>
        </w:rPr>
        <w:t>Lorne Street</w:t>
      </w:r>
      <w:r w:rsidRPr="44A9F1C3" w:rsidR="004615AF">
        <w:rPr>
          <w:rFonts w:ascii="Arial" w:hAnsi="Arial" w:cs="Arial"/>
          <w:i w:val="1"/>
          <w:iCs w:val="1"/>
          <w:sz w:val="22"/>
          <w:szCs w:val="22"/>
        </w:rPr>
        <w:t xml:space="preserve">, </w:t>
      </w:r>
      <w:r w:rsidRPr="44A9F1C3" w:rsidR="00F14CB3">
        <w:rPr>
          <w:rFonts w:ascii="Arial" w:hAnsi="Arial" w:cs="Arial"/>
          <w:i w:val="1"/>
          <w:iCs w:val="1"/>
          <w:sz w:val="22"/>
          <w:szCs w:val="22"/>
        </w:rPr>
        <w:t xml:space="preserve">Dowding Street and Normandy Avenue </w:t>
      </w:r>
      <w:r w:rsidRPr="44A9F1C3" w:rsidR="001C75C3">
        <w:rPr>
          <w:rFonts w:ascii="Arial" w:hAnsi="Arial" w:cs="Arial"/>
          <w:i w:val="1"/>
          <w:iCs w:val="1"/>
          <w:sz w:val="22"/>
          <w:szCs w:val="22"/>
        </w:rPr>
        <w:t xml:space="preserve">addresses are not included in-zone. </w:t>
      </w:r>
    </w:p>
    <w:p w:rsidRPr="004E5912" w:rsidR="000F3EF4" w:rsidP="00296160" w:rsidRDefault="000F3EF4" w14:paraId="48451B78" w14:textId="77777777">
      <w:pPr>
        <w:ind w:left="993" w:right="1110"/>
        <w:jc w:val="both"/>
        <w:rPr>
          <w:rFonts w:ascii="Arial" w:hAnsi="Arial" w:cs="Arial"/>
          <w:i/>
          <w:iCs/>
          <w:sz w:val="22"/>
          <w:szCs w:val="22"/>
        </w:rPr>
      </w:pPr>
    </w:p>
    <w:p w:rsidRPr="00842EB6" w:rsidR="000F3EF4" w:rsidP="44A9F1C3" w:rsidRDefault="000F3EF4" w14:paraId="6F28FEA0" w14:textId="3825D8B2">
      <w:pPr>
        <w:ind w:left="993" w:right="1110"/>
        <w:jc w:val="both"/>
        <w:rPr>
          <w:rFonts w:ascii="Arial" w:hAnsi="Arial" w:cs="Arial"/>
          <w:i w:val="1"/>
          <w:iCs w:val="1"/>
          <w:sz w:val="22"/>
          <w:szCs w:val="22"/>
        </w:rPr>
      </w:pPr>
      <w:r w:rsidRPr="44A9F1C3" w:rsidR="000F3EF4">
        <w:rPr>
          <w:rFonts w:ascii="Arial" w:hAnsi="Arial" w:cs="Arial"/>
          <w:i w:val="1"/>
          <w:iCs w:val="1"/>
          <w:sz w:val="22"/>
          <w:szCs w:val="22"/>
        </w:rPr>
        <w:t xml:space="preserve">The </w:t>
      </w:r>
      <w:r w:rsidRPr="44A9F1C3" w:rsidR="00EF2E33">
        <w:rPr>
          <w:rFonts w:ascii="Arial" w:hAnsi="Arial" w:cs="Arial"/>
          <w:i w:val="1"/>
          <w:iCs w:val="1"/>
          <w:sz w:val="22"/>
          <w:szCs w:val="22"/>
        </w:rPr>
        <w:t xml:space="preserve">zone </w:t>
      </w:r>
      <w:r w:rsidRPr="44A9F1C3" w:rsidR="4D4D2C95">
        <w:rPr>
          <w:rFonts w:ascii="Arial" w:hAnsi="Arial" w:cs="Arial"/>
          <w:i w:val="1"/>
          <w:iCs w:val="1"/>
          <w:sz w:val="22"/>
          <w:szCs w:val="22"/>
        </w:rPr>
        <w:t xml:space="preserve">extends north along </w:t>
      </w:r>
      <w:r w:rsidRPr="44A9F1C3" w:rsidR="00EF2E33">
        <w:rPr>
          <w:rFonts w:ascii="Arial" w:hAnsi="Arial" w:cs="Arial"/>
          <w:i w:val="1"/>
          <w:iCs w:val="1"/>
          <w:sz w:val="22"/>
          <w:szCs w:val="22"/>
        </w:rPr>
        <w:t xml:space="preserve">the river, </w:t>
      </w:r>
      <w:r w:rsidRPr="44A9F1C3" w:rsidR="3278D24E">
        <w:rPr>
          <w:rFonts w:ascii="Arial" w:hAnsi="Arial" w:cs="Arial"/>
          <w:i w:val="1"/>
          <w:iCs w:val="1"/>
          <w:sz w:val="22"/>
          <w:szCs w:val="22"/>
        </w:rPr>
        <w:t xml:space="preserve">to </w:t>
      </w:r>
      <w:r w:rsidRPr="44A9F1C3" w:rsidR="00045814">
        <w:rPr>
          <w:rFonts w:ascii="Arial" w:hAnsi="Arial" w:cs="Arial"/>
          <w:i w:val="1"/>
          <w:iCs w:val="1"/>
          <w:sz w:val="22"/>
          <w:szCs w:val="22"/>
        </w:rPr>
        <w:t>Claudelands</w:t>
      </w:r>
      <w:r w:rsidRPr="44A9F1C3" w:rsidR="00045814">
        <w:rPr>
          <w:rFonts w:ascii="Arial" w:hAnsi="Arial" w:cs="Arial"/>
          <w:i w:val="1"/>
          <w:iCs w:val="1"/>
          <w:sz w:val="22"/>
          <w:szCs w:val="22"/>
        </w:rPr>
        <w:t xml:space="preserve"> Road </w:t>
      </w:r>
      <w:r w:rsidRPr="44A9F1C3" w:rsidR="00B873C4">
        <w:rPr>
          <w:rFonts w:ascii="Arial" w:hAnsi="Arial" w:cs="Arial"/>
          <w:i w:val="1"/>
          <w:iCs w:val="1"/>
          <w:sz w:val="22"/>
          <w:szCs w:val="22"/>
        </w:rPr>
        <w:t>where the home zone beg</w:t>
      </w:r>
      <w:r w:rsidRPr="44A9F1C3" w:rsidR="40DB056B">
        <w:rPr>
          <w:rFonts w:ascii="Arial" w:hAnsi="Arial" w:cs="Arial"/>
          <w:i w:val="1"/>
          <w:iCs w:val="1"/>
          <w:sz w:val="22"/>
          <w:szCs w:val="22"/>
        </w:rPr>
        <w:t>an</w:t>
      </w:r>
      <w:r w:rsidRPr="44A9F1C3" w:rsidR="00B873C4">
        <w:rPr>
          <w:rFonts w:ascii="Arial" w:hAnsi="Arial" w:cs="Arial"/>
          <w:i w:val="1"/>
          <w:iCs w:val="1"/>
          <w:sz w:val="22"/>
          <w:szCs w:val="22"/>
        </w:rPr>
        <w:t>.</w:t>
      </w:r>
      <w:r w:rsidRPr="44A9F1C3" w:rsidR="00B873C4">
        <w:rPr>
          <w:rFonts w:ascii="Arial" w:hAnsi="Arial" w:cs="Arial"/>
          <w:i w:val="1"/>
          <w:iCs w:val="1"/>
          <w:sz w:val="22"/>
          <w:szCs w:val="22"/>
        </w:rPr>
        <w:t xml:space="preserve"> </w:t>
      </w:r>
    </w:p>
    <w:p w:rsidRPr="00842EB6" w:rsidR="00842EB6" w:rsidP="00CC5FD0" w:rsidRDefault="00842EB6" w14:paraId="2F4DA591" w14:textId="77777777">
      <w:pPr>
        <w:ind w:right="1110"/>
        <w:jc w:val="both"/>
        <w:rPr>
          <w:rFonts w:ascii="Arial" w:hAnsi="Arial" w:cs="Arial"/>
          <w:i/>
          <w:iCs/>
          <w:sz w:val="22"/>
          <w:szCs w:val="22"/>
        </w:rPr>
      </w:pPr>
    </w:p>
    <w:p w:rsidRPr="00C80AB5" w:rsidR="00C80AB5" w:rsidP="00C80AB5" w:rsidRDefault="00C80AB5" w14:paraId="42AD288B" w14:textId="77777777">
      <w:pPr>
        <w:spacing w:after="160" w:line="256" w:lineRule="auto"/>
        <w:rPr>
          <w:rFonts w:ascii="Arial" w:hAnsi="Arial" w:eastAsia="Aptos" w:cs="Arial"/>
          <w:kern w:val="2"/>
          <w:sz w:val="22"/>
          <w:szCs w:val="22"/>
          <w:lang w:val="en-AU" w:eastAsia="en-US"/>
          <w14:ligatures w14:val="standardContextual"/>
        </w:rPr>
      </w:pPr>
      <w:r w:rsidRPr="00C80AB5">
        <w:rPr>
          <w:rFonts w:ascii="Arial" w:hAnsi="Arial" w:eastAsia="Aptos" w:cs="Arial"/>
          <w:kern w:val="2"/>
          <w:sz w:val="22"/>
          <w:szCs w:val="22"/>
          <w:lang w:val="en-AU" w:eastAsia="en-US"/>
          <w14:ligatures w14:val="standardContextual"/>
        </w:rPr>
        <w:t xml:space="preserve">Note: Both sides of all streets and roads included in the above description are included unless otherwise stated. </w:t>
      </w:r>
    </w:p>
    <w:p w:rsidRPr="00C80AB5" w:rsidR="00C80AB5" w:rsidP="00C80AB5" w:rsidRDefault="00C80AB5" w14:paraId="07F93956" w14:textId="77777777">
      <w:pPr>
        <w:spacing w:after="160" w:line="256" w:lineRule="auto"/>
        <w:rPr>
          <w:rFonts w:ascii="Arial" w:hAnsi="Arial" w:eastAsia="Aptos" w:cs="Arial"/>
          <w:kern w:val="2"/>
          <w:sz w:val="22"/>
          <w:szCs w:val="22"/>
          <w:lang w:val="en-AU" w:eastAsia="en-US"/>
          <w14:ligatures w14:val="standardContextual"/>
        </w:rPr>
      </w:pPr>
      <w:r w:rsidRPr="00C80AB5">
        <w:rPr>
          <w:rFonts w:ascii="Arial" w:hAnsi="Arial" w:eastAsia="Aptos" w:cs="Arial"/>
          <w:kern w:val="2"/>
          <w:sz w:val="22"/>
          <w:szCs w:val="22"/>
          <w:lang w:val="en-AU" w:eastAsia="en-US"/>
          <w14:ligatures w14:val="standardContextual"/>
        </w:rPr>
        <w:t>Proof of residence within the home zone will be required</w:t>
      </w:r>
      <w:r w:rsidRPr="00C80AB5">
        <w:rPr>
          <w:rFonts w:ascii="Arial" w:hAnsi="Arial" w:eastAsia="Aptos" w:cs="Arial"/>
          <w:i/>
          <w:iCs/>
          <w:kern w:val="2"/>
          <w:sz w:val="22"/>
          <w:szCs w:val="22"/>
          <w:lang w:val="en-AU" w:eastAsia="en-US"/>
          <w14:ligatures w14:val="standardContextual"/>
        </w:rPr>
        <w:t xml:space="preserve">. </w:t>
      </w:r>
    </w:p>
    <w:p w:rsidRPr="00C80AB5" w:rsidR="00C80AB5" w:rsidP="00C80AB5" w:rsidRDefault="00C80AB5" w14:paraId="7F194DBD" w14:textId="77777777">
      <w:pPr>
        <w:spacing w:after="160" w:line="256" w:lineRule="auto"/>
        <w:rPr>
          <w:rFonts w:ascii="Arial" w:hAnsi="Arial" w:eastAsia="Aptos" w:cs="Arial"/>
          <w:kern w:val="2"/>
          <w:sz w:val="22"/>
          <w:szCs w:val="22"/>
          <w:lang w:val="en-AU" w:eastAsia="en-US"/>
          <w14:ligatures w14:val="standardContextual"/>
        </w:rPr>
      </w:pPr>
      <w:r w:rsidRPr="00C80AB5">
        <w:rPr>
          <w:rFonts w:ascii="Arial" w:hAnsi="Arial" w:eastAsia="Aptos" w:cs="Arial"/>
          <w:kern w:val="2"/>
          <w:sz w:val="22"/>
          <w:szCs w:val="22"/>
          <w:lang w:val="en-AU" w:eastAsia="en-US"/>
          <w14:ligatures w14:val="standardContextual"/>
        </w:rPr>
        <w:t xml:space="preserve">Each year, applications for enrolment in the following year from in-zone students will be sought by a date which will be published in a daily or community newspaper circulating in the area served by the school. This will enable the board to assess the number of places which can be made available to students who live outside the home zone. </w:t>
      </w:r>
    </w:p>
    <w:p w:rsidRPr="00C80AB5" w:rsidR="00C80AB5" w:rsidP="00C80AB5" w:rsidRDefault="00C80AB5" w14:paraId="08C84007" w14:textId="77777777">
      <w:pPr>
        <w:spacing w:after="160" w:line="256" w:lineRule="auto"/>
        <w:rPr>
          <w:rFonts w:ascii="Arial" w:hAnsi="Arial" w:eastAsia="Aptos" w:cs="Arial"/>
          <w:kern w:val="2"/>
          <w:sz w:val="22"/>
          <w:szCs w:val="22"/>
          <w:u w:val="single"/>
          <w:lang w:val="en-AU" w:eastAsia="en-US"/>
          <w14:ligatures w14:val="standardContextual"/>
        </w:rPr>
      </w:pPr>
      <w:r w:rsidRPr="00C80AB5">
        <w:rPr>
          <w:rFonts w:ascii="Arial" w:hAnsi="Arial" w:eastAsia="Aptos" w:cs="Arial"/>
          <w:b/>
          <w:bCs/>
          <w:kern w:val="2"/>
          <w:sz w:val="22"/>
          <w:szCs w:val="22"/>
          <w:u w:val="single"/>
          <w:lang w:val="en-AU" w:eastAsia="en-US"/>
          <w14:ligatures w14:val="standardContextual"/>
        </w:rPr>
        <w:t xml:space="preserve">Out of Zone Enrolments </w:t>
      </w:r>
    </w:p>
    <w:p w:rsidRPr="00C80AB5" w:rsidR="00C80AB5" w:rsidP="00C80AB5" w:rsidRDefault="00C80AB5" w14:paraId="054D0378" w14:textId="77777777">
      <w:pPr>
        <w:spacing w:after="160" w:line="256" w:lineRule="auto"/>
        <w:rPr>
          <w:rFonts w:ascii="Arial" w:hAnsi="Arial" w:eastAsia="Aptos" w:cs="Arial"/>
          <w:kern w:val="2"/>
          <w:sz w:val="22"/>
          <w:szCs w:val="22"/>
          <w:lang w:val="en-AU" w:eastAsia="en-US"/>
          <w14:ligatures w14:val="standardContextual"/>
        </w:rPr>
      </w:pPr>
      <w:r w:rsidRPr="00C80AB5">
        <w:rPr>
          <w:rFonts w:ascii="Arial" w:hAnsi="Arial" w:eastAsia="Aptos" w:cs="Arial"/>
          <w:kern w:val="2"/>
          <w:sz w:val="22"/>
          <w:szCs w:val="22"/>
          <w:lang w:val="en-AU" w:eastAsia="en-US"/>
          <w14:ligatures w14:val="standardContextual"/>
        </w:rPr>
        <w:t xml:space="preserve">Each year the board will determine the number of places which are likely to be available in the following year for the enrolment of students who live outside the home zone. The board will publish this information by notice in a daily or community newspaper circulating in the area served by the school. The notice will indicate how applications are to be made and will specify a date by which all applications must be received. </w:t>
      </w:r>
    </w:p>
    <w:p w:rsidRPr="00C80AB5" w:rsidR="00C80AB5" w:rsidP="00C80AB5" w:rsidRDefault="00C80AB5" w14:paraId="768ACB89" w14:textId="77777777">
      <w:pPr>
        <w:spacing w:after="160" w:line="256" w:lineRule="auto"/>
        <w:rPr>
          <w:rFonts w:ascii="Arial" w:hAnsi="Arial" w:eastAsia="Aptos" w:cs="Arial"/>
          <w:kern w:val="2"/>
          <w:sz w:val="22"/>
          <w:szCs w:val="22"/>
          <w:lang w:val="en-AU" w:eastAsia="en-US"/>
          <w14:ligatures w14:val="standardContextual"/>
        </w:rPr>
      </w:pPr>
      <w:r w:rsidRPr="00C80AB5">
        <w:rPr>
          <w:rFonts w:ascii="Arial" w:hAnsi="Arial" w:eastAsia="Aptos" w:cs="Arial"/>
          <w:kern w:val="2"/>
          <w:sz w:val="22"/>
          <w:szCs w:val="22"/>
          <w:lang w:val="en-AU" w:eastAsia="en-US"/>
          <w14:ligatures w14:val="standardContextual"/>
        </w:rPr>
        <w:t xml:space="preserve">Applications for enrolment will be processed in the following order of priority: </w:t>
      </w:r>
    </w:p>
    <w:p w:rsidRPr="00C80AB5" w:rsidR="00C80AB5" w:rsidP="00C80AB5" w:rsidRDefault="00C80AB5" w14:paraId="45AF48C5" w14:textId="77777777">
      <w:pPr>
        <w:spacing w:after="160" w:line="256" w:lineRule="auto"/>
        <w:ind w:left="2160" w:hanging="2160"/>
        <w:rPr>
          <w:rFonts w:ascii="Arial" w:hAnsi="Arial" w:eastAsia="Aptos" w:cs="Arial"/>
          <w:kern w:val="2"/>
          <w:sz w:val="22"/>
          <w:szCs w:val="22"/>
          <w:lang w:val="en-AU" w:eastAsia="en-US"/>
          <w14:ligatures w14:val="standardContextual"/>
        </w:rPr>
      </w:pPr>
      <w:proofErr w:type="gramStart"/>
      <w:r w:rsidRPr="00C80AB5">
        <w:rPr>
          <w:rFonts w:ascii="Arial" w:hAnsi="Arial" w:eastAsia="Aptos" w:cs="Arial"/>
          <w:b/>
          <w:bCs/>
          <w:kern w:val="2"/>
          <w:sz w:val="22"/>
          <w:szCs w:val="22"/>
          <w:lang w:val="en-AU" w:eastAsia="en-US"/>
          <w14:ligatures w14:val="standardContextual"/>
        </w:rPr>
        <w:t>First Priority</w:t>
      </w:r>
      <w:proofErr w:type="gramEnd"/>
      <w:r w:rsidRPr="00C80AB5">
        <w:rPr>
          <w:rFonts w:ascii="Arial" w:hAnsi="Arial" w:eastAsia="Aptos" w:cs="Arial"/>
          <w:b/>
          <w:bCs/>
          <w:kern w:val="2"/>
          <w:sz w:val="22"/>
          <w:szCs w:val="22"/>
          <w:lang w:val="en-AU" w:eastAsia="en-US"/>
          <w14:ligatures w14:val="standardContextual"/>
        </w:rPr>
        <w:t xml:space="preserve"> </w:t>
      </w:r>
      <w:r w:rsidRPr="00C80AB5">
        <w:rPr>
          <w:rFonts w:ascii="Arial" w:hAnsi="Arial" w:eastAsia="Aptos" w:cs="Arial"/>
          <w:b/>
          <w:bCs/>
          <w:kern w:val="2"/>
          <w:sz w:val="22"/>
          <w:szCs w:val="22"/>
          <w:lang w:val="en-AU" w:eastAsia="en-US"/>
          <w14:ligatures w14:val="standardContextual"/>
        </w:rPr>
        <w:tab/>
      </w:r>
      <w:r w:rsidRPr="00C80AB5">
        <w:rPr>
          <w:rFonts w:ascii="Arial" w:hAnsi="Arial" w:eastAsia="Aptos" w:cs="Arial"/>
          <w:kern w:val="2"/>
          <w:sz w:val="22"/>
          <w:szCs w:val="22"/>
          <w:lang w:val="en-AU" w:eastAsia="en-US"/>
          <w14:ligatures w14:val="standardContextual"/>
        </w:rPr>
        <w:t xml:space="preserve">this priority is not applicable at this school because the school does not run a special programme approved by the Secretary for Education. </w:t>
      </w:r>
    </w:p>
    <w:p w:rsidRPr="00C80AB5" w:rsidR="00C80AB5" w:rsidP="00C80AB5" w:rsidRDefault="00C80AB5" w14:paraId="70878D19" w14:textId="77777777">
      <w:pPr>
        <w:spacing w:after="160" w:line="256" w:lineRule="auto"/>
        <w:rPr>
          <w:rFonts w:ascii="Arial" w:hAnsi="Arial" w:eastAsia="Aptos" w:cs="Arial"/>
          <w:kern w:val="2"/>
          <w:sz w:val="22"/>
          <w:szCs w:val="22"/>
          <w:lang w:val="en-AU" w:eastAsia="en-US"/>
          <w14:ligatures w14:val="standardContextual"/>
        </w:rPr>
      </w:pPr>
      <w:r w:rsidRPr="00C80AB5">
        <w:rPr>
          <w:rFonts w:ascii="Arial" w:hAnsi="Arial" w:eastAsia="Aptos" w:cs="Arial"/>
          <w:b/>
          <w:bCs/>
          <w:kern w:val="2"/>
          <w:sz w:val="22"/>
          <w:szCs w:val="22"/>
          <w:lang w:val="en-AU" w:eastAsia="en-US"/>
          <w14:ligatures w14:val="standardContextual"/>
        </w:rPr>
        <w:t xml:space="preserve">Second Priority </w:t>
      </w:r>
      <w:r w:rsidRPr="00C80AB5">
        <w:rPr>
          <w:rFonts w:ascii="Arial" w:hAnsi="Arial" w:eastAsia="Aptos" w:cs="Arial"/>
          <w:b/>
          <w:bCs/>
          <w:kern w:val="2"/>
          <w:sz w:val="22"/>
          <w:szCs w:val="22"/>
          <w:lang w:val="en-AU" w:eastAsia="en-US"/>
          <w14:ligatures w14:val="standardContextual"/>
        </w:rPr>
        <w:tab/>
      </w:r>
      <w:r w:rsidRPr="00C80AB5">
        <w:rPr>
          <w:rFonts w:ascii="Arial" w:hAnsi="Arial" w:eastAsia="Aptos" w:cs="Arial"/>
          <w:kern w:val="2"/>
          <w:sz w:val="22"/>
          <w:szCs w:val="22"/>
          <w:lang w:val="en-AU" w:eastAsia="en-US"/>
          <w14:ligatures w14:val="standardContextual"/>
        </w:rPr>
        <w:t xml:space="preserve">will be given to applicants who are siblings of current students. </w:t>
      </w:r>
    </w:p>
    <w:p w:rsidRPr="00C80AB5" w:rsidR="00C80AB5" w:rsidP="00C80AB5" w:rsidRDefault="00C80AB5" w14:paraId="1B3CE8A0" w14:textId="77777777">
      <w:pPr>
        <w:spacing w:after="160" w:line="256" w:lineRule="auto"/>
        <w:rPr>
          <w:rFonts w:ascii="Arial" w:hAnsi="Arial" w:eastAsia="Aptos" w:cs="Arial"/>
          <w:kern w:val="2"/>
          <w:sz w:val="22"/>
          <w:szCs w:val="22"/>
          <w:lang w:val="en-AU" w:eastAsia="en-US"/>
          <w14:ligatures w14:val="standardContextual"/>
        </w:rPr>
      </w:pPr>
      <w:r w:rsidRPr="00C80AB5">
        <w:rPr>
          <w:rFonts w:ascii="Arial" w:hAnsi="Arial" w:eastAsia="Aptos" w:cs="Arial"/>
          <w:b/>
          <w:bCs/>
          <w:kern w:val="2"/>
          <w:sz w:val="22"/>
          <w:szCs w:val="22"/>
          <w:lang w:val="en-AU" w:eastAsia="en-US"/>
          <w14:ligatures w14:val="standardContextual"/>
        </w:rPr>
        <w:t xml:space="preserve">Third Priority </w:t>
      </w:r>
      <w:r w:rsidRPr="00C80AB5">
        <w:rPr>
          <w:rFonts w:ascii="Arial" w:hAnsi="Arial" w:eastAsia="Aptos" w:cs="Arial"/>
          <w:b/>
          <w:bCs/>
          <w:kern w:val="2"/>
          <w:sz w:val="22"/>
          <w:szCs w:val="22"/>
          <w:lang w:val="en-AU" w:eastAsia="en-US"/>
          <w14:ligatures w14:val="standardContextual"/>
        </w:rPr>
        <w:tab/>
      </w:r>
      <w:r w:rsidRPr="00C80AB5">
        <w:rPr>
          <w:rFonts w:ascii="Arial" w:hAnsi="Arial" w:eastAsia="Aptos" w:cs="Arial"/>
          <w:kern w:val="2"/>
          <w:sz w:val="22"/>
          <w:szCs w:val="22"/>
          <w:lang w:val="en-AU" w:eastAsia="en-US"/>
          <w14:ligatures w14:val="standardContextual"/>
        </w:rPr>
        <w:t xml:space="preserve">will be given to applicants who are siblings of former students. </w:t>
      </w:r>
    </w:p>
    <w:p w:rsidRPr="00C80AB5" w:rsidR="00C80AB5" w:rsidP="00C80AB5" w:rsidRDefault="00C80AB5" w14:paraId="0AB51560" w14:textId="77777777">
      <w:pPr>
        <w:spacing w:after="160" w:line="256" w:lineRule="auto"/>
        <w:ind w:left="2160" w:hanging="2160"/>
        <w:rPr>
          <w:rFonts w:ascii="Arial" w:hAnsi="Arial" w:eastAsia="Aptos" w:cs="Arial"/>
          <w:kern w:val="2"/>
          <w:sz w:val="22"/>
          <w:szCs w:val="22"/>
          <w:lang w:val="en-AU" w:eastAsia="en-US"/>
          <w14:ligatures w14:val="standardContextual"/>
        </w:rPr>
      </w:pPr>
      <w:r w:rsidRPr="00C80AB5">
        <w:rPr>
          <w:rFonts w:ascii="Arial" w:hAnsi="Arial" w:eastAsia="Aptos" w:cs="Arial"/>
          <w:b/>
          <w:bCs/>
          <w:kern w:val="2"/>
          <w:sz w:val="22"/>
          <w:szCs w:val="22"/>
          <w:lang w:val="en-AU" w:eastAsia="en-US"/>
          <w14:ligatures w14:val="standardContextual"/>
        </w:rPr>
        <w:t xml:space="preserve">Fourth Priority </w:t>
      </w:r>
      <w:r w:rsidRPr="00C80AB5">
        <w:rPr>
          <w:rFonts w:ascii="Arial" w:hAnsi="Arial" w:eastAsia="Aptos" w:cs="Arial"/>
          <w:b/>
          <w:bCs/>
          <w:kern w:val="2"/>
          <w:sz w:val="22"/>
          <w:szCs w:val="22"/>
          <w:lang w:val="en-AU" w:eastAsia="en-US"/>
          <w14:ligatures w14:val="standardContextual"/>
        </w:rPr>
        <w:tab/>
      </w:r>
      <w:r w:rsidRPr="00C80AB5">
        <w:rPr>
          <w:rFonts w:ascii="Arial" w:hAnsi="Arial" w:eastAsia="Aptos" w:cs="Arial"/>
          <w:kern w:val="2"/>
          <w:sz w:val="22"/>
          <w:szCs w:val="22"/>
          <w:lang w:val="en-AU" w:eastAsia="en-US"/>
          <w14:ligatures w14:val="standardContextual"/>
        </w:rPr>
        <w:t xml:space="preserve">will be given to any applicant who is a child of a former student of the school. </w:t>
      </w:r>
    </w:p>
    <w:p w:rsidRPr="00C80AB5" w:rsidR="00C80AB5" w:rsidP="00C80AB5" w:rsidRDefault="00C80AB5" w14:paraId="6001AFC8" w14:textId="77777777">
      <w:pPr>
        <w:spacing w:after="160" w:line="256" w:lineRule="auto"/>
        <w:ind w:left="2160" w:hanging="2160"/>
        <w:rPr>
          <w:rFonts w:ascii="Arial" w:hAnsi="Arial" w:eastAsia="Aptos" w:cs="Arial"/>
          <w:kern w:val="2"/>
          <w:sz w:val="22"/>
          <w:szCs w:val="22"/>
          <w:lang w:val="en-AU" w:eastAsia="en-US"/>
          <w14:ligatures w14:val="standardContextual"/>
        </w:rPr>
      </w:pPr>
      <w:r w:rsidRPr="00C80AB5">
        <w:rPr>
          <w:rFonts w:ascii="Arial" w:hAnsi="Arial" w:eastAsia="Aptos" w:cs="Arial"/>
          <w:b/>
          <w:bCs/>
          <w:kern w:val="2"/>
          <w:sz w:val="22"/>
          <w:szCs w:val="22"/>
          <w:lang w:val="en-AU" w:eastAsia="en-US"/>
          <w14:ligatures w14:val="standardContextual"/>
        </w:rPr>
        <w:t xml:space="preserve">Fifth Priority </w:t>
      </w:r>
      <w:r w:rsidRPr="00C80AB5">
        <w:rPr>
          <w:rFonts w:ascii="Arial" w:hAnsi="Arial" w:eastAsia="Aptos" w:cs="Arial"/>
          <w:b/>
          <w:bCs/>
          <w:kern w:val="2"/>
          <w:sz w:val="22"/>
          <w:szCs w:val="22"/>
          <w:lang w:val="en-AU" w:eastAsia="en-US"/>
          <w14:ligatures w14:val="standardContextual"/>
        </w:rPr>
        <w:tab/>
      </w:r>
      <w:r w:rsidRPr="00C80AB5">
        <w:rPr>
          <w:rFonts w:ascii="Arial" w:hAnsi="Arial" w:eastAsia="Aptos" w:cs="Arial"/>
          <w:kern w:val="2"/>
          <w:sz w:val="22"/>
          <w:szCs w:val="22"/>
          <w:lang w:val="en-AU" w:eastAsia="en-US"/>
          <w14:ligatures w14:val="standardContextual"/>
        </w:rPr>
        <w:t xml:space="preserve">will be given to any applicant who is either a child of an employee of the board of the school or a child of a member of the board of the school. </w:t>
      </w:r>
    </w:p>
    <w:p w:rsidRPr="00C80AB5" w:rsidR="00C80AB5" w:rsidP="00C80AB5" w:rsidRDefault="00C80AB5" w14:paraId="3BC1766E" w14:textId="77777777">
      <w:pPr>
        <w:spacing w:after="160" w:line="256" w:lineRule="auto"/>
        <w:rPr>
          <w:rFonts w:ascii="Arial" w:hAnsi="Arial" w:eastAsia="Aptos" w:cs="Arial"/>
          <w:kern w:val="2"/>
          <w:sz w:val="22"/>
          <w:szCs w:val="22"/>
          <w:lang w:val="en-AU" w:eastAsia="en-US"/>
          <w14:ligatures w14:val="standardContextual"/>
        </w:rPr>
      </w:pPr>
      <w:r w:rsidRPr="00C80AB5">
        <w:rPr>
          <w:rFonts w:ascii="Arial" w:hAnsi="Arial" w:eastAsia="Aptos" w:cs="Arial"/>
          <w:b/>
          <w:bCs/>
          <w:kern w:val="2"/>
          <w:sz w:val="22"/>
          <w:szCs w:val="22"/>
          <w:lang w:val="en-AU" w:eastAsia="en-US"/>
          <w14:ligatures w14:val="standardContextual"/>
        </w:rPr>
        <w:t xml:space="preserve">Sixth Priority </w:t>
      </w:r>
      <w:r w:rsidRPr="00C80AB5">
        <w:rPr>
          <w:rFonts w:ascii="Arial" w:hAnsi="Arial" w:eastAsia="Aptos" w:cs="Arial"/>
          <w:b/>
          <w:bCs/>
          <w:kern w:val="2"/>
          <w:sz w:val="22"/>
          <w:szCs w:val="22"/>
          <w:lang w:val="en-AU" w:eastAsia="en-US"/>
          <w14:ligatures w14:val="standardContextual"/>
        </w:rPr>
        <w:tab/>
      </w:r>
      <w:r w:rsidRPr="00C80AB5">
        <w:rPr>
          <w:rFonts w:ascii="Arial" w:hAnsi="Arial" w:eastAsia="Aptos" w:cs="Arial"/>
          <w:b/>
          <w:bCs/>
          <w:kern w:val="2"/>
          <w:sz w:val="22"/>
          <w:szCs w:val="22"/>
          <w:lang w:val="en-AU" w:eastAsia="en-US"/>
          <w14:ligatures w14:val="standardContextual"/>
        </w:rPr>
        <w:tab/>
      </w:r>
      <w:r w:rsidRPr="00C80AB5">
        <w:rPr>
          <w:rFonts w:ascii="Arial" w:hAnsi="Arial" w:eastAsia="Aptos" w:cs="Arial"/>
          <w:kern w:val="2"/>
          <w:sz w:val="22"/>
          <w:szCs w:val="22"/>
          <w:lang w:val="en-AU" w:eastAsia="en-US"/>
          <w14:ligatures w14:val="standardContextual"/>
        </w:rPr>
        <w:t xml:space="preserve">will be given to all other applicants. </w:t>
      </w:r>
    </w:p>
    <w:p w:rsidR="006274C1" w:rsidP="00B3126C" w:rsidRDefault="006274C1" w14:paraId="3C8A3CA5" w14:textId="77777777">
      <w:pPr>
        <w:jc w:val="both"/>
        <w:rPr>
          <w:rFonts w:ascii="Arial" w:hAnsi="Arial" w:cs="Arial"/>
          <w:iCs/>
          <w:sz w:val="22"/>
          <w:szCs w:val="22"/>
        </w:rPr>
      </w:pPr>
    </w:p>
    <w:p w:rsidR="00C80AB5" w:rsidP="00B3126C" w:rsidRDefault="00C80AB5" w14:paraId="20D841AE" w14:textId="77777777">
      <w:pPr>
        <w:jc w:val="both"/>
        <w:rPr>
          <w:rFonts w:ascii="Arial" w:hAnsi="Arial" w:cs="Arial"/>
          <w:iCs/>
          <w:sz w:val="22"/>
          <w:szCs w:val="22"/>
        </w:rPr>
      </w:pPr>
    </w:p>
    <w:p w:rsidRPr="00B76F53" w:rsidR="006274C1" w:rsidP="00B3126C" w:rsidRDefault="00401735" w14:paraId="62E91653" w14:textId="2E23E867">
      <w:pPr>
        <w:jc w:val="both"/>
        <w:rPr>
          <w:rFonts w:ascii="Arial" w:hAnsi="Arial" w:cs="Arial"/>
          <w:iCs/>
          <w:sz w:val="22"/>
          <w:szCs w:val="22"/>
        </w:rPr>
      </w:pPr>
      <w:r w:rsidRPr="00B76F53">
        <w:rPr>
          <w:rFonts w:ascii="Arial" w:hAnsi="Arial" w:cs="Arial"/>
          <w:iCs/>
          <w:sz w:val="22"/>
          <w:szCs w:val="22"/>
        </w:rPr>
        <w:t>If there are more applicants in the second, third, fourth, fifth or sixth priority groups than there are places available, Selection within the priority group will be by ballot conducted in accordance with instructions by the Secretary, under Schedule 20, Clause 3 (1) of the Education and Training Act 2020. Parents will be informed of the date of any ballot by public notice in a medium appropriate to the area served by the school.</w:t>
      </w:r>
    </w:p>
    <w:p w:rsidRPr="00B76F53" w:rsidR="00401735" w:rsidP="00B3126C" w:rsidRDefault="00401735" w14:paraId="45852FBA" w14:textId="77777777">
      <w:pPr>
        <w:jc w:val="both"/>
        <w:rPr>
          <w:rFonts w:ascii="Arial" w:hAnsi="Arial" w:cs="Arial"/>
          <w:b/>
          <w:bCs/>
          <w:iCs/>
          <w:sz w:val="22"/>
          <w:szCs w:val="22"/>
        </w:rPr>
      </w:pPr>
    </w:p>
    <w:p w:rsidRPr="00B3126C" w:rsidR="00B3126C" w:rsidP="00B3126C" w:rsidRDefault="00B3126C" w14:paraId="59DC742B" w14:textId="1E454808">
      <w:pPr>
        <w:jc w:val="both"/>
        <w:rPr>
          <w:rFonts w:ascii="Arial" w:hAnsi="Arial" w:cs="Arial"/>
          <w:iCs/>
          <w:sz w:val="22"/>
          <w:szCs w:val="22"/>
        </w:rPr>
      </w:pPr>
      <w:r w:rsidRPr="00B76F53">
        <w:rPr>
          <w:rFonts w:ascii="Arial" w:hAnsi="Arial" w:cs="Arial"/>
          <w:b/>
          <w:bCs/>
          <w:iCs/>
          <w:sz w:val="22"/>
          <w:szCs w:val="22"/>
        </w:rPr>
        <w:t>Applicants seeking second or third priority status may be required to give proof of a sibling relationship.</w:t>
      </w:r>
    </w:p>
    <w:p w:rsidR="00FA3144" w:rsidP="00B3126C" w:rsidRDefault="00FA3144" w14:paraId="791D6B93" w14:textId="77777777">
      <w:pPr>
        <w:jc w:val="both"/>
        <w:rPr>
          <w:lang w:val="en-AU"/>
        </w:rPr>
      </w:pPr>
    </w:p>
    <w:sectPr w:rsidR="00FA3144" w:rsidSect="00E924F0">
      <w:headerReference w:type="even" r:id="rId13"/>
      <w:headerReference w:type="default" r:id="rId14"/>
      <w:footerReference w:type="even" r:id="rId15"/>
      <w:footerReference w:type="default" r:id="rId16"/>
      <w:headerReference w:type="first" r:id="rId17"/>
      <w:footerReference w:type="first" r:id="rId18"/>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4B7" w:rsidP="0069102B" w:rsidRDefault="00CF44B7" w14:paraId="6F9813EC" w14:textId="77777777">
      <w:r>
        <w:separator/>
      </w:r>
    </w:p>
  </w:endnote>
  <w:endnote w:type="continuationSeparator" w:id="0">
    <w:p w:rsidR="00CF44B7" w:rsidP="0069102B" w:rsidRDefault="00CF44B7" w14:paraId="38DC5582" w14:textId="77777777">
      <w:r>
        <w:continuationSeparator/>
      </w:r>
    </w:p>
  </w:endnote>
  <w:endnote w:type="continuationNotice" w:id="1">
    <w:p w:rsidR="00CF44B7" w:rsidRDefault="00CF44B7" w14:paraId="7AC1F7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C539B" w:rsidRDefault="004232A2" w14:paraId="5151E189" w14:textId="03326BFD">
    <w:pPr>
      <w:pStyle w:val="Footer"/>
    </w:pPr>
    <w:r>
      <w:rPr>
        <w:noProof/>
      </w:rPr>
      <mc:AlternateContent>
        <mc:Choice Requires="wps">
          <w:drawing>
            <wp:anchor distT="0" distB="0" distL="0" distR="0" simplePos="0" relativeHeight="251658752" behindDoc="0" locked="0" layoutInCell="1" allowOverlap="1" wp14:anchorId="40657D96" wp14:editId="628868D0">
              <wp:simplePos x="635" y="635"/>
              <wp:positionH relativeFrom="page">
                <wp:align>center</wp:align>
              </wp:positionH>
              <wp:positionV relativeFrom="page">
                <wp:align>bottom</wp:align>
              </wp:positionV>
              <wp:extent cx="815340" cy="345440"/>
              <wp:effectExtent l="0" t="0" r="3810" b="0"/>
              <wp:wrapNone/>
              <wp:docPr id="45626887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4232A2" w:rsidR="004232A2" w:rsidP="004232A2" w:rsidRDefault="004232A2" w14:paraId="43267D13" w14:textId="369922EF">
                          <w:pPr>
                            <w:rPr>
                              <w:rFonts w:ascii="Calibri" w:hAnsi="Calibri" w:eastAsia="Calibri" w:cs="Calibri"/>
                              <w:noProof/>
                              <w:color w:val="000000"/>
                              <w:sz w:val="20"/>
                              <w:szCs w:val="20"/>
                            </w:rPr>
                          </w:pPr>
                          <w:r w:rsidRPr="004232A2">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0657D96">
              <v:stroke joinstyle="miter"/>
              <v:path gradientshapeok="t" o:connecttype="rect"/>
            </v:shapetype>
            <v:shape id="Text Box 5" style="position:absolute;margin-left:0;margin-top:0;width:64.2pt;height:27.2pt;z-index:251658752;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v:textbox style="mso-fit-shape-to-text:t" inset="0,0,0,15pt">
                <w:txbxContent>
                  <w:p w:rsidRPr="004232A2" w:rsidR="004232A2" w:rsidP="004232A2" w:rsidRDefault="004232A2" w14:paraId="43267D13" w14:textId="369922EF">
                    <w:pPr>
                      <w:rPr>
                        <w:rFonts w:ascii="Calibri" w:hAnsi="Calibri" w:eastAsia="Calibri" w:cs="Calibri"/>
                        <w:noProof/>
                        <w:color w:val="000000"/>
                        <w:sz w:val="20"/>
                        <w:szCs w:val="20"/>
                      </w:rPr>
                    </w:pPr>
                    <w:r w:rsidRPr="004232A2">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C539B" w:rsidRDefault="004232A2" w14:paraId="162DD70E" w14:textId="2F06FF94">
    <w:pPr>
      <w:pStyle w:val="Footer"/>
    </w:pPr>
    <w:r>
      <w:rPr>
        <w:noProof/>
      </w:rPr>
      <mc:AlternateContent>
        <mc:Choice Requires="wps">
          <w:drawing>
            <wp:anchor distT="0" distB="0" distL="0" distR="0" simplePos="0" relativeHeight="251659776" behindDoc="0" locked="0" layoutInCell="1" allowOverlap="1" wp14:anchorId="3A87A955" wp14:editId="2968D440">
              <wp:simplePos x="461319" y="10116065"/>
              <wp:positionH relativeFrom="page">
                <wp:align>center</wp:align>
              </wp:positionH>
              <wp:positionV relativeFrom="page">
                <wp:align>bottom</wp:align>
              </wp:positionV>
              <wp:extent cx="815340" cy="345440"/>
              <wp:effectExtent l="0" t="0" r="3810" b="0"/>
              <wp:wrapNone/>
              <wp:docPr id="270011283"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4232A2" w:rsidR="004232A2" w:rsidP="004232A2" w:rsidRDefault="004232A2" w14:paraId="21CC552F" w14:textId="36ECB295">
                          <w:pPr>
                            <w:rPr>
                              <w:rFonts w:ascii="Calibri" w:hAnsi="Calibri" w:eastAsia="Calibri" w:cs="Calibri"/>
                              <w:noProof/>
                              <w:color w:val="000000"/>
                              <w:sz w:val="20"/>
                              <w:szCs w:val="20"/>
                            </w:rPr>
                          </w:pPr>
                          <w:r w:rsidRPr="004232A2">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A87A955">
              <v:stroke joinstyle="miter"/>
              <v:path gradientshapeok="t" o:connecttype="rect"/>
            </v:shapetype>
            <v:shape id="Text Box 6" style="position:absolute;margin-left:0;margin-top:0;width:64.2pt;height:27.2pt;z-index:251659776;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v:textbox style="mso-fit-shape-to-text:t" inset="0,0,0,15pt">
                <w:txbxContent>
                  <w:p w:rsidRPr="004232A2" w:rsidR="004232A2" w:rsidP="004232A2" w:rsidRDefault="004232A2" w14:paraId="21CC552F" w14:textId="36ECB295">
                    <w:pPr>
                      <w:rPr>
                        <w:rFonts w:ascii="Calibri" w:hAnsi="Calibri" w:eastAsia="Calibri" w:cs="Calibri"/>
                        <w:noProof/>
                        <w:color w:val="000000"/>
                        <w:sz w:val="20"/>
                        <w:szCs w:val="20"/>
                      </w:rPr>
                    </w:pPr>
                    <w:r w:rsidRPr="004232A2">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C539B" w:rsidRDefault="004232A2" w14:paraId="23CD383C" w14:textId="3BE0E891">
    <w:pPr>
      <w:pStyle w:val="Footer"/>
    </w:pPr>
    <w:r>
      <w:rPr>
        <w:noProof/>
      </w:rPr>
      <mc:AlternateContent>
        <mc:Choice Requires="wps">
          <w:drawing>
            <wp:anchor distT="0" distB="0" distL="0" distR="0" simplePos="0" relativeHeight="251657728" behindDoc="0" locked="0" layoutInCell="1" allowOverlap="1" wp14:anchorId="3E46E91A" wp14:editId="3263C236">
              <wp:simplePos x="635" y="635"/>
              <wp:positionH relativeFrom="page">
                <wp:align>center</wp:align>
              </wp:positionH>
              <wp:positionV relativeFrom="page">
                <wp:align>bottom</wp:align>
              </wp:positionV>
              <wp:extent cx="815340" cy="345440"/>
              <wp:effectExtent l="0" t="0" r="3810" b="0"/>
              <wp:wrapNone/>
              <wp:docPr id="30817484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4232A2" w:rsidR="004232A2" w:rsidP="004232A2" w:rsidRDefault="004232A2" w14:paraId="04B74C3F" w14:textId="06F4C875">
                          <w:pPr>
                            <w:rPr>
                              <w:rFonts w:ascii="Calibri" w:hAnsi="Calibri" w:eastAsia="Calibri" w:cs="Calibri"/>
                              <w:noProof/>
                              <w:color w:val="000000"/>
                              <w:sz w:val="20"/>
                              <w:szCs w:val="20"/>
                            </w:rPr>
                          </w:pPr>
                          <w:r w:rsidRPr="004232A2">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E46E91A">
              <v:stroke joinstyle="miter"/>
              <v:path gradientshapeok="t" o:connecttype="rect"/>
            </v:shapetype>
            <v:shape id="Text Box 4" style="position:absolute;margin-left:0;margin-top:0;width:64.2pt;height:27.2pt;z-index:251657728;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v:textbox style="mso-fit-shape-to-text:t" inset="0,0,0,15pt">
                <w:txbxContent>
                  <w:p w:rsidRPr="004232A2" w:rsidR="004232A2" w:rsidP="004232A2" w:rsidRDefault="004232A2" w14:paraId="04B74C3F" w14:textId="06F4C875">
                    <w:pPr>
                      <w:rPr>
                        <w:rFonts w:ascii="Calibri" w:hAnsi="Calibri" w:eastAsia="Calibri" w:cs="Calibri"/>
                        <w:noProof/>
                        <w:color w:val="000000"/>
                        <w:sz w:val="20"/>
                        <w:szCs w:val="20"/>
                      </w:rPr>
                    </w:pPr>
                    <w:r w:rsidRPr="004232A2">
                      <w:rPr>
                        <w:rFonts w:ascii="Calibri" w:hAnsi="Calibri" w:eastAsia="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4B7" w:rsidP="0069102B" w:rsidRDefault="00CF44B7" w14:paraId="687E284A" w14:textId="77777777">
      <w:r>
        <w:separator/>
      </w:r>
    </w:p>
  </w:footnote>
  <w:footnote w:type="continuationSeparator" w:id="0">
    <w:p w:rsidR="00CF44B7" w:rsidP="0069102B" w:rsidRDefault="00CF44B7" w14:paraId="088B91D0" w14:textId="77777777">
      <w:r>
        <w:continuationSeparator/>
      </w:r>
    </w:p>
  </w:footnote>
  <w:footnote w:type="continuationNotice" w:id="1">
    <w:p w:rsidR="00CF44B7" w:rsidRDefault="00CF44B7" w14:paraId="6AA079F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4237" w:rsidRDefault="004232A2" w14:paraId="08E9C138" w14:textId="595AB7CF">
    <w:pPr>
      <w:pStyle w:val="Header"/>
    </w:pPr>
    <w:r>
      <w:rPr>
        <w:noProof/>
      </w:rPr>
      <mc:AlternateContent>
        <mc:Choice Requires="wps">
          <w:drawing>
            <wp:anchor distT="0" distB="0" distL="0" distR="0" simplePos="0" relativeHeight="251655680" behindDoc="0" locked="0" layoutInCell="1" allowOverlap="1" wp14:anchorId="084A70D2" wp14:editId="7F8368CD">
              <wp:simplePos x="635" y="635"/>
              <wp:positionH relativeFrom="page">
                <wp:align>center</wp:align>
              </wp:positionH>
              <wp:positionV relativeFrom="page">
                <wp:align>top</wp:align>
              </wp:positionV>
              <wp:extent cx="815340" cy="345440"/>
              <wp:effectExtent l="0" t="0" r="3810" b="16510"/>
              <wp:wrapNone/>
              <wp:docPr id="213147798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4232A2" w:rsidR="004232A2" w:rsidP="004232A2" w:rsidRDefault="004232A2" w14:paraId="2ED60B70" w14:textId="64819709">
                          <w:pPr>
                            <w:rPr>
                              <w:rFonts w:ascii="Calibri" w:hAnsi="Calibri" w:eastAsia="Calibri" w:cs="Calibri"/>
                              <w:noProof/>
                              <w:color w:val="000000"/>
                              <w:sz w:val="20"/>
                              <w:szCs w:val="20"/>
                            </w:rPr>
                          </w:pPr>
                          <w:r w:rsidRPr="004232A2">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84A70D2">
              <v:stroke joinstyle="miter"/>
              <v:path gradientshapeok="t" o:connecttype="rect"/>
            </v:shapetype>
            <v:shape id="Text Box 2" style="position:absolute;margin-left:0;margin-top:0;width:64.2pt;height:27.2pt;z-index:251655680;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v:textbox style="mso-fit-shape-to-text:t" inset="0,15pt,0,0">
                <w:txbxContent>
                  <w:p w:rsidRPr="004232A2" w:rsidR="004232A2" w:rsidP="004232A2" w:rsidRDefault="004232A2" w14:paraId="2ED60B70" w14:textId="64819709">
                    <w:pPr>
                      <w:rPr>
                        <w:rFonts w:ascii="Calibri" w:hAnsi="Calibri" w:eastAsia="Calibri" w:cs="Calibri"/>
                        <w:noProof/>
                        <w:color w:val="000000"/>
                        <w:sz w:val="20"/>
                        <w:szCs w:val="20"/>
                      </w:rPr>
                    </w:pPr>
                    <w:r w:rsidRPr="004232A2">
                      <w:rPr>
                        <w:rFonts w:ascii="Calibri" w:hAnsi="Calibri" w:eastAsia="Calibri" w:cs="Calibri"/>
                        <w:noProof/>
                        <w:color w:val="000000"/>
                        <w:sz w:val="20"/>
                        <w:szCs w:val="20"/>
                      </w:rPr>
                      <w:t>[UNCLASSIFIED]</w:t>
                    </w:r>
                  </w:p>
                </w:txbxContent>
              </v:textbox>
              <w10:wrap anchorx="page" anchory="page"/>
            </v:shape>
          </w:pict>
        </mc:Fallback>
      </mc:AlternateContent>
    </w:r>
    <w:r w:rsidR="00CF44B7">
      <w:rPr>
        <w:noProof/>
      </w:rPr>
      <w:pict w14:anchorId="50A47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style="position:absolute;margin-left:0;margin-top:0;width:590.25pt;height:147.55pt;rotation:315;z-index:-251655680;mso-position-horizontal:center;mso-position-horizontal-relative:margin;mso-position-vertical:center;mso-position-vertical-relative:margin" o:allowincell="f" fillcolor="silver" stroked="f" type="#_x0000_t136">
          <v:fill opacity=".5"/>
          <v:textpath style="font-family:&quot;Tahoma&quot;;font-size:1pt" string="PROPO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C539B" w:rsidRDefault="004232A2" w14:paraId="189CFD16" w14:textId="31FC96A2">
    <w:pPr>
      <w:pStyle w:val="Header"/>
    </w:pPr>
    <w:r>
      <w:rPr>
        <w:noProof/>
      </w:rPr>
      <mc:AlternateContent>
        <mc:Choice Requires="wps">
          <w:drawing>
            <wp:anchor distT="0" distB="0" distL="0" distR="0" simplePos="0" relativeHeight="251656704" behindDoc="0" locked="0" layoutInCell="1" allowOverlap="1" wp14:anchorId="422B891D" wp14:editId="4CF3FED7">
              <wp:simplePos x="461319" y="453081"/>
              <wp:positionH relativeFrom="page">
                <wp:align>center</wp:align>
              </wp:positionH>
              <wp:positionV relativeFrom="page">
                <wp:align>top</wp:align>
              </wp:positionV>
              <wp:extent cx="815340" cy="345440"/>
              <wp:effectExtent l="0" t="0" r="3810" b="16510"/>
              <wp:wrapNone/>
              <wp:docPr id="145595853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4232A2" w:rsidR="004232A2" w:rsidP="004232A2" w:rsidRDefault="004232A2" w14:paraId="170A62AA" w14:textId="0477C9EF">
                          <w:pPr>
                            <w:rPr>
                              <w:rFonts w:ascii="Calibri" w:hAnsi="Calibri" w:eastAsia="Calibri" w:cs="Calibri"/>
                              <w:noProof/>
                              <w:color w:val="000000"/>
                              <w:sz w:val="20"/>
                              <w:szCs w:val="20"/>
                            </w:rPr>
                          </w:pPr>
                          <w:r w:rsidRPr="004232A2">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22B891D">
              <v:stroke joinstyle="miter"/>
              <v:path gradientshapeok="t" o:connecttype="rect"/>
            </v:shapetype>
            <v:shape id="Text Box 3" style="position:absolute;margin-left:0;margin-top:0;width:64.2pt;height:27.2pt;z-index:251656704;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v:textbox style="mso-fit-shape-to-text:t" inset="0,15pt,0,0">
                <w:txbxContent>
                  <w:p w:rsidRPr="004232A2" w:rsidR="004232A2" w:rsidP="004232A2" w:rsidRDefault="004232A2" w14:paraId="170A62AA" w14:textId="0477C9EF">
                    <w:pPr>
                      <w:rPr>
                        <w:rFonts w:ascii="Calibri" w:hAnsi="Calibri" w:eastAsia="Calibri" w:cs="Calibri"/>
                        <w:noProof/>
                        <w:color w:val="000000"/>
                        <w:sz w:val="20"/>
                        <w:szCs w:val="20"/>
                      </w:rPr>
                    </w:pPr>
                    <w:r w:rsidRPr="004232A2">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C539B" w:rsidRDefault="004232A2" w14:paraId="4C04D6AD" w14:textId="4E6F82ED">
    <w:pPr>
      <w:pStyle w:val="Header"/>
    </w:pPr>
    <w:r>
      <w:rPr>
        <w:noProof/>
      </w:rPr>
      <mc:AlternateContent>
        <mc:Choice Requires="wps">
          <w:drawing>
            <wp:anchor distT="0" distB="0" distL="0" distR="0" simplePos="0" relativeHeight="251654656" behindDoc="0" locked="0" layoutInCell="1" allowOverlap="1" wp14:anchorId="26FE9B76" wp14:editId="7E35C38F">
              <wp:simplePos x="635" y="635"/>
              <wp:positionH relativeFrom="page">
                <wp:align>center</wp:align>
              </wp:positionH>
              <wp:positionV relativeFrom="page">
                <wp:align>top</wp:align>
              </wp:positionV>
              <wp:extent cx="815340" cy="345440"/>
              <wp:effectExtent l="0" t="0" r="3810" b="16510"/>
              <wp:wrapNone/>
              <wp:docPr id="79947818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4232A2" w:rsidR="004232A2" w:rsidP="004232A2" w:rsidRDefault="004232A2" w14:paraId="15AC6CD2" w14:textId="12D773FB">
                          <w:pPr>
                            <w:rPr>
                              <w:rFonts w:ascii="Calibri" w:hAnsi="Calibri" w:eastAsia="Calibri" w:cs="Calibri"/>
                              <w:noProof/>
                              <w:color w:val="000000"/>
                              <w:sz w:val="20"/>
                              <w:szCs w:val="20"/>
                            </w:rPr>
                          </w:pPr>
                          <w:r w:rsidRPr="004232A2">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6FE9B76">
              <v:stroke joinstyle="miter"/>
              <v:path gradientshapeok="t" o:connecttype="rect"/>
            </v:shapetype>
            <v:shape id="Text Box 1" style="position:absolute;margin-left:0;margin-top:0;width:64.2pt;height:27.2pt;z-index:251654656;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v:textbox style="mso-fit-shape-to-text:t" inset="0,15pt,0,0">
                <w:txbxContent>
                  <w:p w:rsidRPr="004232A2" w:rsidR="004232A2" w:rsidP="004232A2" w:rsidRDefault="004232A2" w14:paraId="15AC6CD2" w14:textId="12D773FB">
                    <w:pPr>
                      <w:rPr>
                        <w:rFonts w:ascii="Calibri" w:hAnsi="Calibri" w:eastAsia="Calibri" w:cs="Calibri"/>
                        <w:noProof/>
                        <w:color w:val="000000"/>
                        <w:sz w:val="20"/>
                        <w:szCs w:val="20"/>
                      </w:rPr>
                    </w:pPr>
                    <w:r w:rsidRPr="004232A2">
                      <w:rPr>
                        <w:rFonts w:ascii="Calibri" w:hAnsi="Calibri" w:eastAsia="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B0FA4C"/>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9664852"/>
    <w:multiLevelType w:val="hybridMultilevel"/>
    <w:tmpl w:val="81844C16"/>
    <w:lvl w:ilvl="0" w:tplc="14090001">
      <w:start w:val="1"/>
      <w:numFmt w:val="bullet"/>
      <w:lvlText w:val=""/>
      <w:lvlJc w:val="left"/>
      <w:pPr>
        <w:ind w:left="1440" w:hanging="360"/>
      </w:pPr>
      <w:rPr>
        <w:rFonts w:hint="default" w:ascii="Symbol" w:hAnsi="Symbol"/>
      </w:rPr>
    </w:lvl>
    <w:lvl w:ilvl="1" w:tplc="14090003">
      <w:start w:val="1"/>
      <w:numFmt w:val="bullet"/>
      <w:lvlText w:val="o"/>
      <w:lvlJc w:val="left"/>
      <w:pPr>
        <w:ind w:left="2160" w:hanging="360"/>
      </w:pPr>
      <w:rPr>
        <w:rFonts w:hint="default" w:ascii="Courier New" w:hAnsi="Courier New" w:cs="Courier New"/>
      </w:rPr>
    </w:lvl>
    <w:lvl w:ilvl="2" w:tplc="14090005">
      <w:start w:val="1"/>
      <w:numFmt w:val="bullet"/>
      <w:lvlText w:val=""/>
      <w:lvlJc w:val="left"/>
      <w:pPr>
        <w:ind w:left="2880" w:hanging="360"/>
      </w:pPr>
      <w:rPr>
        <w:rFonts w:hint="default" w:ascii="Wingdings" w:hAnsi="Wingdings"/>
      </w:rPr>
    </w:lvl>
    <w:lvl w:ilvl="3" w:tplc="14090001">
      <w:start w:val="1"/>
      <w:numFmt w:val="bullet"/>
      <w:lvlText w:val=""/>
      <w:lvlJc w:val="left"/>
      <w:pPr>
        <w:ind w:left="3600" w:hanging="360"/>
      </w:pPr>
      <w:rPr>
        <w:rFonts w:hint="default" w:ascii="Symbol" w:hAnsi="Symbol"/>
      </w:rPr>
    </w:lvl>
    <w:lvl w:ilvl="4" w:tplc="14090003">
      <w:start w:val="1"/>
      <w:numFmt w:val="bullet"/>
      <w:lvlText w:val="o"/>
      <w:lvlJc w:val="left"/>
      <w:pPr>
        <w:ind w:left="4320" w:hanging="360"/>
      </w:pPr>
      <w:rPr>
        <w:rFonts w:hint="default" w:ascii="Courier New" w:hAnsi="Courier New" w:cs="Courier New"/>
      </w:rPr>
    </w:lvl>
    <w:lvl w:ilvl="5" w:tplc="14090005">
      <w:start w:val="1"/>
      <w:numFmt w:val="bullet"/>
      <w:lvlText w:val=""/>
      <w:lvlJc w:val="left"/>
      <w:pPr>
        <w:ind w:left="5040" w:hanging="360"/>
      </w:pPr>
      <w:rPr>
        <w:rFonts w:hint="default" w:ascii="Wingdings" w:hAnsi="Wingdings"/>
      </w:rPr>
    </w:lvl>
    <w:lvl w:ilvl="6" w:tplc="14090001">
      <w:start w:val="1"/>
      <w:numFmt w:val="bullet"/>
      <w:lvlText w:val=""/>
      <w:lvlJc w:val="left"/>
      <w:pPr>
        <w:ind w:left="5760" w:hanging="360"/>
      </w:pPr>
      <w:rPr>
        <w:rFonts w:hint="default" w:ascii="Symbol" w:hAnsi="Symbol"/>
      </w:rPr>
    </w:lvl>
    <w:lvl w:ilvl="7" w:tplc="14090003">
      <w:start w:val="1"/>
      <w:numFmt w:val="bullet"/>
      <w:lvlText w:val="o"/>
      <w:lvlJc w:val="left"/>
      <w:pPr>
        <w:ind w:left="6480" w:hanging="360"/>
      </w:pPr>
      <w:rPr>
        <w:rFonts w:hint="default" w:ascii="Courier New" w:hAnsi="Courier New" w:cs="Courier New"/>
      </w:rPr>
    </w:lvl>
    <w:lvl w:ilvl="8" w:tplc="14090005">
      <w:start w:val="1"/>
      <w:numFmt w:val="bullet"/>
      <w:lvlText w:val=""/>
      <w:lvlJc w:val="left"/>
      <w:pPr>
        <w:ind w:left="7200" w:hanging="360"/>
      </w:pPr>
      <w:rPr>
        <w:rFonts w:hint="default" w:ascii="Wingdings" w:hAnsi="Wingdings"/>
      </w:rPr>
    </w:lvl>
  </w:abstractNum>
  <w:abstractNum w:abstractNumId="2" w15:restartNumberingAfterBreak="0">
    <w:nsid w:val="184F4FCF"/>
    <w:multiLevelType w:val="multilevel"/>
    <w:tmpl w:val="FAB0F5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96A2A23"/>
    <w:multiLevelType w:val="multilevel"/>
    <w:tmpl w:val="837E12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DD064B2"/>
    <w:multiLevelType w:val="multilevel"/>
    <w:tmpl w:val="78E0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E532A2"/>
    <w:multiLevelType w:val="multilevel"/>
    <w:tmpl w:val="7A2C4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991223"/>
    <w:multiLevelType w:val="multilevel"/>
    <w:tmpl w:val="D8EEA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16406095">
    <w:abstractNumId w:val="0"/>
  </w:num>
  <w:num w:numId="2" w16cid:durableId="2061710163">
    <w:abstractNumId w:val="1"/>
  </w:num>
  <w:num w:numId="3" w16cid:durableId="321931365">
    <w:abstractNumId w:val="1"/>
  </w:num>
  <w:num w:numId="4" w16cid:durableId="1644895005">
    <w:abstractNumId w:val="2"/>
  </w:num>
  <w:num w:numId="5" w16cid:durableId="2040667061">
    <w:abstractNumId w:val="5"/>
  </w:num>
  <w:num w:numId="6" w16cid:durableId="676614870">
    <w:abstractNumId w:val="3"/>
  </w:num>
  <w:num w:numId="7" w16cid:durableId="1547790165">
    <w:abstractNumId w:val="4"/>
  </w:num>
  <w:num w:numId="8" w16cid:durableId="102963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dirty"/>
  <w:trackRevisions w:val="false"/>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2CD"/>
    <w:rsid w:val="0002043C"/>
    <w:rsid w:val="000210A8"/>
    <w:rsid w:val="00022C8B"/>
    <w:rsid w:val="00023C92"/>
    <w:rsid w:val="0002584F"/>
    <w:rsid w:val="0003587B"/>
    <w:rsid w:val="00036728"/>
    <w:rsid w:val="00045814"/>
    <w:rsid w:val="00057F9F"/>
    <w:rsid w:val="000633A7"/>
    <w:rsid w:val="00077747"/>
    <w:rsid w:val="00080EB9"/>
    <w:rsid w:val="0008331E"/>
    <w:rsid w:val="00083AFF"/>
    <w:rsid w:val="000A1F33"/>
    <w:rsid w:val="000B2260"/>
    <w:rsid w:val="000B518C"/>
    <w:rsid w:val="000C07D8"/>
    <w:rsid w:val="000C7C20"/>
    <w:rsid w:val="000D440A"/>
    <w:rsid w:val="000D6AA9"/>
    <w:rsid w:val="000E3108"/>
    <w:rsid w:val="000F0023"/>
    <w:rsid w:val="000F3EF4"/>
    <w:rsid w:val="000F65C2"/>
    <w:rsid w:val="001011D0"/>
    <w:rsid w:val="00131031"/>
    <w:rsid w:val="00132DA6"/>
    <w:rsid w:val="00136009"/>
    <w:rsid w:val="00141830"/>
    <w:rsid w:val="00143253"/>
    <w:rsid w:val="001523CB"/>
    <w:rsid w:val="001615B3"/>
    <w:rsid w:val="00162EEF"/>
    <w:rsid w:val="00163BBA"/>
    <w:rsid w:val="001860B0"/>
    <w:rsid w:val="001A493E"/>
    <w:rsid w:val="001C0170"/>
    <w:rsid w:val="001C13D6"/>
    <w:rsid w:val="001C2991"/>
    <w:rsid w:val="001C41FF"/>
    <w:rsid w:val="001C61F8"/>
    <w:rsid w:val="001C75C3"/>
    <w:rsid w:val="001F1472"/>
    <w:rsid w:val="00210649"/>
    <w:rsid w:val="0021120A"/>
    <w:rsid w:val="00220CDD"/>
    <w:rsid w:val="0022403B"/>
    <w:rsid w:val="00233682"/>
    <w:rsid w:val="00237AA2"/>
    <w:rsid w:val="00243647"/>
    <w:rsid w:val="00271846"/>
    <w:rsid w:val="00273FB7"/>
    <w:rsid w:val="00274003"/>
    <w:rsid w:val="00275FD4"/>
    <w:rsid w:val="00286294"/>
    <w:rsid w:val="00296160"/>
    <w:rsid w:val="002B5E04"/>
    <w:rsid w:val="002C1FD1"/>
    <w:rsid w:val="002C40E0"/>
    <w:rsid w:val="002D4F43"/>
    <w:rsid w:val="002D5B96"/>
    <w:rsid w:val="002D788A"/>
    <w:rsid w:val="002F29F0"/>
    <w:rsid w:val="002F5AB7"/>
    <w:rsid w:val="002F6C2C"/>
    <w:rsid w:val="0033655D"/>
    <w:rsid w:val="00340E94"/>
    <w:rsid w:val="0036089B"/>
    <w:rsid w:val="003618D1"/>
    <w:rsid w:val="00364233"/>
    <w:rsid w:val="00365881"/>
    <w:rsid w:val="003709A2"/>
    <w:rsid w:val="003716B1"/>
    <w:rsid w:val="00372CAA"/>
    <w:rsid w:val="003730CD"/>
    <w:rsid w:val="003803BD"/>
    <w:rsid w:val="003905AA"/>
    <w:rsid w:val="00390760"/>
    <w:rsid w:val="00394EF7"/>
    <w:rsid w:val="00396FAB"/>
    <w:rsid w:val="003B5869"/>
    <w:rsid w:val="003C45F2"/>
    <w:rsid w:val="003C78CE"/>
    <w:rsid w:val="003C7B6F"/>
    <w:rsid w:val="003D23AD"/>
    <w:rsid w:val="003D2B71"/>
    <w:rsid w:val="003E7DD4"/>
    <w:rsid w:val="003F306F"/>
    <w:rsid w:val="00400374"/>
    <w:rsid w:val="00401735"/>
    <w:rsid w:val="004060C3"/>
    <w:rsid w:val="00413C83"/>
    <w:rsid w:val="004232A2"/>
    <w:rsid w:val="00427F39"/>
    <w:rsid w:val="004326CC"/>
    <w:rsid w:val="004615AF"/>
    <w:rsid w:val="00484393"/>
    <w:rsid w:val="00487BEA"/>
    <w:rsid w:val="00491E90"/>
    <w:rsid w:val="004A058F"/>
    <w:rsid w:val="004C539B"/>
    <w:rsid w:val="004C7FF1"/>
    <w:rsid w:val="004D5521"/>
    <w:rsid w:val="004E132A"/>
    <w:rsid w:val="004E5912"/>
    <w:rsid w:val="004F4ED2"/>
    <w:rsid w:val="004F6682"/>
    <w:rsid w:val="00500F50"/>
    <w:rsid w:val="00514CD3"/>
    <w:rsid w:val="00532C76"/>
    <w:rsid w:val="00557597"/>
    <w:rsid w:val="005627C8"/>
    <w:rsid w:val="00586443"/>
    <w:rsid w:val="005A22A8"/>
    <w:rsid w:val="005B089E"/>
    <w:rsid w:val="005B57E2"/>
    <w:rsid w:val="005B6CDF"/>
    <w:rsid w:val="005C25D5"/>
    <w:rsid w:val="005C7A97"/>
    <w:rsid w:val="005D26BF"/>
    <w:rsid w:val="005E2607"/>
    <w:rsid w:val="005E3D8B"/>
    <w:rsid w:val="005F3991"/>
    <w:rsid w:val="005F6462"/>
    <w:rsid w:val="00604226"/>
    <w:rsid w:val="00604A36"/>
    <w:rsid w:val="00614D53"/>
    <w:rsid w:val="006150BC"/>
    <w:rsid w:val="00616C11"/>
    <w:rsid w:val="00616CC7"/>
    <w:rsid w:val="00622AEB"/>
    <w:rsid w:val="006274C1"/>
    <w:rsid w:val="00635E88"/>
    <w:rsid w:val="00636E87"/>
    <w:rsid w:val="00644DF5"/>
    <w:rsid w:val="00662B61"/>
    <w:rsid w:val="0066642B"/>
    <w:rsid w:val="006739B4"/>
    <w:rsid w:val="0067760B"/>
    <w:rsid w:val="0068386E"/>
    <w:rsid w:val="00686353"/>
    <w:rsid w:val="0069102B"/>
    <w:rsid w:val="00693437"/>
    <w:rsid w:val="006B333E"/>
    <w:rsid w:val="006B6F8C"/>
    <w:rsid w:val="006C1DC8"/>
    <w:rsid w:val="006D6232"/>
    <w:rsid w:val="00700257"/>
    <w:rsid w:val="00715004"/>
    <w:rsid w:val="007251EA"/>
    <w:rsid w:val="00727959"/>
    <w:rsid w:val="0073367D"/>
    <w:rsid w:val="00733A71"/>
    <w:rsid w:val="007411EF"/>
    <w:rsid w:val="00744959"/>
    <w:rsid w:val="007540AD"/>
    <w:rsid w:val="00766D3B"/>
    <w:rsid w:val="00771566"/>
    <w:rsid w:val="00772F41"/>
    <w:rsid w:val="00783029"/>
    <w:rsid w:val="00785D9A"/>
    <w:rsid w:val="007910BB"/>
    <w:rsid w:val="007B0837"/>
    <w:rsid w:val="007C13FD"/>
    <w:rsid w:val="007D4168"/>
    <w:rsid w:val="00804428"/>
    <w:rsid w:val="00804592"/>
    <w:rsid w:val="008131EE"/>
    <w:rsid w:val="008337F9"/>
    <w:rsid w:val="00842EB6"/>
    <w:rsid w:val="00843436"/>
    <w:rsid w:val="00846BD7"/>
    <w:rsid w:val="0085126B"/>
    <w:rsid w:val="00881E24"/>
    <w:rsid w:val="00885B61"/>
    <w:rsid w:val="00887424"/>
    <w:rsid w:val="008B5F50"/>
    <w:rsid w:val="008B780E"/>
    <w:rsid w:val="008C031F"/>
    <w:rsid w:val="008C621B"/>
    <w:rsid w:val="008C768D"/>
    <w:rsid w:val="008D37C9"/>
    <w:rsid w:val="008D5685"/>
    <w:rsid w:val="008E2597"/>
    <w:rsid w:val="008E4100"/>
    <w:rsid w:val="008E590E"/>
    <w:rsid w:val="008F1951"/>
    <w:rsid w:val="00923D00"/>
    <w:rsid w:val="009455E0"/>
    <w:rsid w:val="00947A55"/>
    <w:rsid w:val="0095445A"/>
    <w:rsid w:val="00963AAC"/>
    <w:rsid w:val="00971752"/>
    <w:rsid w:val="009722E2"/>
    <w:rsid w:val="00990FEC"/>
    <w:rsid w:val="009A1E32"/>
    <w:rsid w:val="009A36CA"/>
    <w:rsid w:val="009A5C49"/>
    <w:rsid w:val="009C250D"/>
    <w:rsid w:val="009F28CA"/>
    <w:rsid w:val="009F2FA0"/>
    <w:rsid w:val="009F78C9"/>
    <w:rsid w:val="00A014B4"/>
    <w:rsid w:val="00A16D1A"/>
    <w:rsid w:val="00A173E2"/>
    <w:rsid w:val="00A176F8"/>
    <w:rsid w:val="00A2323F"/>
    <w:rsid w:val="00A27399"/>
    <w:rsid w:val="00A42FD3"/>
    <w:rsid w:val="00A4311C"/>
    <w:rsid w:val="00A6262B"/>
    <w:rsid w:val="00A62DB9"/>
    <w:rsid w:val="00A67C16"/>
    <w:rsid w:val="00A70CC5"/>
    <w:rsid w:val="00A72F57"/>
    <w:rsid w:val="00AB0B92"/>
    <w:rsid w:val="00AB0B94"/>
    <w:rsid w:val="00AB2324"/>
    <w:rsid w:val="00AB52A8"/>
    <w:rsid w:val="00AE22F6"/>
    <w:rsid w:val="00AF54CE"/>
    <w:rsid w:val="00B019CE"/>
    <w:rsid w:val="00B01EE3"/>
    <w:rsid w:val="00B1467C"/>
    <w:rsid w:val="00B247DE"/>
    <w:rsid w:val="00B3126C"/>
    <w:rsid w:val="00B4121D"/>
    <w:rsid w:val="00B41ABC"/>
    <w:rsid w:val="00B41FF1"/>
    <w:rsid w:val="00B4503F"/>
    <w:rsid w:val="00B4650C"/>
    <w:rsid w:val="00B477CD"/>
    <w:rsid w:val="00B70C17"/>
    <w:rsid w:val="00B76F53"/>
    <w:rsid w:val="00B8079C"/>
    <w:rsid w:val="00B862E3"/>
    <w:rsid w:val="00B873C4"/>
    <w:rsid w:val="00B924FE"/>
    <w:rsid w:val="00B96DC8"/>
    <w:rsid w:val="00B96F7A"/>
    <w:rsid w:val="00B97C85"/>
    <w:rsid w:val="00BA40A9"/>
    <w:rsid w:val="00BB2BA2"/>
    <w:rsid w:val="00BB305B"/>
    <w:rsid w:val="00BB750A"/>
    <w:rsid w:val="00BC3BD0"/>
    <w:rsid w:val="00BC6D82"/>
    <w:rsid w:val="00BD6612"/>
    <w:rsid w:val="00BE11FD"/>
    <w:rsid w:val="00BE6494"/>
    <w:rsid w:val="00BF687D"/>
    <w:rsid w:val="00C04689"/>
    <w:rsid w:val="00C13567"/>
    <w:rsid w:val="00C20DAE"/>
    <w:rsid w:val="00C31DF7"/>
    <w:rsid w:val="00C416D8"/>
    <w:rsid w:val="00C45868"/>
    <w:rsid w:val="00C64A44"/>
    <w:rsid w:val="00C71187"/>
    <w:rsid w:val="00C76545"/>
    <w:rsid w:val="00C771C1"/>
    <w:rsid w:val="00C80AB5"/>
    <w:rsid w:val="00CA49AD"/>
    <w:rsid w:val="00CC5FD0"/>
    <w:rsid w:val="00CD7AC4"/>
    <w:rsid w:val="00CE4FED"/>
    <w:rsid w:val="00CE7693"/>
    <w:rsid w:val="00CF28EF"/>
    <w:rsid w:val="00CF44B7"/>
    <w:rsid w:val="00D469AF"/>
    <w:rsid w:val="00D65A31"/>
    <w:rsid w:val="00D83672"/>
    <w:rsid w:val="00D925BE"/>
    <w:rsid w:val="00D9580B"/>
    <w:rsid w:val="00DA7ACE"/>
    <w:rsid w:val="00DB2442"/>
    <w:rsid w:val="00DC06F5"/>
    <w:rsid w:val="00DC6554"/>
    <w:rsid w:val="00DC65C8"/>
    <w:rsid w:val="00DD5ACC"/>
    <w:rsid w:val="00DE1334"/>
    <w:rsid w:val="00DE413B"/>
    <w:rsid w:val="00DE65A2"/>
    <w:rsid w:val="00DF14FB"/>
    <w:rsid w:val="00DF461A"/>
    <w:rsid w:val="00DF4644"/>
    <w:rsid w:val="00DF7778"/>
    <w:rsid w:val="00E00253"/>
    <w:rsid w:val="00E00CA9"/>
    <w:rsid w:val="00E04237"/>
    <w:rsid w:val="00E04E33"/>
    <w:rsid w:val="00E11307"/>
    <w:rsid w:val="00E34E70"/>
    <w:rsid w:val="00E3626B"/>
    <w:rsid w:val="00E464AE"/>
    <w:rsid w:val="00E61855"/>
    <w:rsid w:val="00E758B3"/>
    <w:rsid w:val="00E76DDC"/>
    <w:rsid w:val="00E83A1D"/>
    <w:rsid w:val="00E86614"/>
    <w:rsid w:val="00E924F0"/>
    <w:rsid w:val="00E948FD"/>
    <w:rsid w:val="00EA02CD"/>
    <w:rsid w:val="00EA5181"/>
    <w:rsid w:val="00EB4584"/>
    <w:rsid w:val="00EC01DB"/>
    <w:rsid w:val="00EC5A67"/>
    <w:rsid w:val="00ED4B68"/>
    <w:rsid w:val="00EE6E68"/>
    <w:rsid w:val="00EF2E33"/>
    <w:rsid w:val="00EF44E9"/>
    <w:rsid w:val="00F051D5"/>
    <w:rsid w:val="00F06827"/>
    <w:rsid w:val="00F14CB3"/>
    <w:rsid w:val="00F15BCB"/>
    <w:rsid w:val="00F240EE"/>
    <w:rsid w:val="00F2422F"/>
    <w:rsid w:val="00F24D32"/>
    <w:rsid w:val="00F265E8"/>
    <w:rsid w:val="00F355E0"/>
    <w:rsid w:val="00F359C2"/>
    <w:rsid w:val="00F3630A"/>
    <w:rsid w:val="00F706F0"/>
    <w:rsid w:val="00FA3144"/>
    <w:rsid w:val="00FB4F56"/>
    <w:rsid w:val="00FD4010"/>
    <w:rsid w:val="0F906B10"/>
    <w:rsid w:val="29796A2F"/>
    <w:rsid w:val="3278D24E"/>
    <w:rsid w:val="3AB53DCA"/>
    <w:rsid w:val="40DB056B"/>
    <w:rsid w:val="44A9F1C3"/>
    <w:rsid w:val="4D4D2C95"/>
    <w:rsid w:val="5231E76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C0699"/>
  <w15:chartTrackingRefBased/>
  <w15:docId w15:val="{A2A3EA5D-7EBB-471E-BC3A-B9079BCA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ahoma" w:hAnsi="Tahoma" w:cs="Tahoma" w:eastAsiaTheme="minorEastAsia"/>
      <w:sz w:val="24"/>
      <w:szCs w:val="24"/>
    </w:rPr>
  </w:style>
  <w:style w:type="paragraph" w:styleId="Heading1">
    <w:name w:val="heading 1"/>
    <w:basedOn w:val="Normal"/>
    <w:link w:val="Heading1Char"/>
    <w:uiPriority w:val="9"/>
    <w:qFormat/>
    <w:pPr>
      <w:keepNext/>
      <w:spacing w:before="60" w:line="280" w:lineRule="atLeast"/>
      <w:outlineLvl w:val="0"/>
    </w:pPr>
    <w:rPr>
      <w:rFonts w:ascii="Arial" w:hAnsi="Arial" w:cs="Arial"/>
      <w:b/>
      <w:bCs/>
      <w:kern w:val="36"/>
      <w:sz w:val="26"/>
      <w:szCs w:val="26"/>
    </w:rPr>
  </w:style>
  <w:style w:type="paragraph" w:styleId="Heading2">
    <w:name w:val="heading 2"/>
    <w:basedOn w:val="Normal"/>
    <w:link w:val="Heading2Char"/>
    <w:uiPriority w:val="9"/>
    <w:qFormat/>
    <w:pPr>
      <w:keepNext/>
      <w:spacing w:before="60" w:line="280" w:lineRule="atLeast"/>
      <w:outlineLvl w:val="1"/>
    </w:pPr>
    <w:rPr>
      <w:rFonts w:ascii="Arial" w:hAnsi="Arial" w:cs="Arial"/>
      <w:b/>
      <w:bCs/>
      <w:sz w:val="22"/>
      <w:szCs w:val="22"/>
    </w:rPr>
  </w:style>
  <w:style w:type="paragraph" w:styleId="Heading3">
    <w:name w:val="heading 3"/>
    <w:basedOn w:val="Normal"/>
    <w:link w:val="Heading3Char"/>
    <w:uiPriority w:val="9"/>
    <w:qFormat/>
    <w:pPr>
      <w:keepNext/>
      <w:spacing w:before="60" w:line="280" w:lineRule="atLeast"/>
      <w:outlineLvl w:val="2"/>
    </w:pPr>
    <w:rPr>
      <w:rFonts w:ascii="Arial" w:hAnsi="Arial" w:cs="Arial"/>
      <w:b/>
      <w:bCs/>
      <w:i/>
      <w:iCs/>
      <w:sz w:val="22"/>
      <w:szCs w:val="22"/>
    </w:rPr>
  </w:style>
  <w:style w:type="paragraph" w:styleId="Heading4">
    <w:name w:val="heading 4"/>
    <w:basedOn w:val="Normal"/>
    <w:link w:val="Heading4Char"/>
    <w:uiPriority w:val="9"/>
    <w:qFormat/>
    <w:pPr>
      <w:keepNext/>
      <w:spacing w:before="60" w:line="280" w:lineRule="atLeast"/>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eading1Char" w:customStyle="1">
    <w:name w:val="Heading 1 Char"/>
    <w:basedOn w:val="DefaultParagraphFont"/>
    <w:link w:val="Heading1"/>
    <w:uiPriority w:val="9"/>
    <w:locked/>
    <w:rPr>
      <w:rFonts w:hint="default"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semiHidden/>
    <w:locked/>
    <w:rPr>
      <w:rFonts w:hint="default"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semiHidden/>
    <w:locked/>
    <w:rPr>
      <w:rFonts w:hint="default"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locked/>
    <w:rPr>
      <w:rFonts w:hint="default" w:asciiTheme="majorHAnsi" w:hAnsiTheme="majorHAnsi" w:eastAsiaTheme="majorEastAsia" w:cstheme="majorBidi"/>
      <w:i/>
      <w:iCs/>
      <w:color w:val="2E74B5" w:themeColor="accent1" w:themeShade="BF"/>
      <w:sz w:val="24"/>
      <w:szCs w:val="24"/>
    </w:rPr>
  </w:style>
  <w:style w:type="paragraph" w:styleId="Header">
    <w:name w:val="header"/>
    <w:basedOn w:val="Normal"/>
    <w:link w:val="HeaderChar"/>
    <w:uiPriority w:val="99"/>
    <w:unhideWhenUsed/>
    <w:pPr>
      <w:spacing w:line="240" w:lineRule="atLeast"/>
    </w:pPr>
    <w:rPr>
      <w:sz w:val="16"/>
      <w:szCs w:val="16"/>
    </w:rPr>
  </w:style>
  <w:style w:type="character" w:styleId="HeaderChar" w:customStyle="1">
    <w:name w:val="Header Char"/>
    <w:basedOn w:val="DefaultParagraphFont"/>
    <w:link w:val="Header"/>
    <w:uiPriority w:val="99"/>
    <w:locked/>
    <w:rPr>
      <w:rFonts w:hint="default" w:ascii="Tahoma" w:hAnsi="Tahoma" w:cs="Tahoma" w:eastAsiaTheme="minorEastAsia"/>
      <w:sz w:val="24"/>
      <w:szCs w:val="24"/>
    </w:rPr>
  </w:style>
  <w:style w:type="paragraph" w:styleId="Footer">
    <w:name w:val="footer"/>
    <w:basedOn w:val="Normal"/>
    <w:link w:val="FooterChar"/>
    <w:uiPriority w:val="99"/>
    <w:unhideWhenUsed/>
    <w:pPr>
      <w:spacing w:line="200" w:lineRule="atLeast"/>
    </w:pPr>
    <w:rPr>
      <w:rFonts w:ascii="Arial" w:hAnsi="Arial" w:cs="Arial"/>
      <w:sz w:val="15"/>
      <w:szCs w:val="15"/>
    </w:rPr>
  </w:style>
  <w:style w:type="character" w:styleId="FooterChar" w:customStyle="1">
    <w:name w:val="Footer Char"/>
    <w:basedOn w:val="DefaultParagraphFont"/>
    <w:link w:val="Footer"/>
    <w:uiPriority w:val="99"/>
    <w:locked/>
    <w:rPr>
      <w:rFonts w:hint="default" w:ascii="Tahoma" w:hAnsi="Tahoma" w:cs="Tahoma" w:eastAsiaTheme="minorEastAsia"/>
      <w:sz w:val="24"/>
      <w:szCs w:val="24"/>
    </w:rPr>
  </w:style>
  <w:style w:type="paragraph" w:styleId="ListBullet">
    <w:name w:val="List Bullet"/>
    <w:basedOn w:val="Normal"/>
    <w:uiPriority w:val="99"/>
    <w:semiHidden/>
    <w:unhideWhenUsed/>
    <w:pPr>
      <w:spacing w:line="280" w:lineRule="atLeast"/>
      <w:ind w:left="425" w:hanging="425"/>
    </w:pPr>
  </w:style>
  <w:style w:type="paragraph" w:styleId="BodyText">
    <w:name w:val="Body Text"/>
    <w:basedOn w:val="Normal"/>
    <w:link w:val="BodyTextChar"/>
    <w:uiPriority w:val="99"/>
    <w:semiHidden/>
    <w:unhideWhenUsed/>
    <w:pPr>
      <w:spacing w:before="60" w:after="220" w:line="280" w:lineRule="atLeast"/>
    </w:pPr>
    <w:rPr>
      <w:rFonts w:ascii="Arial" w:hAnsi="Arial" w:cs="Arial"/>
    </w:rPr>
  </w:style>
  <w:style w:type="character" w:styleId="BodyTextChar" w:customStyle="1">
    <w:name w:val="Body Text Char"/>
    <w:basedOn w:val="DefaultParagraphFont"/>
    <w:link w:val="BodyText"/>
    <w:uiPriority w:val="99"/>
    <w:semiHidden/>
    <w:locked/>
    <w:rPr>
      <w:rFonts w:hint="default" w:ascii="Arial" w:hAnsi="Arial" w:cs="Arial"/>
    </w:rPr>
  </w:style>
  <w:style w:type="paragraph" w:styleId="PlainText">
    <w:name w:val="Plain Text"/>
    <w:basedOn w:val="Normal"/>
    <w:link w:val="PlainTextChar"/>
    <w:uiPriority w:val="99"/>
    <w:semiHidden/>
    <w:unhideWhenUsed/>
    <w:pPr>
      <w:spacing w:after="240" w:line="320" w:lineRule="atLeast"/>
    </w:pPr>
  </w:style>
  <w:style w:type="character" w:styleId="PlainTextChar" w:customStyle="1">
    <w:name w:val="Plain Text Char"/>
    <w:basedOn w:val="DefaultParagraphFont"/>
    <w:link w:val="PlainText"/>
    <w:uiPriority w:val="99"/>
    <w:semiHidden/>
    <w:locked/>
    <w:rPr>
      <w:rFonts w:hint="default" w:ascii="Consolas" w:hAnsi="Consolas" w:cs="Tahoma" w:eastAsiaTheme="minorEastAsia"/>
      <w:sz w:val="21"/>
      <w:szCs w:val="21"/>
    </w:rPr>
  </w:style>
  <w:style w:type="paragraph" w:styleId="ListParagraph">
    <w:name w:val="List Paragraph"/>
    <w:basedOn w:val="Normal"/>
    <w:uiPriority w:val="34"/>
    <w:qFormat/>
    <w:pPr>
      <w:ind w:left="720"/>
    </w:pPr>
    <w:rPr>
      <w:rFonts w:ascii="Times New Roman" w:hAnsi="Times New Roman" w:cs="Times New Roman"/>
    </w:rPr>
  </w:style>
  <w:style w:type="paragraph" w:styleId="Bullet" w:customStyle="1">
    <w:name w:val="Bullet"/>
    <w:basedOn w:val="Normal"/>
    <w:pPr>
      <w:spacing w:line="320" w:lineRule="atLeast"/>
      <w:ind w:left="425" w:hanging="425"/>
    </w:pPr>
  </w:style>
  <w:style w:type="paragraph" w:styleId="Bulletspace" w:customStyle="1">
    <w:name w:val="Bullet+space"/>
    <w:basedOn w:val="Normal"/>
    <w:pPr>
      <w:spacing w:after="240" w:line="320" w:lineRule="atLeast"/>
      <w:ind w:left="425" w:hanging="425"/>
    </w:pPr>
  </w:style>
  <w:style w:type="paragraph" w:styleId="ListPara" w:customStyle="1">
    <w:name w:val="List Para"/>
    <w:basedOn w:val="Normal"/>
    <w:pPr>
      <w:spacing w:line="280" w:lineRule="atLeast"/>
      <w:ind w:left="425" w:hanging="425"/>
    </w:pPr>
  </w:style>
  <w:style w:type="paragraph" w:styleId="MemoAddresseDetails" w:customStyle="1">
    <w:name w:val="MemoAddresseDetails"/>
    <w:basedOn w:val="Normal"/>
    <w:pPr>
      <w:spacing w:before="60" w:after="60" w:line="280" w:lineRule="atLeast"/>
    </w:pPr>
    <w:rPr>
      <w:rFonts w:ascii="Arial" w:hAnsi="Arial" w:cs="Arial"/>
    </w:rPr>
  </w:style>
  <w:style w:type="paragraph" w:styleId="MemoAddresseePrompts" w:customStyle="1">
    <w:name w:val="MemoAddresseePrompts"/>
    <w:basedOn w:val="Normal"/>
    <w:pPr>
      <w:spacing w:before="60" w:after="60" w:line="280" w:lineRule="atLeast"/>
    </w:pPr>
    <w:rPr>
      <w:rFonts w:ascii="Arial" w:hAnsi="Arial" w:cs="Arial"/>
      <w:b/>
      <w:bCs/>
    </w:rPr>
  </w:style>
  <w:style w:type="paragraph" w:styleId="ParaBullet" w:customStyle="1">
    <w:name w:val="Para Bullet"/>
    <w:basedOn w:val="Normal"/>
    <w:pPr>
      <w:spacing w:before="60" w:after="220" w:line="280" w:lineRule="atLeast"/>
      <w:ind w:left="425" w:hanging="425"/>
    </w:pPr>
  </w:style>
  <w:style w:type="paragraph" w:styleId="ParaNumbered" w:customStyle="1">
    <w:name w:val="Para Numbered"/>
    <w:basedOn w:val="Normal"/>
    <w:pPr>
      <w:spacing w:before="60" w:after="220" w:line="280" w:lineRule="atLeast"/>
      <w:ind w:left="425" w:hanging="425"/>
    </w:pPr>
  </w:style>
  <w:style w:type="paragraph" w:styleId="Space" w:customStyle="1">
    <w:name w:val="Space"/>
    <w:basedOn w:val="Normal"/>
    <w:pPr>
      <w:spacing w:line="320" w:lineRule="atLeast"/>
    </w:pPr>
  </w:style>
  <w:style w:type="paragraph" w:styleId="Subject" w:customStyle="1">
    <w:name w:val="Subject"/>
    <w:basedOn w:val="Normal"/>
    <w:pPr>
      <w:spacing w:before="60" w:line="280" w:lineRule="atLeast"/>
    </w:pPr>
    <w:rPr>
      <w:rFonts w:ascii="Arial" w:hAnsi="Arial" w:cs="Arial"/>
      <w:b/>
      <w:bCs/>
    </w:rPr>
  </w:style>
  <w:style w:type="paragraph" w:styleId="msochpdefault" w:customStyle="1">
    <w:name w:val="msochpdefault"/>
    <w:basedOn w:val="Normal"/>
    <w:pPr>
      <w:spacing w:before="100" w:beforeAutospacing="1" w:after="100" w:afterAutospacing="1"/>
    </w:pPr>
    <w:rPr>
      <w:rFonts w:ascii="Times New Roman" w:hAnsi="Times New Roman" w:cs="Times New Roman"/>
      <w:sz w:val="20"/>
      <w:szCs w:val="20"/>
    </w:rPr>
  </w:style>
  <w:style w:type="character" w:styleId="StyleTahoma" w:customStyle="1">
    <w:name w:val="Style Tahoma"/>
    <w:basedOn w:val="DefaultParagraphFont"/>
    <w:rPr>
      <w:rFonts w:hint="default" w:ascii="Tahoma" w:hAnsi="Tahoma" w:cs="Tahoma"/>
    </w:rPr>
  </w:style>
  <w:style w:type="character" w:styleId="Strong">
    <w:name w:val="Strong"/>
    <w:basedOn w:val="DefaultParagraphFont"/>
    <w:uiPriority w:val="22"/>
    <w:qFormat/>
    <w:rsid w:val="000F65C2"/>
    <w:rPr>
      <w:b/>
      <w:bCs/>
    </w:rPr>
  </w:style>
  <w:style w:type="paragraph" w:styleId="NormalWeb">
    <w:name w:val="Normal (Web)"/>
    <w:basedOn w:val="Normal"/>
    <w:uiPriority w:val="99"/>
    <w:semiHidden/>
    <w:unhideWhenUsed/>
    <w:rsid w:val="000F65C2"/>
    <w:pPr>
      <w:spacing w:before="100" w:beforeAutospacing="1" w:after="100" w:afterAutospacing="1"/>
    </w:pPr>
    <w:rPr>
      <w:rFonts w:ascii="Times New Roman" w:hAnsi="Times New Roman" w:eastAsia="Times New Roman" w:cs="Times New Roman"/>
    </w:rPr>
  </w:style>
  <w:style w:type="character" w:styleId="UnresolvedMention">
    <w:name w:val="Unresolved Mention"/>
    <w:basedOn w:val="DefaultParagraphFont"/>
    <w:uiPriority w:val="99"/>
    <w:semiHidden/>
    <w:unhideWhenUsed/>
    <w:rsid w:val="000F65C2"/>
    <w:rPr>
      <w:color w:val="605E5C"/>
      <w:shd w:val="clear" w:color="auto" w:fill="E1DFDD"/>
    </w:rPr>
  </w:style>
  <w:style w:type="character" w:styleId="CommentReference">
    <w:name w:val="annotation reference"/>
    <w:basedOn w:val="DefaultParagraphFont"/>
    <w:uiPriority w:val="99"/>
    <w:semiHidden/>
    <w:unhideWhenUsed/>
    <w:rsid w:val="00141830"/>
    <w:rPr>
      <w:sz w:val="16"/>
      <w:szCs w:val="16"/>
    </w:rPr>
  </w:style>
  <w:style w:type="paragraph" w:styleId="CommentText">
    <w:name w:val="annotation text"/>
    <w:basedOn w:val="Normal"/>
    <w:link w:val="CommentTextChar"/>
    <w:uiPriority w:val="99"/>
    <w:unhideWhenUsed/>
    <w:rsid w:val="00141830"/>
    <w:rPr>
      <w:sz w:val="20"/>
      <w:szCs w:val="20"/>
    </w:rPr>
  </w:style>
  <w:style w:type="character" w:styleId="CommentTextChar" w:customStyle="1">
    <w:name w:val="Comment Text Char"/>
    <w:basedOn w:val="DefaultParagraphFont"/>
    <w:link w:val="CommentText"/>
    <w:uiPriority w:val="99"/>
    <w:rsid w:val="00141830"/>
    <w:rPr>
      <w:rFonts w:ascii="Tahoma" w:hAnsi="Tahoma" w:cs="Tahoma" w:eastAsiaTheme="minorEastAsia"/>
    </w:rPr>
  </w:style>
  <w:style w:type="paragraph" w:styleId="CommentSubject">
    <w:name w:val="annotation subject"/>
    <w:basedOn w:val="CommentText"/>
    <w:next w:val="CommentText"/>
    <w:link w:val="CommentSubjectChar"/>
    <w:uiPriority w:val="99"/>
    <w:semiHidden/>
    <w:unhideWhenUsed/>
    <w:rsid w:val="00141830"/>
    <w:rPr>
      <w:b/>
      <w:bCs/>
    </w:rPr>
  </w:style>
  <w:style w:type="character" w:styleId="CommentSubjectChar" w:customStyle="1">
    <w:name w:val="Comment Subject Char"/>
    <w:basedOn w:val="CommentTextChar"/>
    <w:link w:val="CommentSubject"/>
    <w:uiPriority w:val="99"/>
    <w:semiHidden/>
    <w:rsid w:val="00141830"/>
    <w:rPr>
      <w:rFonts w:ascii="Tahoma" w:hAnsi="Tahoma" w:cs="Tahoma"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7595">
      <w:bodyDiv w:val="1"/>
      <w:marLeft w:val="0"/>
      <w:marRight w:val="0"/>
      <w:marTop w:val="0"/>
      <w:marBottom w:val="0"/>
      <w:divBdr>
        <w:top w:val="none" w:sz="0" w:space="0" w:color="auto"/>
        <w:left w:val="none" w:sz="0" w:space="0" w:color="auto"/>
        <w:bottom w:val="none" w:sz="0" w:space="0" w:color="auto"/>
        <w:right w:val="none" w:sz="0" w:space="0" w:color="auto"/>
      </w:divBdr>
    </w:div>
    <w:div w:id="90393979">
      <w:bodyDiv w:val="1"/>
      <w:marLeft w:val="0"/>
      <w:marRight w:val="0"/>
      <w:marTop w:val="0"/>
      <w:marBottom w:val="0"/>
      <w:divBdr>
        <w:top w:val="none" w:sz="0" w:space="0" w:color="auto"/>
        <w:left w:val="none" w:sz="0" w:space="0" w:color="auto"/>
        <w:bottom w:val="none" w:sz="0" w:space="0" w:color="auto"/>
        <w:right w:val="none" w:sz="0" w:space="0" w:color="auto"/>
      </w:divBdr>
    </w:div>
    <w:div w:id="178348847">
      <w:bodyDiv w:val="1"/>
      <w:marLeft w:val="0"/>
      <w:marRight w:val="0"/>
      <w:marTop w:val="0"/>
      <w:marBottom w:val="0"/>
      <w:divBdr>
        <w:top w:val="none" w:sz="0" w:space="0" w:color="auto"/>
        <w:left w:val="none" w:sz="0" w:space="0" w:color="auto"/>
        <w:bottom w:val="none" w:sz="0" w:space="0" w:color="auto"/>
        <w:right w:val="none" w:sz="0" w:space="0" w:color="auto"/>
      </w:divBdr>
    </w:div>
    <w:div w:id="198321156">
      <w:bodyDiv w:val="1"/>
      <w:marLeft w:val="0"/>
      <w:marRight w:val="0"/>
      <w:marTop w:val="0"/>
      <w:marBottom w:val="0"/>
      <w:divBdr>
        <w:top w:val="none" w:sz="0" w:space="0" w:color="auto"/>
        <w:left w:val="none" w:sz="0" w:space="0" w:color="auto"/>
        <w:bottom w:val="none" w:sz="0" w:space="0" w:color="auto"/>
        <w:right w:val="none" w:sz="0" w:space="0" w:color="auto"/>
      </w:divBdr>
    </w:div>
    <w:div w:id="425349651">
      <w:bodyDiv w:val="1"/>
      <w:marLeft w:val="0"/>
      <w:marRight w:val="0"/>
      <w:marTop w:val="0"/>
      <w:marBottom w:val="0"/>
      <w:divBdr>
        <w:top w:val="none" w:sz="0" w:space="0" w:color="auto"/>
        <w:left w:val="none" w:sz="0" w:space="0" w:color="auto"/>
        <w:bottom w:val="none" w:sz="0" w:space="0" w:color="auto"/>
        <w:right w:val="none" w:sz="0" w:space="0" w:color="auto"/>
      </w:divBdr>
    </w:div>
    <w:div w:id="745956961">
      <w:bodyDiv w:val="1"/>
      <w:marLeft w:val="0"/>
      <w:marRight w:val="0"/>
      <w:marTop w:val="0"/>
      <w:marBottom w:val="0"/>
      <w:divBdr>
        <w:top w:val="none" w:sz="0" w:space="0" w:color="auto"/>
        <w:left w:val="none" w:sz="0" w:space="0" w:color="auto"/>
        <w:bottom w:val="none" w:sz="0" w:space="0" w:color="auto"/>
        <w:right w:val="none" w:sz="0" w:space="0" w:color="auto"/>
      </w:divBdr>
      <w:divsChild>
        <w:div w:id="792362488">
          <w:marLeft w:val="0"/>
          <w:marRight w:val="0"/>
          <w:marTop w:val="0"/>
          <w:marBottom w:val="0"/>
          <w:divBdr>
            <w:top w:val="single" w:sz="24" w:space="4" w:color="auto"/>
            <w:left w:val="single" w:sz="24" w:space="4" w:color="auto"/>
            <w:bottom w:val="single" w:sz="24" w:space="4" w:color="auto"/>
            <w:right w:val="single" w:sz="24" w:space="4" w:color="auto"/>
          </w:divBdr>
        </w:div>
      </w:divsChild>
    </w:div>
    <w:div w:id="821235370">
      <w:bodyDiv w:val="1"/>
      <w:marLeft w:val="0"/>
      <w:marRight w:val="0"/>
      <w:marTop w:val="0"/>
      <w:marBottom w:val="0"/>
      <w:divBdr>
        <w:top w:val="none" w:sz="0" w:space="0" w:color="auto"/>
        <w:left w:val="none" w:sz="0" w:space="0" w:color="auto"/>
        <w:bottom w:val="none" w:sz="0" w:space="0" w:color="auto"/>
        <w:right w:val="none" w:sz="0" w:space="0" w:color="auto"/>
      </w:divBdr>
    </w:div>
    <w:div w:id="844519334">
      <w:bodyDiv w:val="1"/>
      <w:marLeft w:val="0"/>
      <w:marRight w:val="0"/>
      <w:marTop w:val="0"/>
      <w:marBottom w:val="0"/>
      <w:divBdr>
        <w:top w:val="none" w:sz="0" w:space="0" w:color="auto"/>
        <w:left w:val="none" w:sz="0" w:space="0" w:color="auto"/>
        <w:bottom w:val="none" w:sz="0" w:space="0" w:color="auto"/>
        <w:right w:val="none" w:sz="0" w:space="0" w:color="auto"/>
      </w:divBdr>
    </w:div>
    <w:div w:id="1002394560">
      <w:bodyDiv w:val="1"/>
      <w:marLeft w:val="0"/>
      <w:marRight w:val="0"/>
      <w:marTop w:val="0"/>
      <w:marBottom w:val="0"/>
      <w:divBdr>
        <w:top w:val="none" w:sz="0" w:space="0" w:color="auto"/>
        <w:left w:val="none" w:sz="0" w:space="0" w:color="auto"/>
        <w:bottom w:val="none" w:sz="0" w:space="0" w:color="auto"/>
        <w:right w:val="none" w:sz="0" w:space="0" w:color="auto"/>
      </w:divBdr>
    </w:div>
    <w:div w:id="1083994505">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78432022">
      <w:bodyDiv w:val="1"/>
      <w:marLeft w:val="0"/>
      <w:marRight w:val="0"/>
      <w:marTop w:val="0"/>
      <w:marBottom w:val="0"/>
      <w:divBdr>
        <w:top w:val="none" w:sz="0" w:space="0" w:color="auto"/>
        <w:left w:val="none" w:sz="0" w:space="0" w:color="auto"/>
        <w:bottom w:val="none" w:sz="0" w:space="0" w:color="auto"/>
        <w:right w:val="none" w:sz="0" w:space="0" w:color="auto"/>
      </w:divBdr>
    </w:div>
    <w:div w:id="1434936939">
      <w:bodyDiv w:val="1"/>
      <w:marLeft w:val="0"/>
      <w:marRight w:val="0"/>
      <w:marTop w:val="0"/>
      <w:marBottom w:val="0"/>
      <w:divBdr>
        <w:top w:val="none" w:sz="0" w:space="0" w:color="auto"/>
        <w:left w:val="none" w:sz="0" w:space="0" w:color="auto"/>
        <w:bottom w:val="none" w:sz="0" w:space="0" w:color="auto"/>
        <w:right w:val="none" w:sz="0" w:space="0" w:color="auto"/>
      </w:divBdr>
    </w:div>
    <w:div w:id="1844661541">
      <w:bodyDiv w:val="1"/>
      <w:marLeft w:val="0"/>
      <w:marRight w:val="0"/>
      <w:marTop w:val="0"/>
      <w:marBottom w:val="0"/>
      <w:divBdr>
        <w:top w:val="none" w:sz="0" w:space="0" w:color="auto"/>
        <w:left w:val="none" w:sz="0" w:space="0" w:color="auto"/>
        <w:bottom w:val="none" w:sz="0" w:space="0" w:color="auto"/>
        <w:right w:val="none" w:sz="0" w:space="0" w:color="auto"/>
      </w:divBdr>
    </w:div>
    <w:div w:id="2018313320">
      <w:bodyDiv w:val="1"/>
      <w:marLeft w:val="0"/>
      <w:marRight w:val="0"/>
      <w:marTop w:val="0"/>
      <w:marBottom w:val="0"/>
      <w:divBdr>
        <w:top w:val="none" w:sz="0" w:space="0" w:color="auto"/>
        <w:left w:val="none" w:sz="0" w:space="0" w:color="auto"/>
        <w:bottom w:val="none" w:sz="0" w:space="0" w:color="auto"/>
        <w:right w:val="none" w:sz="0" w:space="0" w:color="auto"/>
      </w:divBdr>
    </w:div>
    <w:div w:id="2032606130">
      <w:bodyDiv w:val="1"/>
      <w:marLeft w:val="0"/>
      <w:marRight w:val="0"/>
      <w:marTop w:val="0"/>
      <w:marBottom w:val="0"/>
      <w:divBdr>
        <w:top w:val="none" w:sz="0" w:space="0" w:color="auto"/>
        <w:left w:val="none" w:sz="0" w:space="0" w:color="auto"/>
        <w:bottom w:val="none" w:sz="0" w:space="0" w:color="auto"/>
        <w:right w:val="none" w:sz="0" w:space="0" w:color="auto"/>
      </w:divBdr>
    </w:div>
    <w:div w:id="212985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cdfe1719-7ffe-44c8-a892-1693cb1ed6f5">MoEd-465784968-121637</_dlc_DocId>
    <_dlc_DocIdUrl xmlns="cdfe1719-7ffe-44c8-a892-1693cb1ed6f5">
      <Url>https://educationgovtnz.sharepoint.com/sites/GRPMoESESWaikato/_layouts/15/DocIdRedir.aspx?ID=MoEd-465784968-121637</Url>
      <Description>MoEd-465784968-121637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0D920AE48360E04C80C4F8D8D47A6073" ma:contentTypeVersion="5" ma:contentTypeDescription="Default document class for adding items via wizard or drag and drop." ma:contentTypeScope="" ma:versionID="8ffdb06089519820eb7c03befad999c6">
  <xsd:schema xmlns:xsd="http://www.w3.org/2001/XMLSchema" xmlns:xs="http://www.w3.org/2001/XMLSchema" xmlns:p="http://schemas.microsoft.com/office/2006/metadata/properties" xmlns:ns2="d267a1a7-8edd-4111-a118-4a206d87cecc" xmlns:ns3="cdfe1719-7ffe-44c8-a892-1693cb1ed6f5" targetNamespace="http://schemas.microsoft.com/office/2006/metadata/properties" ma:root="true" ma:fieldsID="91827afbc5985d89054711c5312faec4" ns2:_="" ns3:_="">
    <xsd:import namespace="d267a1a7-8edd-4111-a118-4a206d87cecc"/>
    <xsd:import namespace="cdfe1719-7ffe-44c8-a892-1693cb1ed6f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52fc5ad-823c-4a35-9b2b-09bb29617efa}" ma:internalName="TaxCatchAll" ma:showField="CatchAllData" ma:web="cdfe1719-7ffe-44c8-a892-1693cb1ed6f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52fc5ad-823c-4a35-9b2b-09bb29617efa}" ma:internalName="TaxCatchAllLabel" ma:readOnly="true" ma:showField="CatchAllDataLabel" ma:web="cdfe1719-7ffe-44c8-a892-1693cb1ed6f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fe1719-7ffe-44c8-a892-1693cb1ed6f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66633-79C5-4A68-94FB-CBE63429A016}">
  <ds:schemaRefs>
    <ds:schemaRef ds:uri="Microsoft.SharePoint.Taxonomy.ContentTypeSync"/>
  </ds:schemaRefs>
</ds:datastoreItem>
</file>

<file path=customXml/itemProps2.xml><?xml version="1.0" encoding="utf-8"?>
<ds:datastoreItem xmlns:ds="http://schemas.openxmlformats.org/officeDocument/2006/customXml" ds:itemID="{F708B1A2-B0EA-4B40-9182-79C188329BFB}">
  <ds:schemaRefs>
    <ds:schemaRef ds:uri="http://schemas.openxmlformats.org/officeDocument/2006/bibliography"/>
  </ds:schemaRefs>
</ds:datastoreItem>
</file>

<file path=customXml/itemProps3.xml><?xml version="1.0" encoding="utf-8"?>
<ds:datastoreItem xmlns:ds="http://schemas.openxmlformats.org/officeDocument/2006/customXml" ds:itemID="{65903FC6-F5A8-438E-B5FB-D9B4D1BB8A7D}">
  <ds:schemaRefs>
    <ds:schemaRef ds:uri="http://schemas.microsoft.com/sharepoint/v3/contenttype/forms"/>
  </ds:schemaRefs>
</ds:datastoreItem>
</file>

<file path=customXml/itemProps4.xml><?xml version="1.0" encoding="utf-8"?>
<ds:datastoreItem xmlns:ds="http://schemas.openxmlformats.org/officeDocument/2006/customXml" ds:itemID="{C0FA66F1-58B1-4EC3-812B-62191D7E9A96}">
  <ds:schemaRefs>
    <ds:schemaRef ds:uri="http://schemas.microsoft.com/sharepoint/events"/>
  </ds:schemaRefs>
</ds:datastoreItem>
</file>

<file path=customXml/itemProps5.xml><?xml version="1.0" encoding="utf-8"?>
<ds:datastoreItem xmlns:ds="http://schemas.openxmlformats.org/officeDocument/2006/customXml" ds:itemID="{3E489202-6DAA-4C12-B5EC-2FDC0E665309}">
  <ds:schemaRefs>
    <ds:schemaRef ds:uri="http://schemas.microsoft.com/office/2006/metadata/properties"/>
    <ds:schemaRef ds:uri="http://schemas.microsoft.com/office/infopath/2007/PartnerControls"/>
    <ds:schemaRef ds:uri="d267a1a7-8edd-4111-a118-4a206d87cecc"/>
    <ds:schemaRef ds:uri="cdfe1719-7ffe-44c8-a892-1693cb1ed6f5"/>
  </ds:schemaRefs>
</ds:datastoreItem>
</file>

<file path=customXml/itemProps6.xml><?xml version="1.0" encoding="utf-8"?>
<ds:datastoreItem xmlns:ds="http://schemas.openxmlformats.org/officeDocument/2006/customXml" ds:itemID="{D6409D0B-1B6C-4C90-9D38-CD39BF41D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cdfe1719-7ffe-44c8-a892-1693cb1ed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Broman</dc:creator>
  <cp:keywords/>
  <dc:description/>
  <cp:lastModifiedBy>Patrick Broman</cp:lastModifiedBy>
  <cp:revision>87</cp:revision>
  <dcterms:created xsi:type="dcterms:W3CDTF">2026-03-05T00:24:00Z</dcterms:created>
  <dcterms:modified xsi:type="dcterms:W3CDTF">2026-03-05T00:32:06Z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0x01010053526B971DAC78418EC6A9ED490C61AF000D920AE48360E04C80C4F8D8D47A6073</vt:lpwstr>
  </property>
  <property fmtid="{D5CDD505-2E9C-101B-9397-08002B2CF9AE}" pid="3" name="_dlc_DocIdItemGuid">
    <vt:lpwstr>7e075979-b944-461d-b666-eefe8d18a982</vt:lpwstr>
  </property>
  <property fmtid="{D5CDD505-2E9C-101B-9397-08002B2CF9AE}" pid="4" name="j560beb70aea488fb091e84adbb32566">
    <vt:lpwstr/>
  </property>
  <property fmtid="{D5CDD505-2E9C-101B-9397-08002B2CF9AE}" pid="5" name="Ministerial_x0020_Type">
    <vt:lpwstr/>
  </property>
  <property fmtid="{D5CDD505-2E9C-101B-9397-08002B2CF9AE}" pid="6" name="Property_x0020_Management_x0020_Activity">
    <vt:lpwstr/>
  </property>
  <property fmtid="{D5CDD505-2E9C-101B-9397-08002B2CF9AE}" pid="7" name="MediaServiceImageTags">
    <vt:lpwstr/>
  </property>
  <property fmtid="{D5CDD505-2E9C-101B-9397-08002B2CF9AE}" pid="8" name="CalendarYear">
    <vt:lpwstr/>
  </property>
  <property fmtid="{D5CDD505-2E9C-101B-9397-08002B2CF9AE}" pid="9" name="lcf76f155ced4ddcb4097134ff3c332f">
    <vt:lpwstr/>
  </property>
  <property fmtid="{D5CDD505-2E9C-101B-9397-08002B2CF9AE}" pid="10" name="FinancialYear">
    <vt:lpwstr/>
  </property>
  <property fmtid="{D5CDD505-2E9C-101B-9397-08002B2CF9AE}" pid="11" name="ce139978aae645acb1db0a0e0d3df2f5">
    <vt:lpwstr/>
  </property>
  <property fmtid="{D5CDD505-2E9C-101B-9397-08002B2CF9AE}" pid="12" name="Record Activity">
    <vt:lpwstr/>
  </property>
  <property fmtid="{D5CDD505-2E9C-101B-9397-08002B2CF9AE}" pid="13" name="Property Management Activity">
    <vt:lpwstr/>
  </property>
  <property fmtid="{D5CDD505-2E9C-101B-9397-08002B2CF9AE}" pid="14" name="Ministerial Type">
    <vt:lpwstr/>
  </property>
  <property fmtid="{D5CDD505-2E9C-101B-9397-08002B2CF9AE}" pid="15" name="Record_x0020_Activity">
    <vt:lpwstr/>
  </property>
  <property fmtid="{D5CDD505-2E9C-101B-9397-08002B2CF9AE}" pid="16" name="ClassificationContentMarkingHeaderShapeIds">
    <vt:lpwstr>2fa711a6,7f0bc5e0,56c82a06</vt:lpwstr>
  </property>
  <property fmtid="{D5CDD505-2E9C-101B-9397-08002B2CF9AE}" pid="17" name="ClassificationContentMarkingHeaderFontProps">
    <vt:lpwstr>#000000,10,Calibri</vt:lpwstr>
  </property>
  <property fmtid="{D5CDD505-2E9C-101B-9397-08002B2CF9AE}" pid="18" name="ClassificationContentMarkingHeaderText">
    <vt:lpwstr>[UNCLASSIFIED]</vt:lpwstr>
  </property>
  <property fmtid="{D5CDD505-2E9C-101B-9397-08002B2CF9AE}" pid="19" name="ClassificationContentMarkingFooterShapeIds">
    <vt:lpwstr>125e5ffb,1b321c4a,10180b93</vt:lpwstr>
  </property>
  <property fmtid="{D5CDD505-2E9C-101B-9397-08002B2CF9AE}" pid="20" name="ClassificationContentMarkingFooterFontProps">
    <vt:lpwstr>#000000,10,Calibri</vt:lpwstr>
  </property>
  <property fmtid="{D5CDD505-2E9C-101B-9397-08002B2CF9AE}" pid="21" name="ClassificationContentMarkingFooterText">
    <vt:lpwstr>[UNCLASSIFIED]</vt:lpwstr>
  </property>
  <property fmtid="{D5CDD505-2E9C-101B-9397-08002B2CF9AE}" pid="22" name="MSIP_Label_4009eddf-846d-46a2-8a8f-ad982b694053_Enabled">
    <vt:lpwstr>true</vt:lpwstr>
  </property>
  <property fmtid="{D5CDD505-2E9C-101B-9397-08002B2CF9AE}" pid="23" name="MSIP_Label_4009eddf-846d-46a2-8a8f-ad982b694053_SetDate">
    <vt:lpwstr>2026-03-02T22:04:28Z</vt:lpwstr>
  </property>
  <property fmtid="{D5CDD505-2E9C-101B-9397-08002B2CF9AE}" pid="24" name="MSIP_Label_4009eddf-846d-46a2-8a8f-ad982b694053_Method">
    <vt:lpwstr>Privileged</vt:lpwstr>
  </property>
  <property fmtid="{D5CDD505-2E9C-101B-9397-08002B2CF9AE}" pid="25" name="MSIP_Label_4009eddf-846d-46a2-8a8f-ad982b694053_Name">
    <vt:lpwstr>UNCLASSIFIED</vt:lpwstr>
  </property>
  <property fmtid="{D5CDD505-2E9C-101B-9397-08002B2CF9AE}" pid="26" name="MSIP_Label_4009eddf-846d-46a2-8a8f-ad982b694053_SiteId">
    <vt:lpwstr>e6d2d4cc-b762-486e-8894-4f5f440d5f31</vt:lpwstr>
  </property>
  <property fmtid="{D5CDD505-2E9C-101B-9397-08002B2CF9AE}" pid="27" name="MSIP_Label_4009eddf-846d-46a2-8a8f-ad982b694053_ActionId">
    <vt:lpwstr>a9a760ed-fdd5-4052-b7e0-08221f675913</vt:lpwstr>
  </property>
  <property fmtid="{D5CDD505-2E9C-101B-9397-08002B2CF9AE}" pid="28" name="MSIP_Label_4009eddf-846d-46a2-8a8f-ad982b694053_ContentBits">
    <vt:lpwstr>3</vt:lpwstr>
  </property>
  <property fmtid="{D5CDD505-2E9C-101B-9397-08002B2CF9AE}" pid="29" name="MSIP_Label_4009eddf-846d-46a2-8a8f-ad982b694053_Tag">
    <vt:lpwstr>10, 0, 1, 1</vt:lpwstr>
  </property>
</Properties>
</file>