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3F8B" w14:textId="7A3CF9C4" w:rsidR="000B27F5" w:rsidRPr="007645E2" w:rsidRDefault="00EF042F" w:rsidP="0009694B">
      <w:pPr>
        <w:pStyle w:val="Title"/>
        <w:pBdr>
          <w:bottom w:val="single" w:sz="8" w:space="12" w:color="4F81BD" w:themeColor="accent1"/>
        </w:pBdr>
      </w:pPr>
      <w:r w:rsidRPr="007645E2">
        <w:rPr>
          <w:noProof/>
          <w:lang w:eastAsia="en-NZ"/>
        </w:rPr>
        <w:drawing>
          <wp:anchor distT="0" distB="0" distL="114300" distR="114300" simplePos="0" relativeHeight="251658240" behindDoc="1" locked="0" layoutInCell="1" allowOverlap="1" wp14:anchorId="7C925AFD" wp14:editId="65AE075F">
            <wp:simplePos x="0" y="0"/>
            <wp:positionH relativeFrom="column">
              <wp:posOffset>-19050</wp:posOffset>
            </wp:positionH>
            <wp:positionV relativeFrom="paragraph">
              <wp:posOffset>2540</wp:posOffset>
            </wp:positionV>
            <wp:extent cx="1078146" cy="1043796"/>
            <wp:effectExtent l="19050" t="0" r="7069" b="0"/>
            <wp:wrapNone/>
            <wp:docPr id="4" name="Picture 213" descr="Hi res NZ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i res NZ Coat of Arms"/>
                    <pic:cNvPicPr>
                      <a:picLocks noChangeAspect="1" noChangeArrowheads="1"/>
                    </pic:cNvPicPr>
                  </pic:nvPicPr>
                  <pic:blipFill>
                    <a:blip r:embed="rId12" cstate="print"/>
                    <a:srcRect/>
                    <a:stretch>
                      <a:fillRect/>
                    </a:stretch>
                  </pic:blipFill>
                  <pic:spPr bwMode="auto">
                    <a:xfrm>
                      <a:off x="0" y="0"/>
                      <a:ext cx="1078146" cy="1043796"/>
                    </a:xfrm>
                    <a:prstGeom prst="rect">
                      <a:avLst/>
                    </a:prstGeom>
                    <a:noFill/>
                    <a:ln w="9525">
                      <a:noFill/>
                      <a:miter lim="800000"/>
                      <a:headEnd/>
                      <a:tailEnd/>
                    </a:ln>
                  </pic:spPr>
                </pic:pic>
              </a:graphicData>
            </a:graphic>
          </wp:anchor>
        </w:drawing>
      </w:r>
    </w:p>
    <w:p w14:paraId="6408D400" w14:textId="0BD15F2D" w:rsidR="000B27F5" w:rsidRPr="007645E2" w:rsidRDefault="000B27F5" w:rsidP="0009694B">
      <w:pPr>
        <w:pStyle w:val="Title"/>
        <w:pBdr>
          <w:bottom w:val="single" w:sz="8" w:space="12" w:color="4F81BD" w:themeColor="accent1"/>
        </w:pBdr>
      </w:pPr>
    </w:p>
    <w:p w14:paraId="17687A44" w14:textId="77777777" w:rsidR="000B27F5" w:rsidRPr="007645E2" w:rsidRDefault="000B27F5" w:rsidP="0009694B">
      <w:pPr>
        <w:pStyle w:val="Title"/>
        <w:pBdr>
          <w:bottom w:val="single" w:sz="8" w:space="12" w:color="4F81BD" w:themeColor="accent1"/>
        </w:pBdr>
      </w:pPr>
    </w:p>
    <w:p w14:paraId="3F29B6F1" w14:textId="2CF819E6" w:rsidR="0009694B" w:rsidRPr="007645E2" w:rsidRDefault="00251FAF" w:rsidP="0009694B">
      <w:pPr>
        <w:pStyle w:val="Title"/>
        <w:pBdr>
          <w:bottom w:val="single" w:sz="8" w:space="12" w:color="4F81BD" w:themeColor="accent1"/>
        </w:pBdr>
      </w:pPr>
      <w:r w:rsidRPr="007645E2">
        <w:rPr>
          <w:rFonts w:ascii="Arial" w:hAnsi="Arial" w:cs="Arial"/>
          <w:b/>
          <w:bCs/>
          <w:color w:val="auto"/>
          <w:sz w:val="28"/>
          <w:szCs w:val="28"/>
        </w:rPr>
        <w:t>Position Profile – NZSPA board member</w:t>
      </w:r>
    </w:p>
    <w:tbl>
      <w:tblPr>
        <w:tblStyle w:val="TableGrid"/>
        <w:tblpPr w:leftFromText="180" w:rightFromText="180" w:vertAnchor="text" w:horzAnchor="margin"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662"/>
      </w:tblGrid>
      <w:tr w:rsidR="00CD37F1" w:rsidRPr="007645E2" w14:paraId="77DF3472" w14:textId="77777777" w:rsidTr="00D22309">
        <w:tc>
          <w:tcPr>
            <w:tcW w:w="2547" w:type="dxa"/>
          </w:tcPr>
          <w:p w14:paraId="5FAB0701" w14:textId="77777777" w:rsidR="00CD37F1" w:rsidRPr="007645E2" w:rsidRDefault="00CD37F1" w:rsidP="00CD37F1">
            <w:pPr>
              <w:rPr>
                <w:rFonts w:ascii="Arial" w:hAnsi="Arial" w:cs="Arial"/>
                <w:b/>
              </w:rPr>
            </w:pPr>
            <w:r w:rsidRPr="007645E2">
              <w:rPr>
                <w:rFonts w:ascii="Arial" w:hAnsi="Arial" w:cs="Arial"/>
                <w:b/>
              </w:rPr>
              <w:t>Appointed by:</w:t>
            </w:r>
          </w:p>
        </w:tc>
        <w:tc>
          <w:tcPr>
            <w:tcW w:w="6662" w:type="dxa"/>
          </w:tcPr>
          <w:p w14:paraId="3F388F53" w14:textId="77777777" w:rsidR="00CD37F1" w:rsidRPr="007645E2" w:rsidRDefault="00CD37F1" w:rsidP="00CD37F1">
            <w:pPr>
              <w:rPr>
                <w:rFonts w:ascii="Arial" w:hAnsi="Arial" w:cs="Arial"/>
                <w:b/>
              </w:rPr>
            </w:pPr>
            <w:r w:rsidRPr="007645E2">
              <w:rPr>
                <w:rFonts w:ascii="Arial" w:hAnsi="Arial" w:cs="Arial"/>
                <w:b/>
              </w:rPr>
              <w:t>Minister of Education (responsible Minister)</w:t>
            </w:r>
          </w:p>
        </w:tc>
      </w:tr>
      <w:tr w:rsidR="00CD37F1" w:rsidRPr="007645E2" w14:paraId="7CEC28D1" w14:textId="77777777" w:rsidTr="00D22309">
        <w:tc>
          <w:tcPr>
            <w:tcW w:w="2547" w:type="dxa"/>
          </w:tcPr>
          <w:p w14:paraId="48EBFCB0" w14:textId="77777777" w:rsidR="00CD37F1" w:rsidRPr="007645E2" w:rsidRDefault="00CD37F1" w:rsidP="00CD37F1">
            <w:pPr>
              <w:rPr>
                <w:rFonts w:ascii="Arial" w:hAnsi="Arial" w:cs="Arial"/>
                <w:b/>
              </w:rPr>
            </w:pPr>
          </w:p>
          <w:p w14:paraId="2049CEC5" w14:textId="77777777" w:rsidR="00CD37F1" w:rsidRPr="007645E2" w:rsidRDefault="00CD37F1" w:rsidP="00CD37F1">
            <w:pPr>
              <w:rPr>
                <w:rFonts w:ascii="Arial" w:hAnsi="Arial" w:cs="Arial"/>
                <w:b/>
              </w:rPr>
            </w:pPr>
            <w:r w:rsidRPr="007645E2">
              <w:rPr>
                <w:rFonts w:ascii="Arial" w:hAnsi="Arial" w:cs="Arial"/>
                <w:b/>
              </w:rPr>
              <w:t>Term:</w:t>
            </w:r>
          </w:p>
        </w:tc>
        <w:tc>
          <w:tcPr>
            <w:tcW w:w="6662" w:type="dxa"/>
          </w:tcPr>
          <w:p w14:paraId="4A8E2572" w14:textId="77777777" w:rsidR="00CD37F1" w:rsidRPr="007645E2" w:rsidRDefault="00CD37F1" w:rsidP="00CD37F1">
            <w:pPr>
              <w:rPr>
                <w:rFonts w:ascii="Arial" w:hAnsi="Arial" w:cs="Arial"/>
                <w:b/>
              </w:rPr>
            </w:pPr>
          </w:p>
          <w:p w14:paraId="4A3F6400" w14:textId="0F489CAF" w:rsidR="00CD37F1" w:rsidRPr="007645E2" w:rsidRDefault="00707FA5" w:rsidP="00CD37F1">
            <w:pPr>
              <w:rPr>
                <w:rFonts w:ascii="Arial" w:hAnsi="Arial" w:cs="Arial"/>
                <w:b/>
              </w:rPr>
            </w:pPr>
            <w:r>
              <w:rPr>
                <w:rFonts w:ascii="Arial" w:hAnsi="Arial" w:cs="Arial"/>
                <w:b/>
              </w:rPr>
              <w:t>up to 3 years</w:t>
            </w:r>
          </w:p>
        </w:tc>
      </w:tr>
      <w:tr w:rsidR="00CD37F1" w:rsidRPr="007645E2" w14:paraId="45571685" w14:textId="77777777" w:rsidTr="00D22309">
        <w:tc>
          <w:tcPr>
            <w:tcW w:w="2547" w:type="dxa"/>
          </w:tcPr>
          <w:p w14:paraId="0AE6CB72" w14:textId="77777777" w:rsidR="00CD37F1" w:rsidRPr="007645E2" w:rsidRDefault="00CD37F1" w:rsidP="00CD37F1">
            <w:pPr>
              <w:rPr>
                <w:rFonts w:ascii="Arial" w:hAnsi="Arial" w:cs="Arial"/>
                <w:b/>
              </w:rPr>
            </w:pPr>
          </w:p>
          <w:p w14:paraId="53178F15" w14:textId="77777777" w:rsidR="00CD37F1" w:rsidRPr="007645E2" w:rsidRDefault="00CD37F1" w:rsidP="00CD37F1">
            <w:pPr>
              <w:rPr>
                <w:rFonts w:ascii="Arial" w:hAnsi="Arial" w:cs="Arial"/>
                <w:b/>
              </w:rPr>
            </w:pPr>
            <w:r w:rsidRPr="007645E2">
              <w:rPr>
                <w:rFonts w:ascii="Arial" w:hAnsi="Arial" w:cs="Arial"/>
                <w:b/>
              </w:rPr>
              <w:t>Remuneration:</w:t>
            </w:r>
          </w:p>
        </w:tc>
        <w:tc>
          <w:tcPr>
            <w:tcW w:w="6662" w:type="dxa"/>
          </w:tcPr>
          <w:p w14:paraId="49D8FB16" w14:textId="77777777" w:rsidR="00CD37F1" w:rsidRPr="007645E2" w:rsidRDefault="00CD37F1" w:rsidP="00CD37F1">
            <w:pPr>
              <w:rPr>
                <w:rFonts w:ascii="Arial" w:hAnsi="Arial" w:cs="Arial"/>
                <w:b/>
              </w:rPr>
            </w:pPr>
          </w:p>
          <w:p w14:paraId="24254865" w14:textId="0F3F0FF4" w:rsidR="00CD37F1" w:rsidRPr="00427C89" w:rsidRDefault="00CD37F1" w:rsidP="00CD37F1">
            <w:pPr>
              <w:rPr>
                <w:rFonts w:ascii="Arial" w:hAnsi="Arial" w:cs="Arial"/>
                <w:b/>
              </w:rPr>
            </w:pPr>
            <w:r w:rsidRPr="00427C89">
              <w:rPr>
                <w:rFonts w:ascii="Arial" w:hAnsi="Arial" w:cs="Arial"/>
                <w:b/>
              </w:rPr>
              <w:t>Cabinet Fees Framework CO (25) 2 — NZSPA is classified as Group 3a (General Governance Boards)</w:t>
            </w:r>
            <w:r w:rsidR="00427C89" w:rsidRPr="00427C89">
              <w:rPr>
                <w:rFonts w:ascii="Arial" w:hAnsi="Arial" w:cs="Arial"/>
                <w:b/>
              </w:rPr>
              <w:t xml:space="preserve">, level 2 body. </w:t>
            </w:r>
          </w:p>
        </w:tc>
      </w:tr>
    </w:tbl>
    <w:p w14:paraId="6B65E940" w14:textId="32982D8B" w:rsidR="0009694B" w:rsidRPr="007645E2" w:rsidRDefault="0009694B" w:rsidP="0009694B"/>
    <w:p w14:paraId="6AFAA781" w14:textId="485F2B75" w:rsidR="00827836" w:rsidRPr="007645E2" w:rsidRDefault="00251FAF" w:rsidP="003A002F">
      <w:pPr>
        <w:pStyle w:val="Heading2"/>
        <w:ind w:right="-574"/>
        <w:rPr>
          <w:rFonts w:ascii="Arial" w:hAnsi="Arial" w:cs="Arial"/>
          <w:sz w:val="22"/>
          <w:szCs w:val="22"/>
        </w:rPr>
      </w:pPr>
      <w:r w:rsidRPr="007645E2">
        <w:rPr>
          <w:rFonts w:ascii="Arial" w:hAnsi="Arial" w:cs="Arial"/>
          <w:sz w:val="22"/>
          <w:szCs w:val="22"/>
        </w:rPr>
        <w:t>About NZSPA</w:t>
      </w:r>
    </w:p>
    <w:p w14:paraId="645575F5" w14:textId="323CC8E3" w:rsidR="000D28EB" w:rsidRDefault="00251FAF" w:rsidP="00226853">
      <w:pPr>
        <w:spacing w:after="0" w:line="240" w:lineRule="auto"/>
        <w:rPr>
          <w:rFonts w:ascii="Arial" w:hAnsi="Arial" w:cs="Arial"/>
        </w:rPr>
      </w:pPr>
      <w:r w:rsidRPr="007645E2">
        <w:rPr>
          <w:rFonts w:ascii="Arial" w:hAnsi="Arial" w:cs="Arial"/>
        </w:rPr>
        <w:t xml:space="preserve">The New Zealand School Property Agency (NZSPA) </w:t>
      </w:r>
      <w:r w:rsidR="001A0615">
        <w:rPr>
          <w:rFonts w:ascii="Arial" w:hAnsi="Arial" w:cs="Arial"/>
        </w:rPr>
        <w:t xml:space="preserve">is being established following the 2024 Ministerial Inquiry, </w:t>
      </w:r>
      <w:r w:rsidR="00F0442E">
        <w:rPr>
          <w:rFonts w:ascii="Arial" w:hAnsi="Arial" w:cs="Arial"/>
        </w:rPr>
        <w:t xml:space="preserve">which identified a need </w:t>
      </w:r>
      <w:r w:rsidR="001A0615">
        <w:rPr>
          <w:rFonts w:ascii="Arial" w:hAnsi="Arial" w:cs="Arial"/>
        </w:rPr>
        <w:t xml:space="preserve">to improve school property processes and associated education outcomes. </w:t>
      </w:r>
      <w:r w:rsidR="000D28EB">
        <w:rPr>
          <w:rFonts w:ascii="Arial" w:hAnsi="Arial" w:cs="Arial"/>
        </w:rPr>
        <w:t xml:space="preserve">The Agency will be </w:t>
      </w:r>
      <w:r w:rsidRPr="007645E2">
        <w:rPr>
          <w:rFonts w:ascii="Arial" w:hAnsi="Arial" w:cs="Arial"/>
        </w:rPr>
        <w:t>a statutory Crown agent responsible for the effective, efficient administration of education property on behalf of the Crown</w:t>
      </w:r>
      <w:r w:rsidR="00C54828">
        <w:rPr>
          <w:rFonts w:ascii="Arial" w:hAnsi="Arial" w:cs="Arial"/>
        </w:rPr>
        <w:t>, an</w:t>
      </w:r>
      <w:r w:rsidR="00E36E39">
        <w:rPr>
          <w:rFonts w:ascii="Arial" w:hAnsi="Arial" w:cs="Arial"/>
        </w:rPr>
        <w:t>d</w:t>
      </w:r>
      <w:r w:rsidR="00C54828">
        <w:rPr>
          <w:rFonts w:ascii="Arial" w:hAnsi="Arial" w:cs="Arial"/>
        </w:rPr>
        <w:t xml:space="preserve"> </w:t>
      </w:r>
      <w:r w:rsidR="000D28EB">
        <w:rPr>
          <w:rFonts w:ascii="Arial" w:hAnsi="Arial" w:cs="Arial"/>
        </w:rPr>
        <w:t xml:space="preserve">will specifically </w:t>
      </w:r>
      <w:r w:rsidRPr="007645E2">
        <w:rPr>
          <w:rFonts w:ascii="Arial" w:hAnsi="Arial" w:cs="Arial"/>
        </w:rPr>
        <w:t xml:space="preserve">plan, design, construct, acquire, maintains repair and dispose of education property consistent with Government priorities and relevant legislation. </w:t>
      </w:r>
    </w:p>
    <w:p w14:paraId="20029645" w14:textId="77777777" w:rsidR="004E44AB" w:rsidRDefault="004E44AB" w:rsidP="00226853">
      <w:pPr>
        <w:spacing w:after="0" w:line="240" w:lineRule="auto"/>
        <w:rPr>
          <w:rFonts w:ascii="Arial" w:hAnsi="Arial" w:cs="Arial"/>
        </w:rPr>
      </w:pPr>
    </w:p>
    <w:p w14:paraId="35F23F2B" w14:textId="77777777" w:rsidR="004E44AB" w:rsidRDefault="004E44AB" w:rsidP="00226853">
      <w:pPr>
        <w:spacing w:after="0" w:line="240" w:lineRule="auto"/>
        <w:rPr>
          <w:rFonts w:ascii="Arial" w:hAnsi="Arial" w:cs="Arial"/>
        </w:rPr>
      </w:pPr>
      <w:r>
        <w:rPr>
          <w:rFonts w:ascii="Arial" w:hAnsi="Arial" w:cs="Arial"/>
        </w:rPr>
        <w:t xml:space="preserve">NZSPA will support </w:t>
      </w:r>
      <w:r w:rsidR="00251FAF" w:rsidRPr="007645E2">
        <w:rPr>
          <w:rFonts w:ascii="Arial" w:hAnsi="Arial" w:cs="Arial"/>
        </w:rPr>
        <w:t xml:space="preserve">schools and other regulated entities on capital projects and Ministry-funded maintenance, monitors property performance and compliance, provides advice to the Minister and Secretary on property planning and delivery, and maintains constructive sector relationships. </w:t>
      </w:r>
    </w:p>
    <w:p w14:paraId="3A71CCFE" w14:textId="77777777" w:rsidR="003711A3" w:rsidRDefault="003711A3" w:rsidP="00226853">
      <w:pPr>
        <w:spacing w:after="0" w:line="240" w:lineRule="auto"/>
        <w:rPr>
          <w:rFonts w:ascii="Arial" w:hAnsi="Arial" w:cs="Arial"/>
        </w:rPr>
      </w:pPr>
    </w:p>
    <w:p w14:paraId="2CF8E013" w14:textId="61AB029A" w:rsidR="00827836" w:rsidRPr="007645E2" w:rsidRDefault="00251FAF" w:rsidP="00226853">
      <w:pPr>
        <w:spacing w:after="0" w:line="240" w:lineRule="auto"/>
        <w:rPr>
          <w:rFonts w:ascii="Arial" w:hAnsi="Arial" w:cs="Arial"/>
        </w:rPr>
      </w:pPr>
      <w:r w:rsidRPr="007645E2">
        <w:rPr>
          <w:rFonts w:ascii="Arial" w:hAnsi="Arial" w:cs="Arial"/>
        </w:rPr>
        <w:t xml:space="preserve">NZSPA </w:t>
      </w:r>
      <w:r w:rsidR="0080050C">
        <w:rPr>
          <w:rFonts w:ascii="Arial" w:hAnsi="Arial" w:cs="Arial"/>
        </w:rPr>
        <w:t>will uphold</w:t>
      </w:r>
      <w:r w:rsidRPr="007645E2">
        <w:rPr>
          <w:rFonts w:ascii="Arial" w:hAnsi="Arial" w:cs="Arial"/>
        </w:rPr>
        <w:t xml:space="preserve"> Te Tiriti o Waitangi responsibilities</w:t>
      </w:r>
      <w:r w:rsidR="003711A3">
        <w:rPr>
          <w:rFonts w:ascii="Arial" w:hAnsi="Arial" w:cs="Arial"/>
        </w:rPr>
        <w:t xml:space="preserve">, </w:t>
      </w:r>
      <w:r w:rsidR="003711A3" w:rsidRPr="009A287A">
        <w:rPr>
          <w:rFonts w:ascii="Arial" w:hAnsi="Arial" w:cs="Arial"/>
        </w:rPr>
        <w:t>b</w:t>
      </w:r>
      <w:r w:rsidRPr="009A287A">
        <w:rPr>
          <w:rFonts w:ascii="Arial" w:hAnsi="Arial" w:cs="Arial"/>
        </w:rPr>
        <w:t>uild enduring partnerships with Māori</w:t>
      </w:r>
      <w:r w:rsidR="003711A3" w:rsidRPr="009A287A">
        <w:rPr>
          <w:rFonts w:ascii="Arial" w:hAnsi="Arial" w:cs="Arial"/>
        </w:rPr>
        <w:t>,</w:t>
      </w:r>
      <w:r w:rsidR="003711A3">
        <w:rPr>
          <w:rFonts w:ascii="Arial" w:hAnsi="Arial" w:cs="Arial"/>
        </w:rPr>
        <w:t xml:space="preserve"> and </w:t>
      </w:r>
      <w:r w:rsidRPr="007645E2">
        <w:rPr>
          <w:rFonts w:ascii="Arial" w:hAnsi="Arial" w:cs="Arial"/>
        </w:rPr>
        <w:t>operate in line with Cabinet Circular CO (23) 9 on investment management and asset performance.</w:t>
      </w:r>
    </w:p>
    <w:p w14:paraId="62B8F511" w14:textId="77777777" w:rsidR="00827836" w:rsidRPr="007645E2" w:rsidRDefault="00251FAF" w:rsidP="003A002F">
      <w:pPr>
        <w:pStyle w:val="Heading2"/>
        <w:ind w:left="-284" w:firstLine="284"/>
        <w:rPr>
          <w:rFonts w:ascii="Arial" w:hAnsi="Arial" w:cs="Arial"/>
          <w:sz w:val="22"/>
          <w:szCs w:val="22"/>
        </w:rPr>
      </w:pPr>
      <w:r w:rsidRPr="007645E2">
        <w:rPr>
          <w:rFonts w:ascii="Arial" w:hAnsi="Arial" w:cs="Arial"/>
          <w:sz w:val="22"/>
          <w:szCs w:val="22"/>
        </w:rPr>
        <w:t>Workload, remuneration and term of appointment</w:t>
      </w:r>
    </w:p>
    <w:p w14:paraId="6C9E87E8" w14:textId="3AC0F599" w:rsidR="00827836" w:rsidRPr="007645E2" w:rsidRDefault="00251FAF" w:rsidP="00226853">
      <w:pPr>
        <w:spacing w:after="0" w:line="240" w:lineRule="auto"/>
        <w:mirrorIndents/>
        <w:rPr>
          <w:rFonts w:ascii="Arial" w:hAnsi="Arial" w:cs="Arial"/>
        </w:rPr>
      </w:pPr>
      <w:r w:rsidRPr="007645E2">
        <w:rPr>
          <w:rFonts w:ascii="Arial" w:hAnsi="Arial" w:cs="Arial"/>
        </w:rPr>
        <w:t xml:space="preserve">Board members prepare for and attend scheduled Board and committee meetings, participate in strategic planning and stakeholder engagement, and undertake site visits as required. Indicative time commitment is around </w:t>
      </w:r>
      <w:r w:rsidR="00CB122E">
        <w:rPr>
          <w:rFonts w:ascii="Arial" w:hAnsi="Arial" w:cs="Arial"/>
        </w:rPr>
        <w:t>30</w:t>
      </w:r>
      <w:r w:rsidR="00CB122E" w:rsidRPr="007645E2">
        <w:rPr>
          <w:rFonts w:ascii="Arial" w:hAnsi="Arial" w:cs="Arial"/>
        </w:rPr>
        <w:t xml:space="preserve"> days</w:t>
      </w:r>
      <w:r w:rsidRPr="007645E2">
        <w:rPr>
          <w:rFonts w:ascii="Arial" w:hAnsi="Arial" w:cs="Arial"/>
        </w:rPr>
        <w:t xml:space="preserve"> per annum (board/committee work, preparation, engagement and site visits). </w:t>
      </w:r>
      <w:r w:rsidR="00B3519F">
        <w:rPr>
          <w:rFonts w:ascii="Arial" w:hAnsi="Arial" w:cs="Arial"/>
        </w:rPr>
        <w:t>An annual remuneration fee</w:t>
      </w:r>
      <w:r w:rsidRPr="007645E2">
        <w:rPr>
          <w:rFonts w:ascii="Arial" w:hAnsi="Arial" w:cs="Arial"/>
        </w:rPr>
        <w:t xml:space="preserve"> </w:t>
      </w:r>
      <w:r w:rsidR="00B3519F">
        <w:rPr>
          <w:rFonts w:ascii="Arial" w:hAnsi="Arial" w:cs="Arial"/>
        </w:rPr>
        <w:t xml:space="preserve">is </w:t>
      </w:r>
      <w:r w:rsidRPr="007645E2">
        <w:rPr>
          <w:rFonts w:ascii="Arial" w:hAnsi="Arial" w:cs="Arial"/>
        </w:rPr>
        <w:t xml:space="preserve">set under the Cabinet Fees Framework CO (25) 2. NZSPA is classified as Group 3a (General Governance Boards). Reasonable expenses will be reimbursed in line with NZSPA policy. </w:t>
      </w:r>
    </w:p>
    <w:p w14:paraId="0F45D14B" w14:textId="77777777" w:rsidR="003A002F" w:rsidRPr="007645E2" w:rsidRDefault="003A002F" w:rsidP="003A002F">
      <w:pPr>
        <w:pStyle w:val="Heading2"/>
        <w:spacing w:before="0" w:line="240" w:lineRule="auto"/>
        <w:mirrorIndents/>
        <w:jc w:val="both"/>
        <w:rPr>
          <w:rFonts w:ascii="Arial" w:hAnsi="Arial" w:cs="Arial"/>
          <w:sz w:val="22"/>
          <w:szCs w:val="22"/>
        </w:rPr>
      </w:pPr>
    </w:p>
    <w:p w14:paraId="18D0BD5B" w14:textId="47B1E909" w:rsidR="00827836" w:rsidRPr="007645E2" w:rsidRDefault="00251FAF" w:rsidP="003A002F">
      <w:pPr>
        <w:pStyle w:val="Heading2"/>
        <w:spacing w:before="0" w:line="240" w:lineRule="auto"/>
        <w:mirrorIndents/>
        <w:jc w:val="both"/>
        <w:rPr>
          <w:rFonts w:ascii="Arial" w:hAnsi="Arial" w:cs="Arial"/>
          <w:sz w:val="22"/>
          <w:szCs w:val="22"/>
        </w:rPr>
      </w:pPr>
      <w:r w:rsidRPr="007645E2">
        <w:rPr>
          <w:rFonts w:ascii="Arial" w:hAnsi="Arial" w:cs="Arial"/>
          <w:sz w:val="22"/>
          <w:szCs w:val="22"/>
        </w:rPr>
        <w:t>Position purpose</w:t>
      </w:r>
    </w:p>
    <w:p w14:paraId="1AFCF918" w14:textId="77777777" w:rsidR="00827836" w:rsidRPr="007645E2" w:rsidRDefault="00251FAF" w:rsidP="00226853">
      <w:pPr>
        <w:spacing w:after="0" w:line="240" w:lineRule="auto"/>
        <w:mirrorIndents/>
        <w:rPr>
          <w:rFonts w:ascii="Arial" w:hAnsi="Arial" w:cs="Arial"/>
        </w:rPr>
      </w:pPr>
      <w:r w:rsidRPr="007645E2">
        <w:rPr>
          <w:rFonts w:ascii="Arial" w:hAnsi="Arial" w:cs="Arial"/>
        </w:rPr>
        <w:t>As part of a collective governance body, members provide strategic direction, stewardship and oversight so NZSPA delivers value for the Crown and the education sector. Members may also serve on Board subcommittees with delegated responsibilities.</w:t>
      </w:r>
    </w:p>
    <w:p w14:paraId="7A1442CE" w14:textId="77777777" w:rsidR="003A002F" w:rsidRPr="007645E2" w:rsidRDefault="003A002F" w:rsidP="003A002F">
      <w:pPr>
        <w:pStyle w:val="Heading2"/>
        <w:spacing w:before="0" w:line="240" w:lineRule="auto"/>
        <w:mirrorIndents/>
        <w:jc w:val="both"/>
        <w:rPr>
          <w:rFonts w:ascii="Arial" w:hAnsi="Arial" w:cs="Arial"/>
          <w:sz w:val="22"/>
          <w:szCs w:val="22"/>
        </w:rPr>
      </w:pPr>
    </w:p>
    <w:p w14:paraId="75ECC78F" w14:textId="047AE79E" w:rsidR="00827836" w:rsidRPr="007645E2" w:rsidRDefault="00251FAF" w:rsidP="003A002F">
      <w:pPr>
        <w:pStyle w:val="Heading2"/>
        <w:spacing w:before="0" w:line="240" w:lineRule="auto"/>
        <w:mirrorIndents/>
        <w:jc w:val="both"/>
        <w:rPr>
          <w:rFonts w:ascii="Arial" w:hAnsi="Arial" w:cs="Arial"/>
          <w:sz w:val="22"/>
          <w:szCs w:val="22"/>
        </w:rPr>
      </w:pPr>
      <w:r w:rsidRPr="007645E2">
        <w:rPr>
          <w:rFonts w:ascii="Arial" w:hAnsi="Arial" w:cs="Arial"/>
          <w:sz w:val="22"/>
          <w:szCs w:val="22"/>
        </w:rPr>
        <w:t>Skills profile</w:t>
      </w:r>
    </w:p>
    <w:tbl>
      <w:tblPr>
        <w:tblStyle w:val="TableGrid"/>
        <w:tblW w:w="0" w:type="auto"/>
        <w:tblLook w:val="04A0" w:firstRow="1" w:lastRow="0" w:firstColumn="1" w:lastColumn="0" w:noHBand="0" w:noVBand="1"/>
      </w:tblPr>
      <w:tblGrid>
        <w:gridCol w:w="1696"/>
        <w:gridCol w:w="7933"/>
      </w:tblGrid>
      <w:tr w:rsidR="002C171A" w:rsidRPr="007645E2" w14:paraId="151B5F4C" w14:textId="77777777" w:rsidTr="00263ABC">
        <w:tc>
          <w:tcPr>
            <w:tcW w:w="1696" w:type="dxa"/>
          </w:tcPr>
          <w:p w14:paraId="3B6D572A" w14:textId="4A2203C1" w:rsidR="002C171A" w:rsidRPr="008A7626" w:rsidRDefault="002C171A" w:rsidP="002C171A">
            <w:pPr>
              <w:rPr>
                <w:rFonts w:ascii="Arial" w:hAnsi="Arial" w:cs="Arial"/>
                <w:b/>
                <w:bCs/>
              </w:rPr>
            </w:pPr>
            <w:r w:rsidRPr="008A7626">
              <w:rPr>
                <w:rFonts w:ascii="Arial" w:hAnsi="Arial" w:cs="Arial"/>
                <w:b/>
                <w:bCs/>
              </w:rPr>
              <w:t xml:space="preserve">Knowledge </w:t>
            </w:r>
            <w:r w:rsidR="008A7626" w:rsidRPr="008A7626">
              <w:rPr>
                <w:rFonts w:ascii="Arial" w:hAnsi="Arial" w:cs="Arial"/>
                <w:b/>
                <w:bCs/>
              </w:rPr>
              <w:t xml:space="preserve">&amp; </w:t>
            </w:r>
            <w:r w:rsidRPr="008A7626">
              <w:rPr>
                <w:rFonts w:ascii="Arial" w:hAnsi="Arial" w:cs="Arial"/>
                <w:b/>
                <w:bCs/>
              </w:rPr>
              <w:t>experience</w:t>
            </w:r>
          </w:p>
        </w:tc>
        <w:tc>
          <w:tcPr>
            <w:tcW w:w="7933" w:type="dxa"/>
          </w:tcPr>
          <w:p w14:paraId="5360ED56" w14:textId="5CF92F38" w:rsidR="002C171A" w:rsidRPr="007645E2" w:rsidRDefault="002C171A" w:rsidP="007D54B3">
            <w:pPr>
              <w:pStyle w:val="ListBullet"/>
              <w:tabs>
                <w:tab w:val="clear" w:pos="360"/>
                <w:tab w:val="num" w:pos="454"/>
              </w:tabs>
              <w:ind w:left="454" w:hanging="425"/>
              <w:contextualSpacing w:val="0"/>
              <w:mirrorIndents/>
              <w:rPr>
                <w:rFonts w:ascii="Arial" w:hAnsi="Arial" w:cs="Arial"/>
              </w:rPr>
            </w:pPr>
            <w:r w:rsidRPr="007645E2">
              <w:rPr>
                <w:rFonts w:ascii="Arial" w:hAnsi="Arial" w:cs="Arial"/>
              </w:rPr>
              <w:t>Crown agent governance &amp; leadership (public accountability</w:t>
            </w:r>
            <w:r w:rsidR="007D54B3">
              <w:rPr>
                <w:rFonts w:ascii="Arial" w:hAnsi="Arial" w:cs="Arial"/>
              </w:rPr>
              <w:t xml:space="preserve">, </w:t>
            </w:r>
            <w:r w:rsidRPr="007645E2">
              <w:rPr>
                <w:rFonts w:ascii="Arial" w:hAnsi="Arial" w:cs="Arial"/>
              </w:rPr>
              <w:t>Ministerial direction</w:t>
            </w:r>
            <w:r w:rsidR="007D54B3">
              <w:rPr>
                <w:rFonts w:ascii="Arial" w:hAnsi="Arial" w:cs="Arial"/>
              </w:rPr>
              <w:t xml:space="preserve">, </w:t>
            </w:r>
            <w:r w:rsidRPr="007645E2">
              <w:rPr>
                <w:rFonts w:ascii="Arial" w:hAnsi="Arial" w:cs="Arial"/>
              </w:rPr>
              <w:t>duties under the Crown Entities Act)</w:t>
            </w:r>
          </w:p>
          <w:p w14:paraId="487DDC4D" w14:textId="6077A84D" w:rsidR="002C171A" w:rsidRPr="007645E2" w:rsidRDefault="002C171A" w:rsidP="007D54B3">
            <w:pPr>
              <w:pStyle w:val="ListBullet"/>
              <w:tabs>
                <w:tab w:val="clear" w:pos="360"/>
                <w:tab w:val="num" w:pos="454"/>
              </w:tabs>
              <w:ind w:left="454" w:hanging="425"/>
              <w:contextualSpacing w:val="0"/>
              <w:mirrorIndents/>
              <w:rPr>
                <w:rFonts w:ascii="Arial" w:hAnsi="Arial" w:cs="Arial"/>
              </w:rPr>
            </w:pPr>
            <w:r w:rsidRPr="007645E2">
              <w:rPr>
                <w:rFonts w:ascii="Arial" w:hAnsi="Arial" w:cs="Arial"/>
              </w:rPr>
              <w:t>System leadership &amp; public sector change (reform</w:t>
            </w:r>
            <w:r w:rsidR="007D54B3">
              <w:rPr>
                <w:rFonts w:ascii="Arial" w:hAnsi="Arial" w:cs="Arial"/>
              </w:rPr>
              <w:t xml:space="preserve">, </w:t>
            </w:r>
            <w:r w:rsidRPr="007645E2">
              <w:rPr>
                <w:rFonts w:ascii="Arial" w:hAnsi="Arial" w:cs="Arial"/>
              </w:rPr>
              <w:t>machinery-of-government)</w:t>
            </w:r>
          </w:p>
          <w:p w14:paraId="1F794A92" w14:textId="77777777" w:rsidR="002C171A" w:rsidRPr="007645E2" w:rsidRDefault="002C171A" w:rsidP="007D54B3">
            <w:pPr>
              <w:pStyle w:val="ListBullet"/>
              <w:tabs>
                <w:tab w:val="clear" w:pos="360"/>
                <w:tab w:val="num" w:pos="454"/>
              </w:tabs>
              <w:ind w:left="454" w:hanging="454"/>
              <w:contextualSpacing w:val="0"/>
              <w:mirrorIndents/>
              <w:rPr>
                <w:rFonts w:ascii="Arial" w:hAnsi="Arial" w:cs="Arial"/>
              </w:rPr>
            </w:pPr>
            <w:r w:rsidRPr="007645E2">
              <w:rPr>
                <w:rFonts w:ascii="Arial" w:hAnsi="Arial" w:cs="Arial"/>
              </w:rPr>
              <w:t>Construction, property &amp; asset management governance (major capital programmes, consenting, portfolio optimisation, delivery models)</w:t>
            </w:r>
          </w:p>
          <w:p w14:paraId="0B2E794A" w14:textId="77777777" w:rsidR="002C171A" w:rsidRPr="007645E2" w:rsidRDefault="002C171A" w:rsidP="007D54B3">
            <w:pPr>
              <w:pStyle w:val="ListBullet"/>
              <w:tabs>
                <w:tab w:val="clear" w:pos="360"/>
                <w:tab w:val="num" w:pos="454"/>
              </w:tabs>
              <w:ind w:left="454" w:hanging="454"/>
              <w:contextualSpacing w:val="0"/>
              <w:mirrorIndents/>
              <w:rPr>
                <w:rFonts w:ascii="Arial" w:hAnsi="Arial" w:cs="Arial"/>
              </w:rPr>
            </w:pPr>
            <w:r w:rsidRPr="007645E2">
              <w:rPr>
                <w:rFonts w:ascii="Arial" w:hAnsi="Arial" w:cs="Arial"/>
              </w:rPr>
              <w:t>Commercial &amp; financial acumen (business cases, capital decisions, long-run financial sustainability, value-for-money)</w:t>
            </w:r>
          </w:p>
          <w:p w14:paraId="10EFD2D8" w14:textId="0C5F49CD" w:rsidR="002C171A" w:rsidRPr="007645E2" w:rsidRDefault="002C171A" w:rsidP="007D54B3">
            <w:pPr>
              <w:pStyle w:val="ListBullet"/>
              <w:tabs>
                <w:tab w:val="clear" w:pos="360"/>
                <w:tab w:val="num" w:pos="454"/>
              </w:tabs>
              <w:ind w:left="454" w:hanging="454"/>
              <w:contextualSpacing w:val="0"/>
              <w:mirrorIndents/>
              <w:rPr>
                <w:rFonts w:ascii="Arial" w:hAnsi="Arial" w:cs="Arial"/>
              </w:rPr>
            </w:pPr>
            <w:r w:rsidRPr="007645E2">
              <w:rPr>
                <w:rFonts w:ascii="Arial" w:hAnsi="Arial" w:cs="Arial"/>
              </w:rPr>
              <w:t>Education stakeholder engagement &amp; outcomes (how property influences teaching/learning, equity and inclusion</w:t>
            </w:r>
            <w:r w:rsidR="007D54B3">
              <w:rPr>
                <w:rFonts w:ascii="Arial" w:hAnsi="Arial" w:cs="Arial"/>
              </w:rPr>
              <w:t xml:space="preserve">, </w:t>
            </w:r>
            <w:r w:rsidRPr="007645E2">
              <w:rPr>
                <w:rFonts w:ascii="Arial" w:hAnsi="Arial" w:cs="Arial"/>
              </w:rPr>
              <w:t>relationships with schools/boards/principals)</w:t>
            </w:r>
          </w:p>
          <w:p w14:paraId="5B785C78" w14:textId="0C497A12" w:rsidR="002C171A" w:rsidRPr="007645E2" w:rsidRDefault="002C171A" w:rsidP="007D54B3">
            <w:pPr>
              <w:pStyle w:val="ListBullet"/>
              <w:tabs>
                <w:tab w:val="clear" w:pos="360"/>
                <w:tab w:val="num" w:pos="454"/>
              </w:tabs>
              <w:ind w:left="454" w:hanging="454"/>
              <w:contextualSpacing w:val="0"/>
              <w:mirrorIndents/>
              <w:rPr>
                <w:rFonts w:ascii="Arial" w:hAnsi="Arial" w:cs="Arial"/>
              </w:rPr>
            </w:pPr>
            <w:r w:rsidRPr="007645E2">
              <w:rPr>
                <w:rFonts w:ascii="Arial" w:hAnsi="Arial" w:cs="Arial"/>
              </w:rPr>
              <w:t>Te Tiriti o Waitangi, Te Ao Māori &amp; iwi partnerships (Māori governance/partnership frameworks</w:t>
            </w:r>
            <w:r w:rsidR="006D401B">
              <w:rPr>
                <w:rFonts w:ascii="Arial" w:hAnsi="Arial" w:cs="Arial"/>
              </w:rPr>
              <w:t xml:space="preserve">, </w:t>
            </w:r>
            <w:r w:rsidRPr="007645E2">
              <w:rPr>
                <w:rFonts w:ascii="Arial" w:hAnsi="Arial" w:cs="Arial"/>
              </w:rPr>
              <w:t>Māori</w:t>
            </w:r>
            <w:r w:rsidRPr="007645E2">
              <w:rPr>
                <w:rFonts w:ascii="Cambria Math" w:hAnsi="Cambria Math" w:cs="Cambria Math"/>
              </w:rPr>
              <w:t>‑</w:t>
            </w:r>
            <w:r w:rsidRPr="007645E2">
              <w:rPr>
                <w:rFonts w:ascii="Arial" w:hAnsi="Arial" w:cs="Arial"/>
              </w:rPr>
              <w:t>medium settings)</w:t>
            </w:r>
          </w:p>
          <w:p w14:paraId="424CA7FE" w14:textId="77777777" w:rsidR="00AC6978" w:rsidRDefault="002C171A" w:rsidP="007D54B3">
            <w:pPr>
              <w:pStyle w:val="ListBullet"/>
              <w:tabs>
                <w:tab w:val="clear" w:pos="360"/>
                <w:tab w:val="num" w:pos="454"/>
              </w:tabs>
              <w:ind w:left="454" w:hanging="454"/>
              <w:contextualSpacing w:val="0"/>
              <w:mirrorIndents/>
              <w:rPr>
                <w:rFonts w:ascii="Arial" w:hAnsi="Arial" w:cs="Arial"/>
              </w:rPr>
            </w:pPr>
            <w:r w:rsidRPr="007645E2">
              <w:rPr>
                <w:rFonts w:ascii="Arial" w:hAnsi="Arial" w:cs="Arial"/>
              </w:rPr>
              <w:t>Large investment &amp; business case oversight (delivery pathways, cost drivers, risk profiles, benefit realisation)</w:t>
            </w:r>
          </w:p>
          <w:p w14:paraId="6CB5CA36" w14:textId="001860F8" w:rsidR="002C171A" w:rsidRPr="00AC6978" w:rsidRDefault="002C171A" w:rsidP="007D54B3">
            <w:pPr>
              <w:pStyle w:val="ListBullet"/>
              <w:tabs>
                <w:tab w:val="clear" w:pos="360"/>
                <w:tab w:val="num" w:pos="454"/>
              </w:tabs>
              <w:ind w:left="454" w:hanging="454"/>
              <w:contextualSpacing w:val="0"/>
              <w:mirrorIndents/>
              <w:rPr>
                <w:rFonts w:ascii="Arial" w:hAnsi="Arial" w:cs="Arial"/>
              </w:rPr>
            </w:pPr>
            <w:r w:rsidRPr="00AC6978">
              <w:rPr>
                <w:rFonts w:ascii="Arial" w:hAnsi="Arial" w:cs="Arial"/>
              </w:rPr>
              <w:t>Risk, audit &amp; assurance (including application of CO (23) 9 to asset management and performance)</w:t>
            </w:r>
          </w:p>
        </w:tc>
      </w:tr>
      <w:tr w:rsidR="002C171A" w:rsidRPr="007645E2" w14:paraId="705BD907" w14:textId="77777777" w:rsidTr="00263ABC">
        <w:tc>
          <w:tcPr>
            <w:tcW w:w="1696" w:type="dxa"/>
          </w:tcPr>
          <w:p w14:paraId="3D37B5D9" w14:textId="2B920BC9" w:rsidR="002C171A" w:rsidRPr="00AC6978" w:rsidRDefault="002C171A" w:rsidP="002C171A">
            <w:pPr>
              <w:rPr>
                <w:rFonts w:ascii="Arial" w:hAnsi="Arial" w:cs="Arial"/>
              </w:rPr>
            </w:pPr>
            <w:r w:rsidRPr="00AC6978">
              <w:rPr>
                <w:rFonts w:ascii="Arial" w:hAnsi="Arial" w:cs="Arial"/>
                <w:b/>
              </w:rPr>
              <w:t>Skills &amp; attributes</w:t>
            </w:r>
          </w:p>
        </w:tc>
        <w:tc>
          <w:tcPr>
            <w:tcW w:w="7933" w:type="dxa"/>
          </w:tcPr>
          <w:p w14:paraId="7728BD56" w14:textId="4A194FDE" w:rsidR="002C171A" w:rsidRPr="002C171A" w:rsidRDefault="002C171A" w:rsidP="007D54B3">
            <w:pPr>
              <w:pStyle w:val="ListBullet"/>
              <w:tabs>
                <w:tab w:val="clear" w:pos="360"/>
                <w:tab w:val="num" w:pos="454"/>
              </w:tabs>
              <w:rPr>
                <w:rFonts w:ascii="Arial" w:hAnsi="Arial" w:cs="Arial"/>
              </w:rPr>
            </w:pPr>
            <w:r w:rsidRPr="002C171A">
              <w:rPr>
                <w:rFonts w:ascii="Arial" w:hAnsi="Arial" w:cs="Arial"/>
              </w:rPr>
              <w:t xml:space="preserve">Strategic </w:t>
            </w:r>
            <w:r w:rsidR="006D401B">
              <w:rPr>
                <w:rFonts w:ascii="Arial" w:hAnsi="Arial" w:cs="Arial"/>
              </w:rPr>
              <w:t xml:space="preserve">and independent </w:t>
            </w:r>
            <w:r w:rsidRPr="002C171A">
              <w:rPr>
                <w:rFonts w:ascii="Arial" w:hAnsi="Arial" w:cs="Arial"/>
              </w:rPr>
              <w:t>thinking, sound judgement</w:t>
            </w:r>
            <w:r w:rsidR="006D401B">
              <w:rPr>
                <w:rFonts w:ascii="Arial" w:hAnsi="Arial" w:cs="Arial"/>
              </w:rPr>
              <w:t xml:space="preserve"> </w:t>
            </w:r>
          </w:p>
          <w:p w14:paraId="70F473DE" w14:textId="220EFFA8" w:rsidR="002C171A" w:rsidRPr="002C171A" w:rsidRDefault="002C171A" w:rsidP="007D54B3">
            <w:pPr>
              <w:pStyle w:val="ListBullet"/>
              <w:tabs>
                <w:tab w:val="clear" w:pos="360"/>
                <w:tab w:val="num" w:pos="454"/>
              </w:tabs>
              <w:rPr>
                <w:rFonts w:ascii="Arial" w:hAnsi="Arial" w:cs="Arial"/>
              </w:rPr>
            </w:pPr>
            <w:r w:rsidRPr="002C171A">
              <w:rPr>
                <w:rFonts w:ascii="Arial" w:hAnsi="Arial" w:cs="Arial"/>
              </w:rPr>
              <w:t>High integrity</w:t>
            </w:r>
            <w:r w:rsidR="006D401B">
              <w:rPr>
                <w:rFonts w:ascii="Arial" w:hAnsi="Arial" w:cs="Arial"/>
              </w:rPr>
              <w:t xml:space="preserve">, </w:t>
            </w:r>
            <w:r w:rsidRPr="002C171A">
              <w:rPr>
                <w:rFonts w:ascii="Arial" w:hAnsi="Arial" w:cs="Arial"/>
              </w:rPr>
              <w:t>acts in good faith</w:t>
            </w:r>
            <w:r w:rsidR="006D401B">
              <w:rPr>
                <w:rFonts w:ascii="Arial" w:hAnsi="Arial" w:cs="Arial"/>
              </w:rPr>
              <w:t xml:space="preserve">, </w:t>
            </w:r>
            <w:r w:rsidRPr="002C171A">
              <w:rPr>
                <w:rFonts w:ascii="Arial" w:hAnsi="Arial" w:cs="Arial"/>
              </w:rPr>
              <w:t>maintains confidentiality and “no surprises”</w:t>
            </w:r>
          </w:p>
          <w:p w14:paraId="6D0DED94" w14:textId="3A0B88EE" w:rsidR="002C171A" w:rsidRPr="002C171A" w:rsidRDefault="002C171A" w:rsidP="007D54B3">
            <w:pPr>
              <w:pStyle w:val="ListBullet"/>
              <w:tabs>
                <w:tab w:val="clear" w:pos="360"/>
                <w:tab w:val="num" w:pos="454"/>
              </w:tabs>
              <w:rPr>
                <w:rFonts w:ascii="Arial" w:hAnsi="Arial" w:cs="Arial"/>
              </w:rPr>
            </w:pPr>
            <w:r w:rsidRPr="002C171A">
              <w:rPr>
                <w:rFonts w:ascii="Arial" w:hAnsi="Arial" w:cs="Arial"/>
              </w:rPr>
              <w:t>Collaborative, constructive and culturally responsive</w:t>
            </w:r>
            <w:r w:rsidR="00103FA0">
              <w:rPr>
                <w:rFonts w:ascii="Arial" w:hAnsi="Arial" w:cs="Arial"/>
              </w:rPr>
              <w:t xml:space="preserve">, </w:t>
            </w:r>
            <w:r w:rsidRPr="002C171A">
              <w:rPr>
                <w:rFonts w:ascii="Arial" w:hAnsi="Arial" w:cs="Arial"/>
              </w:rPr>
              <w:t>strong relationship management</w:t>
            </w:r>
          </w:p>
          <w:p w14:paraId="4A603030" w14:textId="74B53902" w:rsidR="002C171A" w:rsidRPr="002C171A" w:rsidRDefault="002C171A" w:rsidP="007D54B3">
            <w:pPr>
              <w:pStyle w:val="ListBullet"/>
              <w:tabs>
                <w:tab w:val="clear" w:pos="360"/>
                <w:tab w:val="num" w:pos="454"/>
              </w:tabs>
              <w:rPr>
                <w:rFonts w:ascii="Arial" w:hAnsi="Arial" w:cs="Arial"/>
              </w:rPr>
            </w:pPr>
            <w:r w:rsidRPr="002C171A">
              <w:rPr>
                <w:rFonts w:ascii="Arial" w:hAnsi="Arial" w:cs="Arial"/>
              </w:rPr>
              <w:t>Highly developed communication skills</w:t>
            </w:r>
            <w:r w:rsidR="00103FA0">
              <w:rPr>
                <w:rFonts w:ascii="Arial" w:hAnsi="Arial" w:cs="Arial"/>
              </w:rPr>
              <w:t xml:space="preserve">, </w:t>
            </w:r>
            <w:r w:rsidRPr="002C171A">
              <w:rPr>
                <w:rFonts w:ascii="Arial" w:hAnsi="Arial" w:cs="Arial"/>
              </w:rPr>
              <w:t>able to read complex papers and probe for assurance</w:t>
            </w:r>
          </w:p>
          <w:p w14:paraId="1D480E5D" w14:textId="67259127" w:rsidR="002C171A" w:rsidRPr="007645E2" w:rsidRDefault="002C171A" w:rsidP="007D54B3">
            <w:pPr>
              <w:pStyle w:val="ListBullet"/>
              <w:tabs>
                <w:tab w:val="clear" w:pos="360"/>
                <w:tab w:val="num" w:pos="313"/>
              </w:tabs>
              <w:ind w:left="313" w:hanging="313"/>
              <w:contextualSpacing w:val="0"/>
              <w:mirrorIndents/>
              <w:rPr>
                <w:rFonts w:ascii="Arial" w:hAnsi="Arial" w:cs="Arial"/>
              </w:rPr>
            </w:pPr>
            <w:r w:rsidRPr="007645E2">
              <w:rPr>
                <w:rFonts w:ascii="Arial" w:hAnsi="Arial" w:cs="Arial"/>
              </w:rPr>
              <w:t>Commitment to continuous improvement, safety and wellbeing, and professional development</w:t>
            </w:r>
          </w:p>
        </w:tc>
      </w:tr>
    </w:tbl>
    <w:p w14:paraId="08A0730F" w14:textId="77777777" w:rsidR="003A002F" w:rsidRPr="007645E2" w:rsidRDefault="003A002F" w:rsidP="003A002F">
      <w:pPr>
        <w:pStyle w:val="Heading2"/>
        <w:spacing w:before="0" w:line="240" w:lineRule="auto"/>
        <w:mirrorIndents/>
        <w:jc w:val="both"/>
        <w:rPr>
          <w:rFonts w:ascii="Arial" w:hAnsi="Arial" w:cs="Arial"/>
          <w:sz w:val="22"/>
          <w:szCs w:val="22"/>
        </w:rPr>
      </w:pPr>
    </w:p>
    <w:p w14:paraId="53722A83" w14:textId="7653D1B1" w:rsidR="00827836" w:rsidRPr="007645E2" w:rsidRDefault="00251FAF" w:rsidP="003A002F">
      <w:pPr>
        <w:pStyle w:val="Heading2"/>
        <w:spacing w:before="0" w:line="240" w:lineRule="auto"/>
        <w:mirrorIndents/>
        <w:jc w:val="both"/>
        <w:rPr>
          <w:rFonts w:ascii="Arial" w:hAnsi="Arial" w:cs="Arial"/>
          <w:sz w:val="22"/>
          <w:szCs w:val="22"/>
        </w:rPr>
      </w:pPr>
      <w:r w:rsidRPr="007645E2">
        <w:rPr>
          <w:rFonts w:ascii="Arial" w:hAnsi="Arial" w:cs="Arial"/>
          <w:sz w:val="22"/>
          <w:szCs w:val="22"/>
        </w:rPr>
        <w:t>Responsibilities of all board members</w:t>
      </w:r>
    </w:p>
    <w:p w14:paraId="09DFC6D7" w14:textId="13BADBB8" w:rsidR="00AA0360" w:rsidRPr="007645E2" w:rsidRDefault="00AA0360" w:rsidP="00AA0360">
      <w:pPr>
        <w:rPr>
          <w:rFonts w:ascii="Arial" w:hAnsi="Arial" w:cs="Arial"/>
        </w:rPr>
      </w:pPr>
      <w:r w:rsidRPr="007645E2">
        <w:rPr>
          <w:rFonts w:ascii="Arial" w:hAnsi="Arial" w:cs="Arial"/>
        </w:rPr>
        <w:t>Board obligations are governed by the Crown Entities Act 2004 (see Schedule 3 and 5). As with all Crown entity boards, members are expected to maintain a high standard of behaviour in their professional and personal dealings, including being sensitive to any involvements that might give rise to a conflict of interest. Members must declare any personal or professional interests or associations that might create a conflict with their duties. They have a responsibility for ongoing management and awareness of any conflicts of interest, either actual or potential.</w:t>
      </w:r>
    </w:p>
    <w:p w14:paraId="6372FFEB" w14:textId="68DBEB44" w:rsidR="00465CAF" w:rsidRDefault="00AA0360" w:rsidP="00AA0360">
      <w:pPr>
        <w:rPr>
          <w:rFonts w:ascii="Arial" w:hAnsi="Arial" w:cs="Arial"/>
        </w:rPr>
      </w:pPr>
      <w:r w:rsidRPr="007645E2">
        <w:rPr>
          <w:rFonts w:ascii="Arial" w:hAnsi="Arial" w:cs="Arial"/>
        </w:rPr>
        <w:t>Board members are directly accountable for:</w:t>
      </w:r>
    </w:p>
    <w:tbl>
      <w:tblPr>
        <w:tblStyle w:val="TableGrid"/>
        <w:tblW w:w="0" w:type="auto"/>
        <w:tblLook w:val="04A0" w:firstRow="1" w:lastRow="0" w:firstColumn="1" w:lastColumn="0" w:noHBand="0" w:noVBand="1"/>
      </w:tblPr>
      <w:tblGrid>
        <w:gridCol w:w="4248"/>
        <w:gridCol w:w="5381"/>
      </w:tblGrid>
      <w:tr w:rsidR="0024753E" w14:paraId="7DD9C1F7" w14:textId="77777777" w:rsidTr="001C3500">
        <w:tc>
          <w:tcPr>
            <w:tcW w:w="4248" w:type="dxa"/>
          </w:tcPr>
          <w:p w14:paraId="08F68517" w14:textId="4FAFAB84" w:rsidR="00EF488A" w:rsidRDefault="00EF488A" w:rsidP="001C3500">
            <w:pPr>
              <w:pStyle w:val="ListBullet"/>
              <w:numPr>
                <w:ilvl w:val="0"/>
                <w:numId w:val="0"/>
              </w:numPr>
              <w:contextualSpacing w:val="0"/>
              <w:mirrorIndents/>
              <w:rPr>
                <w:rFonts w:ascii="Arial" w:hAnsi="Arial" w:cs="Arial"/>
              </w:rPr>
            </w:pPr>
            <w:r w:rsidRPr="007645E2">
              <w:rPr>
                <w:rFonts w:ascii="Arial" w:hAnsi="Arial" w:cs="Arial"/>
                <w:b/>
              </w:rPr>
              <w:t>When exercising powers or performing duties, members must act:</w:t>
            </w:r>
          </w:p>
          <w:p w14:paraId="2C9924FA" w14:textId="745C819E" w:rsidR="0024753E" w:rsidRPr="007645E2" w:rsidRDefault="0024753E" w:rsidP="00043262">
            <w:pPr>
              <w:pStyle w:val="ListBullet"/>
              <w:ind w:left="731" w:hanging="425"/>
              <w:contextualSpacing w:val="0"/>
              <w:mirrorIndents/>
              <w:rPr>
                <w:rFonts w:ascii="Arial" w:hAnsi="Arial" w:cs="Arial"/>
              </w:rPr>
            </w:pPr>
            <w:r w:rsidRPr="007645E2">
              <w:rPr>
                <w:rFonts w:ascii="Arial" w:hAnsi="Arial" w:cs="Arial"/>
              </w:rPr>
              <w:t>In good faith and in the best interests of NZSPA and the public</w:t>
            </w:r>
          </w:p>
          <w:p w14:paraId="0A2C645D" w14:textId="77777777" w:rsidR="0024753E" w:rsidRPr="007645E2" w:rsidRDefault="0024753E" w:rsidP="00043262">
            <w:pPr>
              <w:pStyle w:val="ListBullet"/>
              <w:ind w:left="731" w:hanging="425"/>
              <w:contextualSpacing w:val="0"/>
              <w:mirrorIndents/>
              <w:rPr>
                <w:rFonts w:ascii="Arial" w:hAnsi="Arial" w:cs="Arial"/>
              </w:rPr>
            </w:pPr>
            <w:r w:rsidRPr="007645E2">
              <w:rPr>
                <w:rFonts w:ascii="Arial" w:hAnsi="Arial" w:cs="Arial"/>
              </w:rPr>
              <w:t>With reasonable care, diligence and skill; with honesty and integrity</w:t>
            </w:r>
          </w:p>
          <w:p w14:paraId="602C0BEC" w14:textId="77777777" w:rsidR="001C3500" w:rsidRDefault="0024753E" w:rsidP="00043262">
            <w:pPr>
              <w:pStyle w:val="ListBullet"/>
              <w:ind w:left="731" w:hanging="425"/>
              <w:contextualSpacing w:val="0"/>
              <w:mirrorIndents/>
              <w:rPr>
                <w:rFonts w:ascii="Arial" w:hAnsi="Arial" w:cs="Arial"/>
              </w:rPr>
            </w:pPr>
            <w:r w:rsidRPr="007645E2">
              <w:rPr>
                <w:rFonts w:ascii="Arial" w:hAnsi="Arial" w:cs="Arial"/>
              </w:rPr>
              <w:lastRenderedPageBreak/>
              <w:t>By disclosing and managing actual, potential or perceived conflicts of interest</w:t>
            </w:r>
          </w:p>
          <w:p w14:paraId="17F51F38" w14:textId="1817B29E" w:rsidR="0024753E" w:rsidRPr="001C3500" w:rsidRDefault="0024753E" w:rsidP="00043262">
            <w:pPr>
              <w:pStyle w:val="ListBullet"/>
              <w:ind w:left="731" w:hanging="425"/>
              <w:contextualSpacing w:val="0"/>
              <w:mirrorIndents/>
              <w:rPr>
                <w:rFonts w:ascii="Arial" w:hAnsi="Arial" w:cs="Arial"/>
              </w:rPr>
            </w:pPr>
            <w:r w:rsidRPr="001C3500">
              <w:rPr>
                <w:rFonts w:ascii="Arial" w:hAnsi="Arial" w:cs="Arial"/>
              </w:rPr>
              <w:t>Without misusing information or position; in accordance with the Code of Conduct for Crown Entity Board Members</w:t>
            </w:r>
          </w:p>
        </w:tc>
        <w:tc>
          <w:tcPr>
            <w:tcW w:w="5381" w:type="dxa"/>
          </w:tcPr>
          <w:p w14:paraId="3F4F729E" w14:textId="46FCE776" w:rsidR="00EF488A" w:rsidRDefault="00EF488A" w:rsidP="001C3500">
            <w:pPr>
              <w:pStyle w:val="ListBullet"/>
              <w:numPr>
                <w:ilvl w:val="0"/>
                <w:numId w:val="0"/>
              </w:numPr>
              <w:contextualSpacing w:val="0"/>
              <w:mirrorIndents/>
              <w:rPr>
                <w:rFonts w:ascii="Arial" w:hAnsi="Arial" w:cs="Arial"/>
              </w:rPr>
            </w:pPr>
            <w:r w:rsidRPr="007645E2">
              <w:rPr>
                <w:rFonts w:ascii="Arial" w:hAnsi="Arial" w:cs="Arial"/>
                <w:b/>
              </w:rPr>
              <w:lastRenderedPageBreak/>
              <w:t>The Board is collectively responsible for ensuring that NZSPA:</w:t>
            </w:r>
          </w:p>
          <w:p w14:paraId="458CD6DD" w14:textId="65ECFBBA" w:rsidR="00EF488A" w:rsidRPr="007645E2" w:rsidRDefault="00EF488A" w:rsidP="0054403C">
            <w:pPr>
              <w:pStyle w:val="ListBullet"/>
              <w:ind w:left="739" w:hanging="425"/>
              <w:contextualSpacing w:val="0"/>
              <w:mirrorIndents/>
              <w:rPr>
                <w:rFonts w:ascii="Arial" w:hAnsi="Arial" w:cs="Arial"/>
              </w:rPr>
            </w:pPr>
            <w:r w:rsidRPr="007645E2">
              <w:rPr>
                <w:rFonts w:ascii="Arial" w:hAnsi="Arial" w:cs="Arial"/>
              </w:rPr>
              <w:t>Operates consistently with its purpose, functions and accountability documents</w:t>
            </w:r>
          </w:p>
          <w:p w14:paraId="471BACC2" w14:textId="77777777" w:rsidR="00EF488A" w:rsidRPr="007645E2" w:rsidRDefault="00EF488A" w:rsidP="0054403C">
            <w:pPr>
              <w:pStyle w:val="ListBullet"/>
              <w:ind w:left="739" w:hanging="425"/>
              <w:contextualSpacing w:val="0"/>
              <w:mirrorIndents/>
              <w:rPr>
                <w:rFonts w:ascii="Arial" w:hAnsi="Arial" w:cs="Arial"/>
              </w:rPr>
            </w:pPr>
            <w:r w:rsidRPr="007645E2">
              <w:rPr>
                <w:rFonts w:ascii="Arial" w:hAnsi="Arial" w:cs="Arial"/>
              </w:rPr>
              <w:t>Sets strategy and policy; monitors performance, risk, assurance and compliance (including asset management expectations under CO (23) 9)</w:t>
            </w:r>
          </w:p>
          <w:p w14:paraId="22A7E23D" w14:textId="77777777" w:rsidR="0054403C" w:rsidRDefault="00EF488A" w:rsidP="0054403C">
            <w:pPr>
              <w:pStyle w:val="ListBullet"/>
              <w:ind w:left="739" w:hanging="425"/>
              <w:contextualSpacing w:val="0"/>
              <w:mirrorIndents/>
              <w:rPr>
                <w:rFonts w:ascii="Arial" w:hAnsi="Arial" w:cs="Arial"/>
              </w:rPr>
            </w:pPr>
            <w:r w:rsidRPr="007645E2">
              <w:rPr>
                <w:rFonts w:ascii="Arial" w:hAnsi="Arial" w:cs="Arial"/>
              </w:rPr>
              <w:lastRenderedPageBreak/>
              <w:t>Maintains financial sustainability; scrutinises business cases and approves budgets and key policies</w:t>
            </w:r>
          </w:p>
          <w:p w14:paraId="31BB69E2" w14:textId="3BC228E6" w:rsidR="0024753E" w:rsidRPr="0054403C" w:rsidRDefault="00EF488A" w:rsidP="0054403C">
            <w:pPr>
              <w:pStyle w:val="ListBullet"/>
              <w:ind w:left="739" w:hanging="425"/>
              <w:contextualSpacing w:val="0"/>
              <w:mirrorIndents/>
              <w:rPr>
                <w:rFonts w:ascii="Arial" w:hAnsi="Arial" w:cs="Arial"/>
              </w:rPr>
            </w:pPr>
            <w:r w:rsidRPr="0054403C">
              <w:rPr>
                <w:rFonts w:ascii="Arial" w:hAnsi="Arial" w:cs="Arial"/>
              </w:rPr>
              <w:t>Fosters a culture of safety, inclusion and continuous improvement; evaluates Board effectiveness</w:t>
            </w:r>
          </w:p>
        </w:tc>
      </w:tr>
    </w:tbl>
    <w:p w14:paraId="29B0C490" w14:textId="77777777" w:rsidR="0024753E" w:rsidRDefault="0024753E" w:rsidP="00AA0360">
      <w:pPr>
        <w:rPr>
          <w:rFonts w:ascii="Arial" w:hAnsi="Arial" w:cs="Arial"/>
        </w:rPr>
      </w:pPr>
    </w:p>
    <w:p w14:paraId="5104D22D" w14:textId="77777777" w:rsidR="00263ABC" w:rsidRPr="00263ABC" w:rsidRDefault="00263ABC" w:rsidP="00263ABC">
      <w:pPr>
        <w:spacing w:after="120" w:line="240" w:lineRule="auto"/>
        <w:jc w:val="both"/>
        <w:rPr>
          <w:rFonts w:ascii="Arial" w:eastAsia="Times New Roman" w:hAnsi="Arial" w:cs="Arial"/>
          <w:lang w:val="en-AU"/>
        </w:rPr>
      </w:pPr>
      <w:r w:rsidRPr="00263ABC">
        <w:rPr>
          <w:rFonts w:ascii="Arial" w:eastAsia="Times New Roman" w:hAnsi="Arial" w:cs="Arial"/>
          <w:lang w:val="en-AU"/>
        </w:rPr>
        <w:t>Board members are expected to possess some or most of the following:</w:t>
      </w:r>
    </w:p>
    <w:tbl>
      <w:tblPr>
        <w:tblStyle w:val="TableGrid"/>
        <w:tblW w:w="9634" w:type="dxa"/>
        <w:tblLook w:val="04A0" w:firstRow="1" w:lastRow="0" w:firstColumn="1" w:lastColumn="0" w:noHBand="0" w:noVBand="1"/>
      </w:tblPr>
      <w:tblGrid>
        <w:gridCol w:w="2689"/>
        <w:gridCol w:w="6945"/>
      </w:tblGrid>
      <w:tr w:rsidR="00827836" w:rsidRPr="007645E2" w14:paraId="3E4D7E3A" w14:textId="77777777" w:rsidTr="00CF589A">
        <w:tc>
          <w:tcPr>
            <w:tcW w:w="2689" w:type="dxa"/>
          </w:tcPr>
          <w:p w14:paraId="381C1CB0" w14:textId="77777777" w:rsidR="00827836" w:rsidRPr="007645E2" w:rsidRDefault="00251FAF" w:rsidP="00AC6978">
            <w:pPr>
              <w:mirrorIndents/>
              <w:rPr>
                <w:rFonts w:ascii="Arial" w:hAnsi="Arial" w:cs="Arial"/>
              </w:rPr>
            </w:pPr>
            <w:r w:rsidRPr="007645E2">
              <w:rPr>
                <w:rFonts w:ascii="Arial" w:hAnsi="Arial" w:cs="Arial"/>
                <w:b/>
              </w:rPr>
              <w:t>Key stakeholder management</w:t>
            </w:r>
          </w:p>
        </w:tc>
        <w:tc>
          <w:tcPr>
            <w:tcW w:w="6945" w:type="dxa"/>
          </w:tcPr>
          <w:p w14:paraId="51B9B878" w14:textId="114EACE0" w:rsidR="003864E1" w:rsidRPr="008B58E9" w:rsidRDefault="00251FAF" w:rsidP="008B58E9">
            <w:pPr>
              <w:mirrorIndents/>
              <w:rPr>
                <w:rFonts w:ascii="Arial" w:hAnsi="Arial" w:cs="Arial"/>
              </w:rPr>
            </w:pPr>
            <w:r w:rsidRPr="008B58E9">
              <w:rPr>
                <w:rFonts w:ascii="Arial" w:hAnsi="Arial" w:cs="Arial"/>
              </w:rPr>
              <w:t>Maintain effective relationships with</w:t>
            </w:r>
            <w:r w:rsidR="00F1431A">
              <w:rPr>
                <w:rFonts w:ascii="Arial" w:hAnsi="Arial" w:cs="Arial"/>
              </w:rPr>
              <w:t>:</w:t>
            </w:r>
          </w:p>
          <w:p w14:paraId="748C0DB8" w14:textId="77777777" w:rsidR="008B58E9" w:rsidRDefault="00251FAF" w:rsidP="007D3C14">
            <w:pPr>
              <w:pStyle w:val="ListParagraph"/>
              <w:numPr>
                <w:ilvl w:val="0"/>
                <w:numId w:val="10"/>
              </w:numPr>
              <w:mirrorIndents/>
              <w:rPr>
                <w:rFonts w:ascii="Arial" w:hAnsi="Arial" w:cs="Arial"/>
              </w:rPr>
            </w:pPr>
            <w:r w:rsidRPr="007D3C14">
              <w:rPr>
                <w:rFonts w:ascii="Arial" w:hAnsi="Arial" w:cs="Arial"/>
              </w:rPr>
              <w:t>the responsible Minister and monitoring department</w:t>
            </w:r>
          </w:p>
          <w:p w14:paraId="79C39486" w14:textId="171F31B3" w:rsidR="005E3B75" w:rsidRDefault="00251FAF" w:rsidP="007D3C14">
            <w:pPr>
              <w:pStyle w:val="ListParagraph"/>
              <w:numPr>
                <w:ilvl w:val="0"/>
                <w:numId w:val="10"/>
              </w:numPr>
              <w:mirrorIndents/>
              <w:rPr>
                <w:rFonts w:ascii="Arial" w:hAnsi="Arial" w:cs="Arial"/>
              </w:rPr>
            </w:pPr>
            <w:r w:rsidRPr="007D3C14">
              <w:rPr>
                <w:rFonts w:ascii="Arial" w:hAnsi="Arial" w:cs="Arial"/>
              </w:rPr>
              <w:t>the Secretary for Education</w:t>
            </w:r>
          </w:p>
          <w:p w14:paraId="71996734" w14:textId="77777777" w:rsidR="008B58E9" w:rsidRDefault="00251FAF" w:rsidP="007D3C14">
            <w:pPr>
              <w:pStyle w:val="ListParagraph"/>
              <w:numPr>
                <w:ilvl w:val="0"/>
                <w:numId w:val="10"/>
              </w:numPr>
              <w:mirrorIndents/>
              <w:rPr>
                <w:rFonts w:ascii="Arial" w:hAnsi="Arial" w:cs="Arial"/>
              </w:rPr>
            </w:pPr>
            <w:r w:rsidRPr="007D3C14">
              <w:rPr>
                <w:rFonts w:ascii="Arial" w:hAnsi="Arial" w:cs="Arial"/>
              </w:rPr>
              <w:t>sector bodies</w:t>
            </w:r>
          </w:p>
          <w:p w14:paraId="0EFBDEE0" w14:textId="77777777" w:rsidR="008B58E9" w:rsidRDefault="00251FAF" w:rsidP="007D3C14">
            <w:pPr>
              <w:pStyle w:val="ListParagraph"/>
              <w:numPr>
                <w:ilvl w:val="0"/>
                <w:numId w:val="10"/>
              </w:numPr>
              <w:mirrorIndents/>
              <w:rPr>
                <w:rFonts w:ascii="Arial" w:hAnsi="Arial" w:cs="Arial"/>
              </w:rPr>
            </w:pPr>
            <w:r w:rsidRPr="007D3C14">
              <w:rPr>
                <w:rFonts w:ascii="Arial" w:hAnsi="Arial" w:cs="Arial"/>
              </w:rPr>
              <w:t>school boards, principals and leaders</w:t>
            </w:r>
          </w:p>
          <w:p w14:paraId="0D6C6566" w14:textId="77777777" w:rsidR="008B58E9" w:rsidRDefault="00251FAF" w:rsidP="007D3C14">
            <w:pPr>
              <w:pStyle w:val="ListParagraph"/>
              <w:numPr>
                <w:ilvl w:val="0"/>
                <w:numId w:val="10"/>
              </w:numPr>
              <w:mirrorIndents/>
              <w:rPr>
                <w:rFonts w:ascii="Arial" w:hAnsi="Arial" w:cs="Arial"/>
              </w:rPr>
            </w:pPr>
            <w:r w:rsidRPr="007D3C14">
              <w:rPr>
                <w:rFonts w:ascii="Arial" w:hAnsi="Arial" w:cs="Arial"/>
              </w:rPr>
              <w:t>iwi/Māori partners</w:t>
            </w:r>
          </w:p>
          <w:p w14:paraId="7CE37D5E" w14:textId="79D59828" w:rsidR="00827836" w:rsidRPr="007D3C14" w:rsidRDefault="00251FAF" w:rsidP="007D3C14">
            <w:pPr>
              <w:pStyle w:val="ListParagraph"/>
              <w:numPr>
                <w:ilvl w:val="0"/>
                <w:numId w:val="10"/>
              </w:numPr>
              <w:mirrorIndents/>
              <w:rPr>
                <w:rFonts w:ascii="Arial" w:hAnsi="Arial" w:cs="Arial"/>
              </w:rPr>
            </w:pPr>
            <w:r w:rsidRPr="007D3C14">
              <w:rPr>
                <w:rFonts w:ascii="Arial" w:hAnsi="Arial" w:cs="Arial"/>
              </w:rPr>
              <w:t>other Crown agencies and funders.</w:t>
            </w:r>
          </w:p>
        </w:tc>
      </w:tr>
      <w:tr w:rsidR="00827836" w:rsidRPr="007645E2" w14:paraId="50A9DEA4" w14:textId="77777777" w:rsidTr="00CF589A">
        <w:tc>
          <w:tcPr>
            <w:tcW w:w="2689" w:type="dxa"/>
          </w:tcPr>
          <w:p w14:paraId="3DF0534F" w14:textId="77777777" w:rsidR="00827836" w:rsidRPr="007645E2" w:rsidRDefault="00251FAF" w:rsidP="00AC6978">
            <w:pPr>
              <w:mirrorIndents/>
              <w:rPr>
                <w:rFonts w:ascii="Arial" w:hAnsi="Arial" w:cs="Arial"/>
              </w:rPr>
            </w:pPr>
            <w:r w:rsidRPr="007645E2">
              <w:rPr>
                <w:rFonts w:ascii="Arial" w:hAnsi="Arial" w:cs="Arial"/>
                <w:b/>
              </w:rPr>
              <w:t>Strategy &amp; policy</w:t>
            </w:r>
          </w:p>
        </w:tc>
        <w:tc>
          <w:tcPr>
            <w:tcW w:w="6945" w:type="dxa"/>
          </w:tcPr>
          <w:p w14:paraId="1584B77A" w14:textId="77777777" w:rsidR="005E3B75" w:rsidRDefault="00251FAF" w:rsidP="005E3B75">
            <w:pPr>
              <w:pStyle w:val="ListParagraph"/>
              <w:numPr>
                <w:ilvl w:val="0"/>
                <w:numId w:val="10"/>
              </w:numPr>
              <w:mirrorIndents/>
              <w:rPr>
                <w:rFonts w:ascii="Arial" w:hAnsi="Arial" w:cs="Arial"/>
              </w:rPr>
            </w:pPr>
            <w:r w:rsidRPr="005E3B75">
              <w:rPr>
                <w:rFonts w:ascii="Arial" w:hAnsi="Arial" w:cs="Arial"/>
              </w:rPr>
              <w:t>Approve strategy, the operating model and annual plans</w:t>
            </w:r>
          </w:p>
          <w:p w14:paraId="16E45552" w14:textId="7AC8D397" w:rsidR="00827836" w:rsidRPr="005E3B75" w:rsidRDefault="00251FAF" w:rsidP="005E3B75">
            <w:pPr>
              <w:pStyle w:val="ListParagraph"/>
              <w:numPr>
                <w:ilvl w:val="0"/>
                <w:numId w:val="10"/>
              </w:numPr>
              <w:mirrorIndents/>
              <w:rPr>
                <w:rFonts w:ascii="Arial" w:hAnsi="Arial" w:cs="Arial"/>
              </w:rPr>
            </w:pPr>
            <w:r w:rsidRPr="005E3B75">
              <w:rPr>
                <w:rFonts w:ascii="Arial" w:hAnsi="Arial" w:cs="Arial"/>
              </w:rPr>
              <w:t>set policy frameworks that enable effective governance of property, investment and risk.</w:t>
            </w:r>
          </w:p>
        </w:tc>
      </w:tr>
      <w:tr w:rsidR="00827836" w:rsidRPr="007645E2" w14:paraId="3F14550F" w14:textId="77777777" w:rsidTr="00CF589A">
        <w:tc>
          <w:tcPr>
            <w:tcW w:w="2689" w:type="dxa"/>
          </w:tcPr>
          <w:p w14:paraId="1FCF07BB" w14:textId="77777777" w:rsidR="00827836" w:rsidRPr="007645E2" w:rsidRDefault="00251FAF" w:rsidP="00AC6978">
            <w:pPr>
              <w:mirrorIndents/>
              <w:rPr>
                <w:rFonts w:ascii="Arial" w:hAnsi="Arial" w:cs="Arial"/>
              </w:rPr>
            </w:pPr>
            <w:r w:rsidRPr="007645E2">
              <w:rPr>
                <w:rFonts w:ascii="Arial" w:hAnsi="Arial" w:cs="Arial"/>
                <w:b/>
              </w:rPr>
              <w:t>Chief Executive &amp; governance</w:t>
            </w:r>
          </w:p>
        </w:tc>
        <w:tc>
          <w:tcPr>
            <w:tcW w:w="6945" w:type="dxa"/>
          </w:tcPr>
          <w:p w14:paraId="1C9C64BD" w14:textId="77777777" w:rsidR="00A67DA0" w:rsidRDefault="00251FAF" w:rsidP="005E3B75">
            <w:pPr>
              <w:pStyle w:val="ListParagraph"/>
              <w:numPr>
                <w:ilvl w:val="0"/>
                <w:numId w:val="11"/>
              </w:numPr>
              <w:mirrorIndents/>
              <w:rPr>
                <w:rFonts w:ascii="Arial" w:hAnsi="Arial" w:cs="Arial"/>
              </w:rPr>
            </w:pPr>
            <w:r w:rsidRPr="005E3B75">
              <w:rPr>
                <w:rFonts w:ascii="Arial" w:hAnsi="Arial" w:cs="Arial"/>
              </w:rPr>
              <w:t>Maintain an effective relationship with the Chief Executive</w:t>
            </w:r>
          </w:p>
          <w:p w14:paraId="419DD216" w14:textId="77777777" w:rsidR="00146278" w:rsidRDefault="00251FAF" w:rsidP="005E3B75">
            <w:pPr>
              <w:pStyle w:val="ListParagraph"/>
              <w:numPr>
                <w:ilvl w:val="0"/>
                <w:numId w:val="11"/>
              </w:numPr>
              <w:mirrorIndents/>
              <w:rPr>
                <w:rFonts w:ascii="Arial" w:hAnsi="Arial" w:cs="Arial"/>
              </w:rPr>
            </w:pPr>
            <w:r w:rsidRPr="005E3B75">
              <w:rPr>
                <w:rFonts w:ascii="Arial" w:hAnsi="Arial" w:cs="Arial"/>
              </w:rPr>
              <w:t>participate in appointment and performance evaluation processes as required</w:t>
            </w:r>
          </w:p>
          <w:p w14:paraId="11AD43F2" w14:textId="0CE94B24" w:rsidR="00827836" w:rsidRPr="005E3B75" w:rsidRDefault="00251FAF" w:rsidP="005E3B75">
            <w:pPr>
              <w:pStyle w:val="ListParagraph"/>
              <w:numPr>
                <w:ilvl w:val="0"/>
                <w:numId w:val="11"/>
              </w:numPr>
              <w:mirrorIndents/>
              <w:rPr>
                <w:rFonts w:ascii="Arial" w:hAnsi="Arial" w:cs="Arial"/>
              </w:rPr>
            </w:pPr>
            <w:r w:rsidRPr="005E3B75">
              <w:rPr>
                <w:rFonts w:ascii="Arial" w:hAnsi="Arial" w:cs="Arial"/>
              </w:rPr>
              <w:t>support positive Board dynamics and succession planning.</w:t>
            </w:r>
          </w:p>
        </w:tc>
      </w:tr>
      <w:tr w:rsidR="00827836" w:rsidRPr="007645E2" w14:paraId="77DD6A2D" w14:textId="77777777" w:rsidTr="00CF589A">
        <w:tc>
          <w:tcPr>
            <w:tcW w:w="2689" w:type="dxa"/>
          </w:tcPr>
          <w:p w14:paraId="0A0FF87E" w14:textId="77777777" w:rsidR="00827836" w:rsidRPr="007645E2" w:rsidRDefault="00251FAF" w:rsidP="00AC6978">
            <w:pPr>
              <w:mirrorIndents/>
              <w:rPr>
                <w:rFonts w:ascii="Arial" w:hAnsi="Arial" w:cs="Arial"/>
              </w:rPr>
            </w:pPr>
            <w:r w:rsidRPr="007645E2">
              <w:rPr>
                <w:rFonts w:ascii="Arial" w:hAnsi="Arial" w:cs="Arial"/>
                <w:b/>
              </w:rPr>
              <w:t>Management obligations (governance oversight)</w:t>
            </w:r>
          </w:p>
        </w:tc>
        <w:tc>
          <w:tcPr>
            <w:tcW w:w="6945" w:type="dxa"/>
          </w:tcPr>
          <w:p w14:paraId="7445BA76" w14:textId="77777777" w:rsidR="00146278" w:rsidRDefault="00251FAF" w:rsidP="005E3B75">
            <w:pPr>
              <w:pStyle w:val="ListParagraph"/>
              <w:numPr>
                <w:ilvl w:val="0"/>
                <w:numId w:val="11"/>
              </w:numPr>
              <w:mirrorIndents/>
              <w:rPr>
                <w:rFonts w:ascii="Arial" w:hAnsi="Arial" w:cs="Arial"/>
              </w:rPr>
            </w:pPr>
            <w:r w:rsidRPr="005E3B75">
              <w:rPr>
                <w:rFonts w:ascii="Arial" w:hAnsi="Arial" w:cs="Arial"/>
              </w:rPr>
              <w:t>Approve budgets; monitor risk, assurance and compliance (including health, safety and wellbeing)</w:t>
            </w:r>
          </w:p>
          <w:p w14:paraId="60C4C599" w14:textId="0F1A9776" w:rsidR="00827836" w:rsidRPr="005E3B75" w:rsidRDefault="00251FAF" w:rsidP="005E3B75">
            <w:pPr>
              <w:pStyle w:val="ListParagraph"/>
              <w:numPr>
                <w:ilvl w:val="0"/>
                <w:numId w:val="11"/>
              </w:numPr>
              <w:mirrorIndents/>
              <w:rPr>
                <w:rFonts w:ascii="Arial" w:hAnsi="Arial" w:cs="Arial"/>
              </w:rPr>
            </w:pPr>
            <w:r w:rsidRPr="005E3B75">
              <w:rPr>
                <w:rFonts w:ascii="Arial" w:hAnsi="Arial" w:cs="Arial"/>
              </w:rPr>
              <w:t>participate in Audit &amp; Risk and other committees.</w:t>
            </w:r>
          </w:p>
        </w:tc>
      </w:tr>
      <w:tr w:rsidR="00827836" w:rsidRPr="007645E2" w14:paraId="7F4ABF35" w14:textId="77777777" w:rsidTr="00CF589A">
        <w:tc>
          <w:tcPr>
            <w:tcW w:w="2689" w:type="dxa"/>
          </w:tcPr>
          <w:p w14:paraId="043F3A43" w14:textId="77777777" w:rsidR="00827836" w:rsidRPr="007645E2" w:rsidRDefault="00251FAF" w:rsidP="00AC6978">
            <w:pPr>
              <w:mirrorIndents/>
              <w:rPr>
                <w:rFonts w:ascii="Arial" w:hAnsi="Arial" w:cs="Arial"/>
              </w:rPr>
            </w:pPr>
            <w:r w:rsidRPr="007645E2">
              <w:rPr>
                <w:rFonts w:ascii="Arial" w:hAnsi="Arial" w:cs="Arial"/>
                <w:b/>
              </w:rPr>
              <w:t>Reporting</w:t>
            </w:r>
          </w:p>
        </w:tc>
        <w:tc>
          <w:tcPr>
            <w:tcW w:w="6945" w:type="dxa"/>
          </w:tcPr>
          <w:p w14:paraId="1E13CA41" w14:textId="77777777" w:rsidR="00146278" w:rsidRDefault="00251FAF" w:rsidP="005E3B75">
            <w:pPr>
              <w:pStyle w:val="ListParagraph"/>
              <w:numPr>
                <w:ilvl w:val="0"/>
                <w:numId w:val="11"/>
              </w:numPr>
              <w:mirrorIndents/>
              <w:rPr>
                <w:rFonts w:ascii="Arial" w:hAnsi="Arial" w:cs="Arial"/>
              </w:rPr>
            </w:pPr>
            <w:r w:rsidRPr="005E3B75">
              <w:rPr>
                <w:rFonts w:ascii="Arial" w:hAnsi="Arial" w:cs="Arial"/>
              </w:rPr>
              <w:t>Meet reporting obligations to Ministers, the monitoring department and stakeholders</w:t>
            </w:r>
          </w:p>
          <w:p w14:paraId="194175A3" w14:textId="3A7D1EEE" w:rsidR="00827836" w:rsidRPr="005E3B75" w:rsidRDefault="00251FAF" w:rsidP="005E3B75">
            <w:pPr>
              <w:pStyle w:val="ListParagraph"/>
              <w:numPr>
                <w:ilvl w:val="0"/>
                <w:numId w:val="11"/>
              </w:numPr>
              <w:mirrorIndents/>
              <w:rPr>
                <w:rFonts w:ascii="Arial" w:hAnsi="Arial" w:cs="Arial"/>
              </w:rPr>
            </w:pPr>
            <w:r w:rsidRPr="005E3B75">
              <w:rPr>
                <w:rFonts w:ascii="Arial" w:hAnsi="Arial" w:cs="Arial"/>
              </w:rPr>
              <w:t>ensure accurate, timely and transparent reporting and disclosures.</w:t>
            </w:r>
          </w:p>
        </w:tc>
      </w:tr>
    </w:tbl>
    <w:p w14:paraId="7BCE8897" w14:textId="77777777" w:rsidR="003A002F" w:rsidRPr="007645E2" w:rsidRDefault="003A002F" w:rsidP="003A002F">
      <w:pPr>
        <w:pStyle w:val="Heading2"/>
        <w:spacing w:before="0" w:line="240" w:lineRule="auto"/>
        <w:mirrorIndents/>
        <w:jc w:val="both"/>
        <w:rPr>
          <w:rFonts w:ascii="Arial" w:hAnsi="Arial" w:cs="Arial"/>
          <w:sz w:val="22"/>
          <w:szCs w:val="22"/>
        </w:rPr>
      </w:pPr>
    </w:p>
    <w:p w14:paraId="71966204" w14:textId="0E44ADDC" w:rsidR="00827836" w:rsidRPr="007645E2" w:rsidRDefault="00251FAF" w:rsidP="003A002F">
      <w:pPr>
        <w:pStyle w:val="Heading2"/>
        <w:spacing w:before="0" w:line="240" w:lineRule="auto"/>
        <w:mirrorIndents/>
        <w:jc w:val="both"/>
        <w:rPr>
          <w:rFonts w:ascii="Arial" w:hAnsi="Arial" w:cs="Arial"/>
          <w:sz w:val="22"/>
          <w:szCs w:val="22"/>
        </w:rPr>
      </w:pPr>
      <w:r w:rsidRPr="007645E2">
        <w:rPr>
          <w:rFonts w:ascii="Arial" w:hAnsi="Arial" w:cs="Arial"/>
          <w:sz w:val="22"/>
          <w:szCs w:val="22"/>
        </w:rPr>
        <w:t>Eligibility for board membership</w:t>
      </w:r>
    </w:p>
    <w:p w14:paraId="313B26C5" w14:textId="49275C6E" w:rsidR="00827836" w:rsidRDefault="00A84C70" w:rsidP="0012750B">
      <w:pPr>
        <w:spacing w:after="0" w:line="240" w:lineRule="auto"/>
        <w:mirrorIndents/>
        <w:rPr>
          <w:rFonts w:ascii="Arial" w:hAnsi="Arial" w:cs="Arial"/>
        </w:rPr>
      </w:pPr>
      <w:r w:rsidRPr="00A84C70">
        <w:rPr>
          <w:rFonts w:ascii="Arial" w:hAnsi="Arial" w:cs="Arial"/>
        </w:rPr>
        <w:t xml:space="preserve">The Ministry will seek confirmation of a candidate’s eligibility during the appointments process </w:t>
      </w:r>
      <w:r>
        <w:rPr>
          <w:rFonts w:ascii="Arial" w:hAnsi="Arial" w:cs="Arial"/>
        </w:rPr>
        <w:t>and p</w:t>
      </w:r>
      <w:r w:rsidR="00251FAF" w:rsidRPr="007645E2">
        <w:rPr>
          <w:rFonts w:ascii="Arial" w:hAnsi="Arial" w:cs="Arial"/>
        </w:rPr>
        <w:t xml:space="preserve">rospective appointees must consent in writing to </w:t>
      </w:r>
      <w:r w:rsidR="001A3C29">
        <w:rPr>
          <w:rFonts w:ascii="Arial" w:hAnsi="Arial" w:cs="Arial"/>
        </w:rPr>
        <w:t>become a member</w:t>
      </w:r>
      <w:r w:rsidR="00251FAF" w:rsidRPr="007645E2">
        <w:rPr>
          <w:rFonts w:ascii="Arial" w:hAnsi="Arial" w:cs="Arial"/>
        </w:rPr>
        <w:t xml:space="preserve">, meet requirements under the Crown Entities Act 2004 and any appointment letter, and disclose </w:t>
      </w:r>
      <w:r w:rsidR="0012750B">
        <w:rPr>
          <w:rFonts w:ascii="Arial" w:hAnsi="Arial" w:cs="Arial"/>
        </w:rPr>
        <w:t xml:space="preserve">any </w:t>
      </w:r>
      <w:r w:rsidR="00251FAF" w:rsidRPr="007645E2">
        <w:rPr>
          <w:rFonts w:ascii="Arial" w:hAnsi="Arial" w:cs="Arial"/>
        </w:rPr>
        <w:t xml:space="preserve">interests </w:t>
      </w:r>
      <w:r w:rsidR="0012750B">
        <w:rPr>
          <w:rFonts w:ascii="Arial" w:hAnsi="Arial" w:cs="Arial"/>
        </w:rPr>
        <w:t xml:space="preserve">and conflicts </w:t>
      </w:r>
      <w:r w:rsidR="00251FAF" w:rsidRPr="007645E2">
        <w:rPr>
          <w:rFonts w:ascii="Arial" w:hAnsi="Arial" w:cs="Arial"/>
        </w:rPr>
        <w:t>for management. Security vetting may be required.</w:t>
      </w:r>
    </w:p>
    <w:p w14:paraId="47C6205E" w14:textId="77777777" w:rsidR="00946B22" w:rsidRDefault="00946B22" w:rsidP="0012750B">
      <w:pPr>
        <w:spacing w:after="0" w:line="240" w:lineRule="auto"/>
        <w:mirrorIndents/>
        <w:rPr>
          <w:rFonts w:ascii="Arial" w:hAnsi="Arial" w:cs="Arial"/>
        </w:rPr>
      </w:pPr>
    </w:p>
    <w:p w14:paraId="094B4656" w14:textId="2183F9A1" w:rsidR="00946B22" w:rsidRPr="007645E2" w:rsidRDefault="00946B22" w:rsidP="0012750B">
      <w:pPr>
        <w:spacing w:after="0" w:line="240" w:lineRule="auto"/>
        <w:mirrorIndents/>
        <w:rPr>
          <w:rFonts w:ascii="Arial" w:hAnsi="Arial" w:cs="Arial"/>
        </w:rPr>
      </w:pPr>
      <w:r w:rsidRPr="007645E2">
        <w:rPr>
          <w:rFonts w:ascii="Arial" w:hAnsi="Arial" w:cs="Arial"/>
        </w:rPr>
        <w:t>Th</w:t>
      </w:r>
      <w:r>
        <w:rPr>
          <w:rFonts w:ascii="Arial" w:hAnsi="Arial" w:cs="Arial"/>
        </w:rPr>
        <w:t>e</w:t>
      </w:r>
      <w:r w:rsidRPr="007645E2">
        <w:rPr>
          <w:rFonts w:ascii="Arial" w:hAnsi="Arial" w:cs="Arial"/>
        </w:rPr>
        <w:t xml:space="preserve"> Position Profile should be read alongside the Crown Entities Act 2004</w:t>
      </w:r>
      <w:r>
        <w:rPr>
          <w:rFonts w:ascii="Arial" w:hAnsi="Arial" w:cs="Arial"/>
        </w:rPr>
        <w:t xml:space="preserve"> and </w:t>
      </w:r>
      <w:r w:rsidRPr="007645E2">
        <w:rPr>
          <w:rFonts w:ascii="Arial" w:hAnsi="Arial" w:cs="Arial"/>
        </w:rPr>
        <w:t>Cabinet Circulars CO (23) 9 and CO (25) 2</w:t>
      </w:r>
      <w:r>
        <w:rPr>
          <w:rFonts w:ascii="Arial" w:hAnsi="Arial" w:cs="Arial"/>
        </w:rPr>
        <w:t>.</w:t>
      </w:r>
    </w:p>
    <w:p w14:paraId="683AF8FC" w14:textId="77777777" w:rsidR="003A002F" w:rsidRPr="007645E2" w:rsidRDefault="003A002F" w:rsidP="0012750B">
      <w:pPr>
        <w:pStyle w:val="Heading2"/>
        <w:spacing w:before="0" w:line="240" w:lineRule="auto"/>
        <w:mirrorIndents/>
        <w:rPr>
          <w:rFonts w:ascii="Arial" w:hAnsi="Arial" w:cs="Arial"/>
          <w:sz w:val="22"/>
          <w:szCs w:val="22"/>
        </w:rPr>
      </w:pPr>
    </w:p>
    <w:p w14:paraId="454B1C06" w14:textId="3D5B077C" w:rsidR="00827836" w:rsidRPr="007645E2" w:rsidRDefault="00251FAF" w:rsidP="0012750B">
      <w:pPr>
        <w:pStyle w:val="Heading2"/>
        <w:spacing w:before="0" w:line="240" w:lineRule="auto"/>
        <w:mirrorIndents/>
        <w:rPr>
          <w:rFonts w:ascii="Arial" w:hAnsi="Arial" w:cs="Arial"/>
          <w:sz w:val="22"/>
          <w:szCs w:val="22"/>
        </w:rPr>
      </w:pPr>
      <w:r w:rsidRPr="007645E2">
        <w:rPr>
          <w:rFonts w:ascii="Arial" w:hAnsi="Arial" w:cs="Arial"/>
          <w:sz w:val="22"/>
          <w:szCs w:val="22"/>
        </w:rPr>
        <w:t>Resignation or removal from office</w:t>
      </w:r>
    </w:p>
    <w:p w14:paraId="6D7EDE74" w14:textId="77777777" w:rsidR="00827836" w:rsidRPr="007645E2" w:rsidRDefault="00251FAF" w:rsidP="0012750B">
      <w:pPr>
        <w:spacing w:after="0" w:line="240" w:lineRule="auto"/>
        <w:mirrorIndents/>
        <w:rPr>
          <w:rFonts w:ascii="Arial" w:hAnsi="Arial" w:cs="Arial"/>
        </w:rPr>
      </w:pPr>
      <w:r w:rsidRPr="007645E2">
        <w:rPr>
          <w:rFonts w:ascii="Arial" w:hAnsi="Arial" w:cs="Arial"/>
        </w:rPr>
        <w:t>A member may resign by written notice to the responsible Minister and the Chair (with a copy to the Board/monitoring department). After consultation with the person concerned, the responsible Minister may remove a member by written notice.</w:t>
      </w:r>
    </w:p>
    <w:p w14:paraId="372904E6" w14:textId="3F940486" w:rsidR="00827836" w:rsidRPr="00D04E5E" w:rsidRDefault="00251FAF" w:rsidP="0012750B">
      <w:pPr>
        <w:spacing w:after="0" w:line="240" w:lineRule="auto"/>
        <w:mirrorIndents/>
        <w:rPr>
          <w:rFonts w:ascii="Arial" w:hAnsi="Arial" w:cs="Arial"/>
        </w:rPr>
      </w:pPr>
      <w:r w:rsidRPr="007645E2">
        <w:rPr>
          <w:rFonts w:ascii="Arial" w:hAnsi="Arial" w:cs="Arial"/>
        </w:rPr>
        <w:br/>
      </w:r>
    </w:p>
    <w:sectPr w:rsidR="00827836" w:rsidRPr="00D04E5E" w:rsidSect="00CD37F1">
      <w:headerReference w:type="even" r:id="rId13"/>
      <w:headerReference w:type="default" r:id="rId14"/>
      <w:footerReference w:type="even" r:id="rId15"/>
      <w:footerReference w:type="default" r:id="rId16"/>
      <w:headerReference w:type="first" r:id="rId17"/>
      <w:footerReference w:type="first" r:id="rId18"/>
      <w:pgSz w:w="12240" w:h="15840"/>
      <w:pgMar w:top="1440" w:right="1183"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3988" w14:textId="77777777" w:rsidR="00324E8A" w:rsidRPr="007645E2" w:rsidRDefault="00324E8A" w:rsidP="00251FAF">
      <w:pPr>
        <w:spacing w:after="0" w:line="240" w:lineRule="auto"/>
      </w:pPr>
      <w:r w:rsidRPr="007645E2">
        <w:separator/>
      </w:r>
    </w:p>
  </w:endnote>
  <w:endnote w:type="continuationSeparator" w:id="0">
    <w:p w14:paraId="12101FAE" w14:textId="77777777" w:rsidR="00324E8A" w:rsidRPr="007645E2" w:rsidRDefault="00324E8A" w:rsidP="00251FAF">
      <w:pPr>
        <w:spacing w:after="0" w:line="240" w:lineRule="auto"/>
      </w:pPr>
      <w:r w:rsidRPr="007645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93C3" w14:textId="53307114" w:rsidR="00251FAF" w:rsidRPr="007645E2" w:rsidRDefault="00251FAF">
    <w:pPr>
      <w:pStyle w:val="Footer"/>
    </w:pPr>
    <w:r w:rsidRPr="007645E2">
      <w:rPr>
        <w:noProof/>
      </w:rPr>
      <mc:AlternateContent>
        <mc:Choice Requires="wps">
          <w:drawing>
            <wp:anchor distT="0" distB="0" distL="0" distR="0" simplePos="0" relativeHeight="251658244" behindDoc="0" locked="0" layoutInCell="1" allowOverlap="1" wp14:anchorId="046EF4DF" wp14:editId="785D3502">
              <wp:simplePos x="635" y="635"/>
              <wp:positionH relativeFrom="page">
                <wp:align>center</wp:align>
              </wp:positionH>
              <wp:positionV relativeFrom="page">
                <wp:align>bottom</wp:align>
              </wp:positionV>
              <wp:extent cx="815340" cy="368935"/>
              <wp:effectExtent l="0" t="0" r="3810" b="0"/>
              <wp:wrapNone/>
              <wp:docPr id="12728527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6178A14" w14:textId="5018C36F" w:rsidR="00251FAF" w:rsidRPr="007645E2" w:rsidRDefault="00251FAF" w:rsidP="00251FAF">
                          <w:pPr>
                            <w:spacing w:after="0"/>
                            <w:rPr>
                              <w:rFonts w:cs="Calibri"/>
                              <w:color w:val="000000"/>
                              <w:sz w:val="20"/>
                              <w:szCs w:val="20"/>
                            </w:rPr>
                          </w:pPr>
                          <w:r w:rsidRPr="007645E2">
                            <w:rPr>
                              <w:rFonts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EF4DF" id="_x0000_t202" coordsize="21600,21600" o:spt="202" path="m,l,21600r21600,l21600,xe">
              <v:stroke joinstyle="miter"/>
              <v:path gradientshapeok="t" o:connecttype="rect"/>
            </v:shapetype>
            <v:shape id="Text Box 5" o:spid="_x0000_s1028" type="#_x0000_t202" alt="[UNCLASSIFIED]" style="position:absolute;margin-left:0;margin-top:0;width:64.2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textbox style="mso-fit-shape-to-text:t" inset="0,0,0,15pt">
                <w:txbxContent>
                  <w:p w14:paraId="06178A14" w14:textId="5018C36F" w:rsidR="00251FAF" w:rsidRPr="007645E2" w:rsidRDefault="00251FAF" w:rsidP="00251FAF">
                    <w:pPr>
                      <w:spacing w:after="0"/>
                      <w:rPr>
                        <w:rFonts w:cs="Calibri"/>
                        <w:color w:val="000000"/>
                        <w:sz w:val="20"/>
                        <w:szCs w:val="20"/>
                      </w:rPr>
                    </w:pPr>
                    <w:r w:rsidRPr="007645E2">
                      <w:rPr>
                        <w:rFonts w:cs="Calibri"/>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8E22" w14:textId="44045C23" w:rsidR="00251FAF" w:rsidRPr="007645E2" w:rsidRDefault="00251FAF">
    <w:pPr>
      <w:pStyle w:val="Footer"/>
    </w:pPr>
    <w:r w:rsidRPr="007645E2">
      <w:rPr>
        <w:noProof/>
      </w:rPr>
      <mc:AlternateContent>
        <mc:Choice Requires="wps">
          <w:drawing>
            <wp:anchor distT="0" distB="0" distL="0" distR="0" simplePos="0" relativeHeight="251658245" behindDoc="0" locked="0" layoutInCell="1" allowOverlap="1" wp14:anchorId="764F8646" wp14:editId="6FA2A538">
              <wp:simplePos x="1143000" y="9429750"/>
              <wp:positionH relativeFrom="page">
                <wp:align>center</wp:align>
              </wp:positionH>
              <wp:positionV relativeFrom="page">
                <wp:align>bottom</wp:align>
              </wp:positionV>
              <wp:extent cx="815340" cy="368935"/>
              <wp:effectExtent l="0" t="0" r="3810" b="0"/>
              <wp:wrapNone/>
              <wp:docPr id="867699120"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A31D6E8" w14:textId="650E6C01" w:rsidR="00251FAF" w:rsidRPr="007645E2" w:rsidRDefault="00251FAF" w:rsidP="00251FAF">
                          <w:pPr>
                            <w:spacing w:after="0"/>
                            <w:rPr>
                              <w:rFonts w:cs="Calibri"/>
                              <w:color w:val="000000"/>
                              <w:sz w:val="20"/>
                              <w:szCs w:val="20"/>
                            </w:rPr>
                          </w:pPr>
                          <w:r w:rsidRPr="007645E2">
                            <w:rPr>
                              <w:rFonts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4F8646" id="_x0000_t202" coordsize="21600,21600" o:spt="202" path="m,l,21600r21600,l21600,xe">
              <v:stroke joinstyle="miter"/>
              <v:path gradientshapeok="t" o:connecttype="rect"/>
            </v:shapetype>
            <v:shape id="Text Box 6" o:spid="_x0000_s1029" type="#_x0000_t202" alt="[UNCLASSIFIED]" style="position:absolute;margin-left:0;margin-top:0;width:64.2pt;height:29.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textbox style="mso-fit-shape-to-text:t" inset="0,0,0,15pt">
                <w:txbxContent>
                  <w:p w14:paraId="7A31D6E8" w14:textId="650E6C01" w:rsidR="00251FAF" w:rsidRPr="007645E2" w:rsidRDefault="00251FAF" w:rsidP="00251FAF">
                    <w:pPr>
                      <w:spacing w:after="0"/>
                      <w:rPr>
                        <w:rFonts w:cs="Calibri"/>
                        <w:color w:val="000000"/>
                        <w:sz w:val="20"/>
                        <w:szCs w:val="20"/>
                      </w:rPr>
                    </w:pPr>
                    <w:r w:rsidRPr="007645E2">
                      <w:rPr>
                        <w:rFonts w:cs="Calibri"/>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D4B" w14:textId="215DFA15" w:rsidR="00251FAF" w:rsidRPr="007645E2" w:rsidRDefault="00251FAF">
    <w:pPr>
      <w:pStyle w:val="Footer"/>
    </w:pPr>
    <w:r w:rsidRPr="007645E2">
      <w:rPr>
        <w:noProof/>
      </w:rPr>
      <mc:AlternateContent>
        <mc:Choice Requires="wps">
          <w:drawing>
            <wp:anchor distT="0" distB="0" distL="0" distR="0" simplePos="0" relativeHeight="251658243" behindDoc="0" locked="0" layoutInCell="1" allowOverlap="1" wp14:anchorId="2D4FC6AE" wp14:editId="18F94F28">
              <wp:simplePos x="635" y="635"/>
              <wp:positionH relativeFrom="page">
                <wp:align>center</wp:align>
              </wp:positionH>
              <wp:positionV relativeFrom="page">
                <wp:align>bottom</wp:align>
              </wp:positionV>
              <wp:extent cx="815340" cy="368935"/>
              <wp:effectExtent l="0" t="0" r="3810" b="0"/>
              <wp:wrapNone/>
              <wp:docPr id="1014074708"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F5CF5BE" w14:textId="2C4C7488" w:rsidR="00251FAF" w:rsidRPr="007645E2" w:rsidRDefault="00251FAF" w:rsidP="00251FAF">
                          <w:pPr>
                            <w:spacing w:after="0"/>
                            <w:rPr>
                              <w:rFonts w:cs="Calibri"/>
                              <w:color w:val="000000"/>
                              <w:sz w:val="20"/>
                              <w:szCs w:val="20"/>
                            </w:rPr>
                          </w:pPr>
                          <w:r w:rsidRPr="007645E2">
                            <w:rPr>
                              <w:rFonts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4FC6AE" id="_x0000_t202" coordsize="21600,21600" o:spt="202" path="m,l,21600r21600,l21600,xe">
              <v:stroke joinstyle="miter"/>
              <v:path gradientshapeok="t" o:connecttype="rect"/>
            </v:shapetype>
            <v:shape id="Text Box 4" o:spid="_x0000_s1031" type="#_x0000_t202" alt="[UNCLASSIFIED]" style="position:absolute;margin-left:0;margin-top:0;width:64.2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textbox style="mso-fit-shape-to-text:t" inset="0,0,0,15pt">
                <w:txbxContent>
                  <w:p w14:paraId="7F5CF5BE" w14:textId="2C4C7488" w:rsidR="00251FAF" w:rsidRPr="007645E2" w:rsidRDefault="00251FAF" w:rsidP="00251FAF">
                    <w:pPr>
                      <w:spacing w:after="0"/>
                      <w:rPr>
                        <w:rFonts w:cs="Calibri"/>
                        <w:color w:val="000000"/>
                        <w:sz w:val="20"/>
                        <w:szCs w:val="20"/>
                      </w:rPr>
                    </w:pPr>
                    <w:r w:rsidRPr="007645E2">
                      <w:rPr>
                        <w:rFonts w:cs="Calibri"/>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B7B1A" w14:textId="77777777" w:rsidR="00324E8A" w:rsidRPr="007645E2" w:rsidRDefault="00324E8A" w:rsidP="00251FAF">
      <w:pPr>
        <w:spacing w:after="0" w:line="240" w:lineRule="auto"/>
      </w:pPr>
      <w:r w:rsidRPr="007645E2">
        <w:separator/>
      </w:r>
    </w:p>
  </w:footnote>
  <w:footnote w:type="continuationSeparator" w:id="0">
    <w:p w14:paraId="0DC941F8" w14:textId="77777777" w:rsidR="00324E8A" w:rsidRPr="007645E2" w:rsidRDefault="00324E8A" w:rsidP="00251FAF">
      <w:pPr>
        <w:spacing w:after="0" w:line="240" w:lineRule="auto"/>
      </w:pPr>
      <w:r w:rsidRPr="007645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E4CC" w14:textId="78652E07" w:rsidR="00251FAF" w:rsidRPr="007645E2" w:rsidRDefault="00251FAF">
    <w:pPr>
      <w:pStyle w:val="Header"/>
    </w:pPr>
    <w:r w:rsidRPr="007645E2">
      <w:rPr>
        <w:noProof/>
      </w:rPr>
      <mc:AlternateContent>
        <mc:Choice Requires="wps">
          <w:drawing>
            <wp:anchor distT="0" distB="0" distL="0" distR="0" simplePos="0" relativeHeight="251658241" behindDoc="0" locked="0" layoutInCell="1" allowOverlap="1" wp14:anchorId="5CA3BDE0" wp14:editId="650007BA">
              <wp:simplePos x="635" y="635"/>
              <wp:positionH relativeFrom="page">
                <wp:align>center</wp:align>
              </wp:positionH>
              <wp:positionV relativeFrom="page">
                <wp:align>top</wp:align>
              </wp:positionV>
              <wp:extent cx="815340" cy="368935"/>
              <wp:effectExtent l="0" t="0" r="3810" b="12065"/>
              <wp:wrapNone/>
              <wp:docPr id="90669449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31EB7EF" w14:textId="1C83170E" w:rsidR="00251FAF" w:rsidRPr="007645E2" w:rsidRDefault="00251FAF" w:rsidP="00251FAF">
                          <w:pPr>
                            <w:spacing w:after="0"/>
                            <w:rPr>
                              <w:rFonts w:cs="Calibri"/>
                              <w:color w:val="000000"/>
                              <w:sz w:val="20"/>
                              <w:szCs w:val="20"/>
                            </w:rPr>
                          </w:pPr>
                          <w:r w:rsidRPr="007645E2">
                            <w:rPr>
                              <w:rFonts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A3BDE0"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textbox style="mso-fit-shape-to-text:t" inset="0,15pt,0,0">
                <w:txbxContent>
                  <w:p w14:paraId="131EB7EF" w14:textId="1C83170E" w:rsidR="00251FAF" w:rsidRPr="007645E2" w:rsidRDefault="00251FAF" w:rsidP="00251FAF">
                    <w:pPr>
                      <w:spacing w:after="0"/>
                      <w:rPr>
                        <w:rFonts w:cs="Calibri"/>
                        <w:color w:val="000000"/>
                        <w:sz w:val="20"/>
                        <w:szCs w:val="20"/>
                      </w:rPr>
                    </w:pPr>
                    <w:r w:rsidRPr="007645E2">
                      <w:rPr>
                        <w:rFonts w:cs="Calibri"/>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04EA" w14:textId="13AA527C" w:rsidR="00251FAF" w:rsidRPr="007645E2" w:rsidRDefault="00251FAF">
    <w:pPr>
      <w:pStyle w:val="Header"/>
    </w:pPr>
    <w:r w:rsidRPr="007645E2">
      <w:rPr>
        <w:noProof/>
      </w:rPr>
      <mc:AlternateContent>
        <mc:Choice Requires="wps">
          <w:drawing>
            <wp:anchor distT="0" distB="0" distL="0" distR="0" simplePos="0" relativeHeight="251658242" behindDoc="0" locked="0" layoutInCell="1" allowOverlap="1" wp14:anchorId="082B2C4D" wp14:editId="5A825CD5">
              <wp:simplePos x="1143000" y="457200"/>
              <wp:positionH relativeFrom="page">
                <wp:align>center</wp:align>
              </wp:positionH>
              <wp:positionV relativeFrom="page">
                <wp:align>top</wp:align>
              </wp:positionV>
              <wp:extent cx="815340" cy="368935"/>
              <wp:effectExtent l="0" t="0" r="3810" b="12065"/>
              <wp:wrapNone/>
              <wp:docPr id="55703419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07B0E0C" w14:textId="2BD69EE7" w:rsidR="00251FAF" w:rsidRPr="007645E2" w:rsidRDefault="00251FAF" w:rsidP="00251FAF">
                          <w:pPr>
                            <w:spacing w:after="0"/>
                            <w:rPr>
                              <w:rFonts w:cs="Calibri"/>
                              <w:color w:val="000000"/>
                              <w:sz w:val="20"/>
                              <w:szCs w:val="20"/>
                            </w:rPr>
                          </w:pPr>
                          <w:r w:rsidRPr="007645E2">
                            <w:rPr>
                              <w:rFonts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2B2C4D" id="_x0000_t202" coordsize="21600,21600" o:spt="202" path="m,l,21600r21600,l21600,xe">
              <v:stroke joinstyle="miter"/>
              <v:path gradientshapeok="t" o:connecttype="rect"/>
            </v:shapetype>
            <v:shape id="Text Box 3" o:spid="_x0000_s1027" type="#_x0000_t202" alt="[UNCLASSIFIED]" style="position:absolute;margin-left:0;margin-top:0;width:64.2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textbox style="mso-fit-shape-to-text:t" inset="0,15pt,0,0">
                <w:txbxContent>
                  <w:p w14:paraId="207B0E0C" w14:textId="2BD69EE7" w:rsidR="00251FAF" w:rsidRPr="007645E2" w:rsidRDefault="00251FAF" w:rsidP="00251FAF">
                    <w:pPr>
                      <w:spacing w:after="0"/>
                      <w:rPr>
                        <w:rFonts w:cs="Calibri"/>
                        <w:color w:val="000000"/>
                        <w:sz w:val="20"/>
                        <w:szCs w:val="20"/>
                      </w:rPr>
                    </w:pPr>
                    <w:r w:rsidRPr="007645E2">
                      <w:rPr>
                        <w:rFonts w:cs="Calibri"/>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E155" w14:textId="1F562676" w:rsidR="00251FAF" w:rsidRPr="007645E2" w:rsidRDefault="00251FAF">
    <w:pPr>
      <w:pStyle w:val="Header"/>
    </w:pPr>
    <w:r w:rsidRPr="007645E2">
      <w:rPr>
        <w:noProof/>
      </w:rPr>
      <mc:AlternateContent>
        <mc:Choice Requires="wps">
          <w:drawing>
            <wp:anchor distT="0" distB="0" distL="0" distR="0" simplePos="0" relativeHeight="251658240" behindDoc="0" locked="0" layoutInCell="1" allowOverlap="1" wp14:anchorId="470E3896" wp14:editId="6DA8E59A">
              <wp:simplePos x="635" y="635"/>
              <wp:positionH relativeFrom="page">
                <wp:align>center</wp:align>
              </wp:positionH>
              <wp:positionV relativeFrom="page">
                <wp:align>top</wp:align>
              </wp:positionV>
              <wp:extent cx="815340" cy="368935"/>
              <wp:effectExtent l="0" t="0" r="3810" b="12065"/>
              <wp:wrapNone/>
              <wp:docPr id="27822596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28B63A0" w14:textId="2879B922" w:rsidR="00251FAF" w:rsidRPr="007645E2" w:rsidRDefault="00251FAF" w:rsidP="00251FAF">
                          <w:pPr>
                            <w:spacing w:after="0"/>
                            <w:rPr>
                              <w:rFonts w:cs="Calibri"/>
                              <w:color w:val="000000"/>
                              <w:sz w:val="20"/>
                              <w:szCs w:val="20"/>
                            </w:rPr>
                          </w:pPr>
                          <w:r w:rsidRPr="007645E2">
                            <w:rPr>
                              <w:rFonts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0E3896" id="_x0000_t202" coordsize="21600,21600" o:spt="202" path="m,l,21600r21600,l21600,xe">
              <v:stroke joinstyle="miter"/>
              <v:path gradientshapeok="t" o:connecttype="rect"/>
            </v:shapetype>
            <v:shape id="Text Box 1" o:spid="_x0000_s1030"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textbox style="mso-fit-shape-to-text:t" inset="0,15pt,0,0">
                <w:txbxContent>
                  <w:p w14:paraId="328B63A0" w14:textId="2879B922" w:rsidR="00251FAF" w:rsidRPr="007645E2" w:rsidRDefault="00251FAF" w:rsidP="00251FAF">
                    <w:pPr>
                      <w:spacing w:after="0"/>
                      <w:rPr>
                        <w:rFonts w:cs="Calibri"/>
                        <w:color w:val="000000"/>
                        <w:sz w:val="20"/>
                        <w:szCs w:val="20"/>
                      </w:rPr>
                    </w:pPr>
                    <w:r w:rsidRPr="007645E2">
                      <w:rPr>
                        <w:rFonts w:cs="Calibri"/>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446CF4"/>
    <w:multiLevelType w:val="hybridMultilevel"/>
    <w:tmpl w:val="39F275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9EB5A42"/>
    <w:multiLevelType w:val="hybridMultilevel"/>
    <w:tmpl w:val="D2688D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13784775">
    <w:abstractNumId w:val="8"/>
  </w:num>
  <w:num w:numId="2" w16cid:durableId="1660963724">
    <w:abstractNumId w:val="6"/>
  </w:num>
  <w:num w:numId="3" w16cid:durableId="1054041507">
    <w:abstractNumId w:val="5"/>
  </w:num>
  <w:num w:numId="4" w16cid:durableId="1041058493">
    <w:abstractNumId w:val="4"/>
  </w:num>
  <w:num w:numId="5" w16cid:durableId="2056733410">
    <w:abstractNumId w:val="7"/>
  </w:num>
  <w:num w:numId="6" w16cid:durableId="1890608183">
    <w:abstractNumId w:val="3"/>
  </w:num>
  <w:num w:numId="7" w16cid:durableId="1883858058">
    <w:abstractNumId w:val="2"/>
  </w:num>
  <w:num w:numId="8" w16cid:durableId="1548956816">
    <w:abstractNumId w:val="1"/>
  </w:num>
  <w:num w:numId="9" w16cid:durableId="1032612025">
    <w:abstractNumId w:val="0"/>
  </w:num>
  <w:num w:numId="10" w16cid:durableId="1789812585">
    <w:abstractNumId w:val="9"/>
  </w:num>
  <w:num w:numId="11" w16cid:durableId="384645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6B9"/>
    <w:rsid w:val="00020DBD"/>
    <w:rsid w:val="00034616"/>
    <w:rsid w:val="00043262"/>
    <w:rsid w:val="0006063C"/>
    <w:rsid w:val="0009694B"/>
    <w:rsid w:val="000B27F5"/>
    <w:rsid w:val="000D28EB"/>
    <w:rsid w:val="000F4D07"/>
    <w:rsid w:val="00103FA0"/>
    <w:rsid w:val="0012750B"/>
    <w:rsid w:val="00146278"/>
    <w:rsid w:val="0015074B"/>
    <w:rsid w:val="00164748"/>
    <w:rsid w:val="00192E7F"/>
    <w:rsid w:val="00193BD2"/>
    <w:rsid w:val="001A0615"/>
    <w:rsid w:val="001A3C29"/>
    <w:rsid w:val="001C3500"/>
    <w:rsid w:val="00226853"/>
    <w:rsid w:val="00230E48"/>
    <w:rsid w:val="002446AF"/>
    <w:rsid w:val="0024753E"/>
    <w:rsid w:val="00251FAF"/>
    <w:rsid w:val="00260CBD"/>
    <w:rsid w:val="002637BD"/>
    <w:rsid w:val="00263ABC"/>
    <w:rsid w:val="00292B98"/>
    <w:rsid w:val="0029639D"/>
    <w:rsid w:val="002C171A"/>
    <w:rsid w:val="003027E7"/>
    <w:rsid w:val="00324E8A"/>
    <w:rsid w:val="00326F90"/>
    <w:rsid w:val="003711A3"/>
    <w:rsid w:val="003864E1"/>
    <w:rsid w:val="003A002F"/>
    <w:rsid w:val="003A4CB3"/>
    <w:rsid w:val="00417054"/>
    <w:rsid w:val="00427C89"/>
    <w:rsid w:val="00465CAF"/>
    <w:rsid w:val="004B7CF0"/>
    <w:rsid w:val="004E44AB"/>
    <w:rsid w:val="00505380"/>
    <w:rsid w:val="005059F6"/>
    <w:rsid w:val="0051178E"/>
    <w:rsid w:val="00513E05"/>
    <w:rsid w:val="005255E6"/>
    <w:rsid w:val="005305F9"/>
    <w:rsid w:val="0054403C"/>
    <w:rsid w:val="005A0BED"/>
    <w:rsid w:val="005B26DB"/>
    <w:rsid w:val="005E3B75"/>
    <w:rsid w:val="00671316"/>
    <w:rsid w:val="006D401B"/>
    <w:rsid w:val="00701179"/>
    <w:rsid w:val="00707FA5"/>
    <w:rsid w:val="00757859"/>
    <w:rsid w:val="007628CD"/>
    <w:rsid w:val="007645E2"/>
    <w:rsid w:val="007D3C14"/>
    <w:rsid w:val="007D54B3"/>
    <w:rsid w:val="0080050C"/>
    <w:rsid w:val="00827836"/>
    <w:rsid w:val="008A7626"/>
    <w:rsid w:val="008B58E9"/>
    <w:rsid w:val="00930004"/>
    <w:rsid w:val="00946B22"/>
    <w:rsid w:val="009A287A"/>
    <w:rsid w:val="00A14FA3"/>
    <w:rsid w:val="00A67DA0"/>
    <w:rsid w:val="00A84C70"/>
    <w:rsid w:val="00AA0360"/>
    <w:rsid w:val="00AA1D8D"/>
    <w:rsid w:val="00AC6978"/>
    <w:rsid w:val="00B10217"/>
    <w:rsid w:val="00B3102D"/>
    <w:rsid w:val="00B3519F"/>
    <w:rsid w:val="00B47730"/>
    <w:rsid w:val="00C54828"/>
    <w:rsid w:val="00C93D50"/>
    <w:rsid w:val="00CB0664"/>
    <w:rsid w:val="00CB122E"/>
    <w:rsid w:val="00CC4F36"/>
    <w:rsid w:val="00CD37F1"/>
    <w:rsid w:val="00CE2763"/>
    <w:rsid w:val="00CE579B"/>
    <w:rsid w:val="00CF589A"/>
    <w:rsid w:val="00D04E5E"/>
    <w:rsid w:val="00D22309"/>
    <w:rsid w:val="00D75302"/>
    <w:rsid w:val="00D97F3E"/>
    <w:rsid w:val="00E36E39"/>
    <w:rsid w:val="00EF042F"/>
    <w:rsid w:val="00EF488A"/>
    <w:rsid w:val="00F0442E"/>
    <w:rsid w:val="00F1431A"/>
    <w:rsid w:val="00FC042F"/>
    <w:rsid w:val="00FC2F07"/>
    <w:rsid w:val="00FC693F"/>
    <w:rsid w:val="00FD1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9725E2"/>
  <w14:defaultImageDpi w14:val="300"/>
  <w15:docId w15:val="{F2F657AC-4532-474D-8A8A-726F8C32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lang w:val="en-NZ"/>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E2763"/>
    <w:pPr>
      <w:spacing w:after="0" w:line="240" w:lineRule="auto"/>
    </w:pPr>
    <w:rPr>
      <w:rFonts w:ascii="Calibri" w:eastAsia="Calibri" w:hAnsi="Calibri"/>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2a84ab-42de-4532-b883-afb2b2f48b8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wherestored xmlns="a22a84ab-42de-4532-b883-afb2b2f48b8c">
      <Url xsi:nil="true"/>
      <Description xsi:nil="true"/>
    </wherestored>
    <_dlc_DocId xmlns="a2aa5a46-6ae2-4ea8-8c59-c5e8498d6f37">MoEd-119187805-31953</_dlc_DocId>
    <_dlc_DocIdUrl xmlns="a2aa5a46-6ae2-4ea8-8c59-c5e8498d6f37">
      <Url>https://educationgovtnz.sharepoint.com/sites/MoETPKECEManagement-MonitoringandAppointments/_layouts/15/DocIdRedir.aspx?ID=MoEd-119187805-31953</Url>
      <Description>MoEd-119187805-31953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DEA9889DFE000458C3C179397508843" ma:contentTypeVersion="16" ma:contentTypeDescription="Create a new document." ma:contentTypeScope="" ma:versionID="a06341940442fb3f189807c463073c5e">
  <xsd:schema xmlns:xsd="http://www.w3.org/2001/XMLSchema" xmlns:xs="http://www.w3.org/2001/XMLSchema" xmlns:p="http://schemas.microsoft.com/office/2006/metadata/properties" xmlns:ns1="http://schemas.microsoft.com/sharepoint/v3" xmlns:ns2="a2aa5a46-6ae2-4ea8-8c59-c5e8498d6f37" xmlns:ns3="a22a84ab-42de-4532-b883-afb2b2f48b8c" targetNamespace="http://schemas.microsoft.com/office/2006/metadata/properties" ma:root="true" ma:fieldsID="c92f76cd49c0204ea35bf2e2ad8389f4" ns1:_="" ns2:_="" ns3:_="">
    <xsd:import namespace="http://schemas.microsoft.com/sharepoint/v3"/>
    <xsd:import namespace="a2aa5a46-6ae2-4ea8-8c59-c5e8498d6f37"/>
    <xsd:import namespace="a22a84ab-42de-4532-b883-afb2b2f48b8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3:MediaServiceOCR" minOccurs="0"/>
                <xsd:element ref="ns3:MediaServiceLocation" minOccurs="0"/>
                <xsd:element ref="ns3:wheresto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a5a46-6ae2-4ea8-8c59-c5e8498d6f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22a84ab-42de-4532-b883-afb2b2f48b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wherestored" ma:index="25" nillable="true" ma:displayName="where stored" ma:format="Hyperlink" ma:internalName="wherestor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0458F-6199-4F80-8BAE-0641644FC2D4}">
  <ds:schemaRefs>
    <ds:schemaRef ds:uri="http://schemas.microsoft.com/sharepoint/events"/>
  </ds:schemaRefs>
</ds:datastoreItem>
</file>

<file path=customXml/itemProps2.xml><?xml version="1.0" encoding="utf-8"?>
<ds:datastoreItem xmlns:ds="http://schemas.openxmlformats.org/officeDocument/2006/customXml" ds:itemID="{4EF28BC0-1ED9-40E5-AF16-6E154217D3D7}">
  <ds:schemaRefs>
    <ds:schemaRef ds:uri="http://schemas.microsoft.com/sharepoint/v3/contenttype/forms"/>
  </ds:schemaRefs>
</ds:datastoreItem>
</file>

<file path=customXml/itemProps3.xml><?xml version="1.0" encoding="utf-8"?>
<ds:datastoreItem xmlns:ds="http://schemas.openxmlformats.org/officeDocument/2006/customXml" ds:itemID="{7999B2F0-515F-40EA-83A5-299EF4AF1142}">
  <ds:schemaRefs>
    <ds:schemaRef ds:uri="http://purl.org/dc/dcmitype/"/>
    <ds:schemaRef ds:uri="a2aa5a46-6ae2-4ea8-8c59-c5e8498d6f37"/>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a22a84ab-42de-4532-b883-afb2b2f48b8c"/>
    <ds:schemaRef ds:uri="http://schemas.microsoft.com/sharepoint/v3"/>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5.xml><?xml version="1.0" encoding="utf-8"?>
<ds:datastoreItem xmlns:ds="http://schemas.openxmlformats.org/officeDocument/2006/customXml" ds:itemID="{5442C3DA-8E56-41D4-B44D-F25E67F32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aa5a46-6ae2-4ea8-8c59-c5e8498d6f37"/>
    <ds:schemaRef ds:uri="a22a84ab-42de-4532-b883-afb2b2f48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Elliott</cp:lastModifiedBy>
  <cp:revision>2</cp:revision>
  <dcterms:created xsi:type="dcterms:W3CDTF">2026-02-22T20:58:00Z</dcterms:created>
  <dcterms:modified xsi:type="dcterms:W3CDTF">2026-02-22T20:58:00Z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10956428,360b0f5a,2133aad2</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3c718d54,7963817,33b809b0</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2026-02-12T02:48:48Z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400fb437-f73c-4282-8198-ecc6e3c2de81</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ContentTypeId">
    <vt:lpwstr>0x010100CDEA9889DFE000458C3C179397508843</vt:lpwstr>
  </property>
  <property fmtid="{D5CDD505-2E9C-101B-9397-08002B2CF9AE}" pid="17" name="_dlc_DocIdItemGuid">
    <vt:lpwstr>b91bc7f4-a68f-476a-bcc0-8d9a9102983c</vt:lpwstr>
  </property>
  <property fmtid="{D5CDD505-2E9C-101B-9397-08002B2CF9AE}" pid="18" name="MediaServiceImageTags">
    <vt:lpwstr/>
  </property>
</Properties>
</file>