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7FFE" w14:textId="77777777" w:rsidR="00E00295" w:rsidRPr="00E00295" w:rsidRDefault="00E00295" w:rsidP="00E00295">
      <w:pPr>
        <w:pStyle w:val="ARtextbody"/>
        <w:jc w:val="both"/>
      </w:pPr>
      <w:r w:rsidRPr="00E00295">
        <w:t xml:space="preserve">The Ka Ora, Ka Ako | Healthy School Lunch Programme aims to reduce food insecurity by providing a daily nutritious lunch to students in needs of the greatest support to help them learn and thrive at school or kura. </w:t>
      </w:r>
    </w:p>
    <w:p w14:paraId="3DA6047F" w14:textId="77777777" w:rsidR="00E00295" w:rsidRPr="00E00295" w:rsidRDefault="00E00295" w:rsidP="00E00295">
      <w:pPr>
        <w:pStyle w:val="ARtextbody"/>
        <w:jc w:val="both"/>
      </w:pPr>
    </w:p>
    <w:p w14:paraId="25075215" w14:textId="77777777" w:rsidR="00E00295" w:rsidRPr="00E00295" w:rsidRDefault="00E00295" w:rsidP="00E00295">
      <w:pPr>
        <w:pStyle w:val="ARtextbody"/>
        <w:jc w:val="both"/>
      </w:pPr>
      <w:r w:rsidRPr="00E00295">
        <w:t xml:space="preserve">Ka Ora, Ka Ako is targeted at the top 25% of students in schools and kura facing the greatest socio-economic barriers. At the beginning of Term 1 2025, the programme was extended to up to 10,000 2-to-5-year-olds in early learning services. </w:t>
      </w:r>
    </w:p>
    <w:p w14:paraId="24E4B038" w14:textId="77777777" w:rsidR="00E00295" w:rsidRDefault="00E00295" w:rsidP="00E00295">
      <w:pPr>
        <w:pStyle w:val="ARtextbody"/>
        <w:jc w:val="both"/>
      </w:pPr>
    </w:p>
    <w:p w14:paraId="5A9CC41F" w14:textId="3CE9583D" w:rsidR="008459DD" w:rsidRPr="008459DD" w:rsidRDefault="008459DD" w:rsidP="00E00295">
      <w:pPr>
        <w:pStyle w:val="ARtextbody"/>
        <w:jc w:val="both"/>
        <w:rPr>
          <w:b/>
          <w:bCs/>
          <w:sz w:val="24"/>
          <w:szCs w:val="24"/>
        </w:rPr>
      </w:pPr>
      <w:r w:rsidRPr="008459DD">
        <w:rPr>
          <w:b/>
          <w:bCs/>
          <w:sz w:val="24"/>
          <w:szCs w:val="24"/>
        </w:rPr>
        <w:t xml:space="preserve">Funding </w:t>
      </w:r>
    </w:p>
    <w:p w14:paraId="74491DD8" w14:textId="4FADEDB1" w:rsidR="00E00295" w:rsidRPr="00E00295" w:rsidRDefault="00E00295" w:rsidP="00E00295">
      <w:pPr>
        <w:pStyle w:val="ARtextbody"/>
        <w:jc w:val="both"/>
      </w:pPr>
      <w:r w:rsidRPr="00E00295">
        <w:t xml:space="preserve">The following table shows the funded cost for Ministry of Education from 2023/24 to </w:t>
      </w:r>
      <w:r w:rsidR="004D2ADA" w:rsidRPr="004667E1">
        <w:t>2026/27</w:t>
      </w:r>
      <w:r w:rsidRPr="004667E1">
        <w:t>.</w:t>
      </w:r>
      <w:r w:rsidRPr="00E00295">
        <w:t xml:space="preserve"> </w:t>
      </w:r>
    </w:p>
    <w:p w14:paraId="340AEEF1" w14:textId="77777777" w:rsidR="00E00295" w:rsidRDefault="00E00295" w:rsidP="00E00295">
      <w:pPr>
        <w:pStyle w:val="ARtextbody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849"/>
        <w:gridCol w:w="1849"/>
        <w:gridCol w:w="1849"/>
        <w:gridCol w:w="1659"/>
      </w:tblGrid>
      <w:tr w:rsidR="003D5D37" w:rsidRPr="003D5D37" w14:paraId="29442796" w14:textId="77777777" w:rsidTr="00570B65">
        <w:tc>
          <w:tcPr>
            <w:tcW w:w="1142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D793" w14:textId="77777777" w:rsidR="003D5D37" w:rsidRPr="003D5D37" w:rsidRDefault="003D5D37" w:rsidP="003D5D37">
            <w:pPr>
              <w:pStyle w:val="ARtextbody"/>
              <w:rPr>
                <w:b/>
                <w:bCs/>
              </w:rPr>
            </w:pPr>
            <w:r w:rsidRPr="003D5D37">
              <w:rPr>
                <w:b/>
                <w:bCs/>
              </w:rPr>
              <w:t>Baseline</w:t>
            </w:r>
          </w:p>
        </w:tc>
        <w:tc>
          <w:tcPr>
            <w:tcW w:w="990" w:type="pct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03CF" w14:textId="77777777" w:rsidR="003D5D37" w:rsidRPr="003D5D37" w:rsidRDefault="003D5D37" w:rsidP="003D5D37">
            <w:pPr>
              <w:pStyle w:val="ARtextbody"/>
              <w:rPr>
                <w:b/>
                <w:bCs/>
              </w:rPr>
            </w:pPr>
            <w:r w:rsidRPr="003D5D37">
              <w:rPr>
                <w:b/>
                <w:bCs/>
              </w:rPr>
              <w:t>2023/24</w:t>
            </w:r>
          </w:p>
        </w:tc>
        <w:tc>
          <w:tcPr>
            <w:tcW w:w="990" w:type="pct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FB23" w14:textId="77777777" w:rsidR="003D5D37" w:rsidRPr="003D5D37" w:rsidRDefault="003D5D37" w:rsidP="003D5D37">
            <w:pPr>
              <w:pStyle w:val="ARtextbody"/>
              <w:rPr>
                <w:b/>
                <w:bCs/>
              </w:rPr>
            </w:pPr>
            <w:r w:rsidRPr="003D5D37">
              <w:rPr>
                <w:b/>
                <w:bCs/>
              </w:rPr>
              <w:t>2024/25</w:t>
            </w:r>
          </w:p>
        </w:tc>
        <w:tc>
          <w:tcPr>
            <w:tcW w:w="990" w:type="pct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2684" w14:textId="77777777" w:rsidR="003D5D37" w:rsidRPr="003D5D37" w:rsidRDefault="003D5D37" w:rsidP="003D5D37">
            <w:pPr>
              <w:pStyle w:val="ARtextbody"/>
              <w:rPr>
                <w:b/>
                <w:bCs/>
              </w:rPr>
            </w:pPr>
            <w:r w:rsidRPr="003D5D37">
              <w:rPr>
                <w:b/>
                <w:bCs/>
              </w:rPr>
              <w:t>2025/26</w:t>
            </w:r>
          </w:p>
        </w:tc>
        <w:tc>
          <w:tcPr>
            <w:tcW w:w="889" w:type="pct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3D4B" w14:textId="77777777" w:rsidR="003D5D37" w:rsidRPr="003D5D37" w:rsidRDefault="003D5D37" w:rsidP="003D5D37">
            <w:pPr>
              <w:pStyle w:val="ARtextbody"/>
              <w:rPr>
                <w:b/>
                <w:bCs/>
              </w:rPr>
            </w:pPr>
            <w:r w:rsidRPr="003D5D37">
              <w:rPr>
                <w:b/>
                <w:bCs/>
              </w:rPr>
              <w:t>2026/27</w:t>
            </w:r>
          </w:p>
        </w:tc>
      </w:tr>
      <w:tr w:rsidR="003D5D37" w:rsidRPr="003D5D37" w14:paraId="1C171C67" w14:textId="77777777" w:rsidTr="00570B65">
        <w:tc>
          <w:tcPr>
            <w:tcW w:w="1142" w:type="pct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67F4" w14:textId="77777777" w:rsidR="003D5D37" w:rsidRPr="003D5D37" w:rsidRDefault="003D5D37" w:rsidP="003D5D37">
            <w:pPr>
              <w:pStyle w:val="ARtextbody"/>
            </w:pPr>
            <w:r w:rsidRPr="003D5D37">
              <w:t>Non-departmental output expense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D9E8" w14:textId="77777777" w:rsidR="003D5D37" w:rsidRPr="003D5D37" w:rsidRDefault="003D5D37" w:rsidP="003D5D37">
            <w:pPr>
              <w:pStyle w:val="ARtextbody"/>
            </w:pPr>
            <w:r w:rsidRPr="003D5D37">
              <w:t>284,574,481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39BA" w14:textId="77777777" w:rsidR="003D5D37" w:rsidRPr="003D5D37" w:rsidRDefault="003D5D37" w:rsidP="003D5D37">
            <w:pPr>
              <w:pStyle w:val="ARtextbody"/>
            </w:pPr>
            <w:r w:rsidRPr="003D5D37">
              <w:t>245,995,608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60FF" w14:textId="77777777" w:rsidR="003D5D37" w:rsidRPr="003D5D37" w:rsidRDefault="003D5D37" w:rsidP="003D5D37">
            <w:pPr>
              <w:pStyle w:val="ARtextbody"/>
            </w:pPr>
            <w:r w:rsidRPr="003D5D37">
              <w:t>232,203,000</w:t>
            </w:r>
          </w:p>
          <w:p w14:paraId="5AF011F8" w14:textId="77777777" w:rsidR="003D5D37" w:rsidRPr="003D5D37" w:rsidRDefault="003D5D37" w:rsidP="003D5D37">
            <w:pPr>
              <w:pStyle w:val="ARtextbody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3055" w14:textId="77777777" w:rsidR="003D5D37" w:rsidRPr="003D5D37" w:rsidRDefault="003D5D37" w:rsidP="003D5D37">
            <w:pPr>
              <w:pStyle w:val="ARtextbody"/>
            </w:pPr>
            <w:r w:rsidRPr="003D5D37">
              <w:t>116,102,000</w:t>
            </w:r>
          </w:p>
          <w:p w14:paraId="3AC11388" w14:textId="77777777" w:rsidR="003D5D37" w:rsidRPr="003D5D37" w:rsidRDefault="003D5D37" w:rsidP="003D5D37">
            <w:pPr>
              <w:pStyle w:val="ARtextbody"/>
            </w:pPr>
          </w:p>
        </w:tc>
      </w:tr>
      <w:tr w:rsidR="003D5D37" w:rsidRPr="003D5D37" w14:paraId="63BC285B" w14:textId="77777777" w:rsidTr="00570B65">
        <w:tc>
          <w:tcPr>
            <w:tcW w:w="1142" w:type="pct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66A5" w14:textId="77777777" w:rsidR="003D5D37" w:rsidRPr="003D5D37" w:rsidRDefault="003D5D37" w:rsidP="003D5D37">
            <w:pPr>
              <w:pStyle w:val="ARtextbody"/>
            </w:pPr>
            <w:r w:rsidRPr="003D5D37">
              <w:t>Departmental output expense</w:t>
            </w:r>
          </w:p>
          <w:p w14:paraId="26D3AFDE" w14:textId="77777777" w:rsidR="003D5D37" w:rsidRPr="003D5D37" w:rsidRDefault="003D5D37" w:rsidP="003D5D37">
            <w:pPr>
              <w:pStyle w:val="ARtextbody"/>
            </w:pPr>
            <w:r w:rsidRPr="003D5D37">
              <w:t>(funding up to Dec 26)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AF04" w14:textId="77777777" w:rsidR="003D5D37" w:rsidRPr="003D5D37" w:rsidRDefault="003D5D37" w:rsidP="003D5D37">
            <w:pPr>
              <w:pStyle w:val="ARtextbody"/>
            </w:pPr>
            <w:r w:rsidRPr="003D5D37">
              <w:t>6,851,365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FE5A" w14:textId="77777777" w:rsidR="003D5D37" w:rsidRPr="003D5D37" w:rsidRDefault="003D5D37" w:rsidP="003D5D37">
            <w:pPr>
              <w:pStyle w:val="ARtextbody"/>
            </w:pPr>
            <w:r w:rsidRPr="003D5D37">
              <w:t>5,987,479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8AA1" w14:textId="77777777" w:rsidR="003D5D37" w:rsidRPr="003D5D37" w:rsidRDefault="003D5D37" w:rsidP="003D5D37">
            <w:pPr>
              <w:pStyle w:val="ARtextbody"/>
            </w:pPr>
            <w:r w:rsidRPr="003D5D37">
              <w:t>5,908,000</w:t>
            </w:r>
          </w:p>
          <w:p w14:paraId="3451045A" w14:textId="77777777" w:rsidR="003D5D37" w:rsidRPr="003D5D37" w:rsidRDefault="003D5D37" w:rsidP="003D5D37">
            <w:pPr>
              <w:pStyle w:val="ARtextbody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BD93" w14:textId="77777777" w:rsidR="003D5D37" w:rsidRPr="003D5D37" w:rsidRDefault="003D5D37" w:rsidP="003D5D37">
            <w:pPr>
              <w:pStyle w:val="ARtextbody"/>
            </w:pPr>
            <w:r w:rsidRPr="003D5D37">
              <w:t>2,981,000</w:t>
            </w:r>
          </w:p>
          <w:p w14:paraId="3A1571D1" w14:textId="77777777" w:rsidR="003D5D37" w:rsidRPr="003D5D37" w:rsidRDefault="003D5D37" w:rsidP="003D5D37">
            <w:pPr>
              <w:pStyle w:val="ARtextbody"/>
            </w:pPr>
          </w:p>
        </w:tc>
      </w:tr>
      <w:tr w:rsidR="003D5D37" w:rsidRPr="003D5D37" w14:paraId="102ED36E" w14:textId="77777777" w:rsidTr="00570B65">
        <w:tc>
          <w:tcPr>
            <w:tcW w:w="1142" w:type="pct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0533" w14:textId="77777777" w:rsidR="003D5D37" w:rsidRPr="003D5D37" w:rsidRDefault="003D5D37" w:rsidP="003D5D37">
            <w:pPr>
              <w:pStyle w:val="ARtextbody"/>
            </w:pPr>
            <w:r w:rsidRPr="003D5D37">
              <w:t xml:space="preserve">Non-departmental capital expenditure </w:t>
            </w:r>
            <w:r w:rsidRPr="003D5D37">
              <w:br/>
              <w:t>(funding up to Dec 26)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3CB5" w14:textId="77777777" w:rsidR="003D5D37" w:rsidRPr="003D5D37" w:rsidRDefault="003D5D37" w:rsidP="003D5D37">
            <w:pPr>
              <w:pStyle w:val="ARtextbody"/>
            </w:pPr>
            <w:r w:rsidRPr="003D5D37">
              <w:t>554,628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DB05" w14:textId="77777777" w:rsidR="003D5D37" w:rsidRPr="003D5D37" w:rsidRDefault="003D5D37" w:rsidP="003D5D37">
            <w:pPr>
              <w:pStyle w:val="ARtextbody"/>
            </w:pPr>
            <w:r w:rsidRPr="003D5D37">
              <w:t>374,094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44FA" w14:textId="77777777" w:rsidR="003D5D37" w:rsidRPr="003D5D37" w:rsidRDefault="003D5D37" w:rsidP="003D5D37">
            <w:pPr>
              <w:pStyle w:val="ARtextbody"/>
            </w:pPr>
            <w:r w:rsidRPr="003D5D37">
              <w:t>600,000</w:t>
            </w:r>
          </w:p>
          <w:p w14:paraId="560C15E4" w14:textId="77777777" w:rsidR="003D5D37" w:rsidRPr="003D5D37" w:rsidRDefault="003D5D37" w:rsidP="003D5D37">
            <w:pPr>
              <w:pStyle w:val="ARtextbody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BB66" w14:textId="77777777" w:rsidR="003D5D37" w:rsidRPr="003D5D37" w:rsidRDefault="003D5D37" w:rsidP="003D5D37">
            <w:pPr>
              <w:pStyle w:val="ARtextbody"/>
            </w:pPr>
            <w:r w:rsidRPr="003D5D37">
              <w:t>300,000</w:t>
            </w:r>
          </w:p>
          <w:p w14:paraId="1F11FD4A" w14:textId="77777777" w:rsidR="003D5D37" w:rsidRPr="003D5D37" w:rsidRDefault="003D5D37" w:rsidP="003D5D37">
            <w:pPr>
              <w:pStyle w:val="ARtextbody"/>
            </w:pPr>
          </w:p>
        </w:tc>
      </w:tr>
    </w:tbl>
    <w:p w14:paraId="1E35686B" w14:textId="77777777" w:rsidR="003D5D37" w:rsidRDefault="003D5D37" w:rsidP="00E00295">
      <w:pPr>
        <w:pStyle w:val="ARtextbody"/>
      </w:pPr>
    </w:p>
    <w:p w14:paraId="58F190F1" w14:textId="77777777" w:rsidR="00E00295" w:rsidRDefault="00E00295" w:rsidP="00E00295">
      <w:pPr>
        <w:pStyle w:val="ARtextbody"/>
      </w:pPr>
    </w:p>
    <w:p w14:paraId="78679E99" w14:textId="0D85ABB8" w:rsidR="008459DD" w:rsidRPr="00184420" w:rsidRDefault="008459DD" w:rsidP="00184420">
      <w:pPr>
        <w:pStyle w:val="ARtextbody"/>
        <w:jc w:val="both"/>
        <w:rPr>
          <w:b/>
          <w:bCs/>
          <w:sz w:val="24"/>
          <w:szCs w:val="24"/>
        </w:rPr>
      </w:pPr>
      <w:r w:rsidRPr="00184420">
        <w:rPr>
          <w:b/>
          <w:bCs/>
          <w:sz w:val="24"/>
          <w:szCs w:val="24"/>
        </w:rPr>
        <w:t xml:space="preserve">Indicators of performance </w:t>
      </w:r>
    </w:p>
    <w:p w14:paraId="56D1FB21" w14:textId="25DA7F36" w:rsidR="008459DD" w:rsidRDefault="008459DD" w:rsidP="00E00295">
      <w:pPr>
        <w:pStyle w:val="ARtextbody"/>
      </w:pPr>
      <w:r>
        <w:t xml:space="preserve">The following table </w:t>
      </w:r>
      <w:r w:rsidR="00663C2A">
        <w:t>tracks the performance indicators for Ka Ora, Ka Ako</w:t>
      </w:r>
      <w:r w:rsidR="003E0939">
        <w:t>.</w:t>
      </w:r>
    </w:p>
    <w:p w14:paraId="56D09E2D" w14:textId="77777777" w:rsidR="003E0939" w:rsidRDefault="003E0939" w:rsidP="00E00295">
      <w:pPr>
        <w:pStyle w:val="ARtextbody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600"/>
        <w:gridCol w:w="1601"/>
        <w:gridCol w:w="1601"/>
        <w:gridCol w:w="1601"/>
      </w:tblGrid>
      <w:tr w:rsidR="003E47DF" w:rsidRPr="003D5D37" w14:paraId="08C7933A" w14:textId="77777777" w:rsidTr="00570B65">
        <w:tc>
          <w:tcPr>
            <w:tcW w:w="29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7AF9" w14:textId="52513CB6" w:rsidR="003E47DF" w:rsidRPr="003D5D37" w:rsidRDefault="00DD03EB" w:rsidP="003E47DF">
            <w:pPr>
              <w:pStyle w:val="ARtextbody"/>
              <w:rPr>
                <w:b/>
                <w:bCs/>
              </w:rPr>
            </w:pPr>
            <w:r>
              <w:rPr>
                <w:b/>
                <w:bCs/>
              </w:rPr>
              <w:t>Performance indicator</w:t>
            </w:r>
          </w:p>
        </w:tc>
        <w:tc>
          <w:tcPr>
            <w:tcW w:w="160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2C6" w14:textId="0289D33F" w:rsidR="003E47DF" w:rsidRPr="003D5D37" w:rsidRDefault="003E47DF" w:rsidP="00DD03EB">
            <w:pPr>
              <w:pStyle w:val="ARtext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16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9A7B" w14:textId="40A61EF1" w:rsidR="003E47DF" w:rsidRPr="003D5D37" w:rsidRDefault="003E47DF" w:rsidP="00DD03EB">
            <w:pPr>
              <w:pStyle w:val="ARtextbody"/>
              <w:jc w:val="center"/>
              <w:rPr>
                <w:b/>
                <w:bCs/>
              </w:rPr>
            </w:pPr>
            <w:r w:rsidRPr="003D5D37">
              <w:rPr>
                <w:b/>
                <w:bCs/>
              </w:rPr>
              <w:t>202</w:t>
            </w:r>
            <w:r w:rsidR="007C6132">
              <w:rPr>
                <w:b/>
                <w:bCs/>
              </w:rPr>
              <w:t>2</w:t>
            </w:r>
            <w:r w:rsidRPr="003D5D37">
              <w:rPr>
                <w:b/>
                <w:bCs/>
              </w:rPr>
              <w:t>/2</w:t>
            </w:r>
            <w:r w:rsidR="007C6132">
              <w:rPr>
                <w:b/>
                <w:bCs/>
              </w:rPr>
              <w:t>3</w:t>
            </w:r>
          </w:p>
        </w:tc>
        <w:tc>
          <w:tcPr>
            <w:tcW w:w="16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57E5" w14:textId="777614A2" w:rsidR="003E47DF" w:rsidRPr="003D5D37" w:rsidRDefault="003E47DF" w:rsidP="00DD03EB">
            <w:pPr>
              <w:pStyle w:val="ARtextbody"/>
              <w:jc w:val="center"/>
              <w:rPr>
                <w:b/>
                <w:bCs/>
              </w:rPr>
            </w:pPr>
            <w:r w:rsidRPr="003D5D37">
              <w:rPr>
                <w:b/>
                <w:bCs/>
              </w:rPr>
              <w:t>202</w:t>
            </w:r>
            <w:r w:rsidR="007C6132">
              <w:rPr>
                <w:b/>
                <w:bCs/>
              </w:rPr>
              <w:t>3</w:t>
            </w:r>
            <w:r w:rsidRPr="003D5D37">
              <w:rPr>
                <w:b/>
                <w:bCs/>
              </w:rPr>
              <w:t>/2</w:t>
            </w:r>
            <w:r w:rsidR="007C6132">
              <w:rPr>
                <w:b/>
                <w:bCs/>
              </w:rPr>
              <w:t>4</w:t>
            </w:r>
          </w:p>
        </w:tc>
        <w:tc>
          <w:tcPr>
            <w:tcW w:w="16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C5A8" w14:textId="6131E031" w:rsidR="003E47DF" w:rsidRPr="003D5D37" w:rsidRDefault="003E47DF" w:rsidP="00DD03EB">
            <w:pPr>
              <w:pStyle w:val="ARtextbody"/>
              <w:jc w:val="center"/>
              <w:rPr>
                <w:b/>
                <w:bCs/>
              </w:rPr>
            </w:pPr>
            <w:r w:rsidRPr="003D5D37">
              <w:rPr>
                <w:b/>
                <w:bCs/>
              </w:rPr>
              <w:t>202</w:t>
            </w:r>
            <w:r w:rsidR="007C6132">
              <w:rPr>
                <w:b/>
                <w:bCs/>
              </w:rPr>
              <w:t>4</w:t>
            </w:r>
            <w:r w:rsidRPr="003D5D37">
              <w:rPr>
                <w:b/>
                <w:bCs/>
              </w:rPr>
              <w:t>/2</w:t>
            </w:r>
            <w:r w:rsidR="007C6132">
              <w:rPr>
                <w:b/>
                <w:bCs/>
              </w:rPr>
              <w:t>5</w:t>
            </w:r>
          </w:p>
        </w:tc>
      </w:tr>
      <w:tr w:rsidR="003E47DF" w:rsidRPr="003D5D37" w14:paraId="0B230B1E" w14:textId="77777777" w:rsidTr="00570B65">
        <w:tc>
          <w:tcPr>
            <w:tcW w:w="29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DFB3" w14:textId="5DAC4E40" w:rsidR="003E47DF" w:rsidRPr="003D5D37" w:rsidRDefault="00570B65" w:rsidP="003E47DF">
            <w:pPr>
              <w:pStyle w:val="ARtextbody"/>
            </w:pPr>
            <w:r w:rsidRPr="00570B65">
              <w:t xml:space="preserve">Percentage of schools in the </w:t>
            </w:r>
            <w:proofErr w:type="spellStart"/>
            <w:r w:rsidRPr="00570B65">
              <w:t>programme</w:t>
            </w:r>
            <w:proofErr w:type="spellEnd"/>
            <w:r w:rsidRPr="00570B65">
              <w:t xml:space="preserve"> that are provided with the required lunches through managed contracts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C8BF" w14:textId="3658AA4B" w:rsidR="003E47DF" w:rsidRPr="003D5D37" w:rsidRDefault="00DD03EB" w:rsidP="00DD03EB">
            <w:pPr>
              <w:pStyle w:val="ARtextbody"/>
              <w:jc w:val="center"/>
            </w:pPr>
            <w:r>
              <w:t>98%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FE76" w14:textId="587E2F64" w:rsidR="003E47DF" w:rsidRPr="003D5D37" w:rsidRDefault="00817E57" w:rsidP="00DD03EB">
            <w:pPr>
              <w:pStyle w:val="ARtextbody"/>
              <w:jc w:val="center"/>
            </w:pPr>
            <w:r>
              <w:t>100%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BBC0" w14:textId="07881052" w:rsidR="003E47DF" w:rsidRPr="003D5D37" w:rsidRDefault="00AA67F4" w:rsidP="00DD03EB">
            <w:pPr>
              <w:pStyle w:val="ARtextbody"/>
              <w:jc w:val="center"/>
            </w:pPr>
            <w:r>
              <w:t>99.70%</w:t>
            </w:r>
          </w:p>
          <w:p w14:paraId="4FBF8825" w14:textId="77777777" w:rsidR="003E47DF" w:rsidRPr="003D5D37" w:rsidRDefault="003E47DF" w:rsidP="00DD03EB">
            <w:pPr>
              <w:pStyle w:val="ARtextbody"/>
              <w:jc w:val="center"/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D3A7" w14:textId="19B2468E" w:rsidR="003E47DF" w:rsidRPr="003D5D37" w:rsidRDefault="00AF2698" w:rsidP="00DD03EB">
            <w:pPr>
              <w:pStyle w:val="ARtextbody"/>
              <w:jc w:val="center"/>
            </w:pPr>
            <w:r>
              <w:t>99.20%</w:t>
            </w:r>
          </w:p>
          <w:p w14:paraId="298269D6" w14:textId="77777777" w:rsidR="003E47DF" w:rsidRPr="003D5D37" w:rsidRDefault="003E47DF" w:rsidP="00DD03EB">
            <w:pPr>
              <w:pStyle w:val="ARtextbody"/>
              <w:jc w:val="center"/>
            </w:pPr>
          </w:p>
        </w:tc>
      </w:tr>
    </w:tbl>
    <w:p w14:paraId="6A2309E2" w14:textId="77777777" w:rsidR="003E0939" w:rsidRPr="00E00295" w:rsidRDefault="003E0939" w:rsidP="00E00295">
      <w:pPr>
        <w:pStyle w:val="ARtextbody"/>
      </w:pPr>
    </w:p>
    <w:p w14:paraId="454AB306" w14:textId="77777777" w:rsidR="00E00295" w:rsidRPr="00E00295" w:rsidRDefault="00E00295" w:rsidP="00E00295">
      <w:pPr>
        <w:pStyle w:val="ARtextbody"/>
      </w:pPr>
    </w:p>
    <w:p w14:paraId="3137BFD9" w14:textId="6F22C121" w:rsidR="00333660" w:rsidRPr="001058E4" w:rsidRDefault="00FE5606" w:rsidP="001058E4">
      <w:r>
        <w:t xml:space="preserve">More information about the </w:t>
      </w:r>
      <w:proofErr w:type="spellStart"/>
      <w:r>
        <w:t>programme</w:t>
      </w:r>
      <w:proofErr w:type="spellEnd"/>
      <w:r>
        <w:t xml:space="preserve"> can be found on this </w:t>
      </w:r>
      <w:hyperlink r:id="rId4" w:history="1">
        <w:r w:rsidRPr="00FE5606">
          <w:rPr>
            <w:rStyle w:val="Hyperlink"/>
          </w:rPr>
          <w:t>link</w:t>
        </w:r>
      </w:hyperlink>
      <w:r>
        <w:t>.</w:t>
      </w:r>
    </w:p>
    <w:sectPr w:rsidR="00333660" w:rsidRPr="0010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60"/>
    <w:rsid w:val="000C05B1"/>
    <w:rsid w:val="001058E4"/>
    <w:rsid w:val="00184420"/>
    <w:rsid w:val="002A66E1"/>
    <w:rsid w:val="00333660"/>
    <w:rsid w:val="003D5D37"/>
    <w:rsid w:val="003E0939"/>
    <w:rsid w:val="003E47DF"/>
    <w:rsid w:val="004667E1"/>
    <w:rsid w:val="004D2ADA"/>
    <w:rsid w:val="00570B65"/>
    <w:rsid w:val="00663C2A"/>
    <w:rsid w:val="007C6132"/>
    <w:rsid w:val="00817E57"/>
    <w:rsid w:val="008459DD"/>
    <w:rsid w:val="00AA67F4"/>
    <w:rsid w:val="00AF2698"/>
    <w:rsid w:val="00D13880"/>
    <w:rsid w:val="00D50681"/>
    <w:rsid w:val="00DD03EB"/>
    <w:rsid w:val="00E00295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B5C0"/>
  <w15:chartTrackingRefBased/>
  <w15:docId w15:val="{B496820E-5DBB-4E4E-8EAA-6B0E810E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95"/>
  </w:style>
  <w:style w:type="paragraph" w:styleId="Heading1">
    <w:name w:val="heading 1"/>
    <w:basedOn w:val="Normal"/>
    <w:next w:val="Normal"/>
    <w:link w:val="Heading1Char"/>
    <w:uiPriority w:val="9"/>
    <w:qFormat/>
    <w:rsid w:val="0033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6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extbody">
    <w:name w:val="AR text body"/>
    <w:basedOn w:val="Normal"/>
    <w:link w:val="ARtextbodyChar"/>
    <w:qFormat/>
    <w:rsid w:val="00E00295"/>
    <w:pPr>
      <w:widowControl w:val="0"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spacing w:val="-2"/>
      <w:w w:val="110"/>
      <w:kern w:val="0"/>
      <w:sz w:val="22"/>
      <w:szCs w:val="22"/>
      <w14:ligatures w14:val="none"/>
    </w:rPr>
  </w:style>
  <w:style w:type="character" w:customStyle="1" w:styleId="ARtextbodyChar">
    <w:name w:val="AR text body Char"/>
    <w:basedOn w:val="DefaultParagraphFont"/>
    <w:link w:val="ARtextbody"/>
    <w:rsid w:val="00E00295"/>
    <w:rPr>
      <w:rFonts w:ascii="Arial" w:eastAsia="Times New Roman" w:hAnsi="Arial" w:cs="Arial"/>
      <w:spacing w:val="-2"/>
      <w:w w:val="110"/>
      <w:kern w:val="0"/>
      <w:sz w:val="22"/>
      <w:szCs w:val="22"/>
      <w14:ligatures w14:val="none"/>
    </w:rPr>
  </w:style>
  <w:style w:type="paragraph" w:customStyle="1" w:styleId="ARsubheading1">
    <w:name w:val="AR subheading 1"/>
    <w:basedOn w:val="Normal"/>
    <w:link w:val="ARsubheading1Char"/>
    <w:qFormat/>
    <w:rsid w:val="00E00295"/>
    <w:pPr>
      <w:keepNext/>
      <w:keepLines/>
      <w:spacing w:before="80" w:after="40"/>
      <w:outlineLvl w:val="2"/>
    </w:pPr>
    <w:rPr>
      <w:rFonts w:ascii="Arial" w:eastAsiaTheme="majorEastAsia" w:hAnsi="Arial" w:cstheme="majorBidi"/>
      <w:bCs/>
      <w:noProof/>
      <w:color w:val="4D1F41"/>
      <w:w w:val="110"/>
      <w:sz w:val="40"/>
      <w:szCs w:val="32"/>
      <w:lang w:val="en-NZ"/>
    </w:rPr>
  </w:style>
  <w:style w:type="character" w:customStyle="1" w:styleId="ARsubheading1Char">
    <w:name w:val="AR subheading 1 Char"/>
    <w:basedOn w:val="Heading4Char"/>
    <w:link w:val="ARsubheading1"/>
    <w:rsid w:val="00E00295"/>
    <w:rPr>
      <w:rFonts w:ascii="Arial" w:eastAsiaTheme="majorEastAsia" w:hAnsi="Arial" w:cstheme="majorBidi"/>
      <w:bCs/>
      <w:i w:val="0"/>
      <w:iCs w:val="0"/>
      <w:noProof/>
      <w:color w:val="4D1F41"/>
      <w:w w:val="110"/>
      <w:sz w:val="40"/>
      <w:szCs w:val="32"/>
      <w:lang w:val="en-NZ"/>
    </w:rPr>
  </w:style>
  <w:style w:type="character" w:styleId="Hyperlink">
    <w:name w:val="Hyperlink"/>
    <w:basedOn w:val="DefaultParagraphFont"/>
    <w:uiPriority w:val="99"/>
    <w:unhideWhenUsed/>
    <w:rsid w:val="00FE5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tion.govt.nz/education-professionals/schools-year-0-13/healthy-school-lunches/ka-ora-ka-ako-healthy-school-lunches-about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Doronila</dc:creator>
  <cp:keywords/>
  <dc:description/>
  <cp:lastModifiedBy>Lindsay Doronila</cp:lastModifiedBy>
  <cp:revision>14</cp:revision>
  <dcterms:created xsi:type="dcterms:W3CDTF">2025-07-24T21:57:00Z</dcterms:created>
  <dcterms:modified xsi:type="dcterms:W3CDTF">2025-07-28T22:42:00Z</dcterms:modified>
</cp:coreProperties>
</file>